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AFD" w:rsidRPr="004F5B04" w:rsidRDefault="004F5B04">
      <w:pPr>
        <w:rPr>
          <w:b/>
        </w:rPr>
      </w:pPr>
      <w:r w:rsidRPr="004F5B04">
        <w:rPr>
          <w:b/>
        </w:rPr>
        <w:t>Supplemental Materials</w:t>
      </w:r>
    </w:p>
    <w:p w:rsidR="008C1AFD" w:rsidRDefault="00DB7348">
      <w:r w:rsidRPr="004F5B04">
        <w:rPr>
          <w:b/>
        </w:rPr>
        <w:t>Table S1.</w:t>
      </w:r>
      <w:r>
        <w:t xml:space="preserve"> Breeding season tracking effort and colony size for 43 tracking datasets (see Tables 1 and 2 for site locations and species names).  Number of locations excludes positions obtained at the colony (see methods).  Colony sizes reported are the most </w:t>
      </w:r>
      <w:r>
        <w:t xml:space="preserve">recent estimates available from the Canadian Wildlife Service (CWS) database or other sources.   Years: "-" between years indicates continuous tracking of individuals across multiple years, whereas "/" indicates new deployments each year.  Tag type: </w:t>
      </w:r>
      <w:proofErr w:type="spellStart"/>
      <w:r>
        <w:t>ptt</w:t>
      </w:r>
      <w:proofErr w:type="spellEnd"/>
      <w:r>
        <w:t xml:space="preserve"> = </w:t>
      </w:r>
      <w:r>
        <w:t xml:space="preserve">platform terminal transmitter (a.k.a. satellite tag), vhf = very high frequency radio transmitter, </w:t>
      </w:r>
      <w:proofErr w:type="spellStart"/>
      <w:r>
        <w:t>gps</w:t>
      </w:r>
      <w:proofErr w:type="spellEnd"/>
      <w:r>
        <w:t xml:space="preserve"> = global positioning system, </w:t>
      </w:r>
      <w:proofErr w:type="spellStart"/>
      <w:r>
        <w:t>gps.ptt</w:t>
      </w:r>
      <w:proofErr w:type="spellEnd"/>
      <w:r>
        <w:t xml:space="preserve"> = satellite-linked </w:t>
      </w:r>
      <w:proofErr w:type="spellStart"/>
      <w:r>
        <w:t>gps</w:t>
      </w:r>
      <w:proofErr w:type="spellEnd"/>
      <w:r>
        <w:t xml:space="preserve"> tag, </w:t>
      </w:r>
      <w:proofErr w:type="spellStart"/>
      <w:r>
        <w:t>gls</w:t>
      </w:r>
      <w:proofErr w:type="spellEnd"/>
      <w:r>
        <w:t xml:space="preserve"> = global location sensing.</w:t>
      </w:r>
    </w:p>
    <w:tbl>
      <w:tblPr>
        <w:tblStyle w:val="a"/>
        <w:tblW w:w="14081" w:type="dxa"/>
        <w:tblLayout w:type="fixed"/>
        <w:tblLook w:val="0400" w:firstRow="0" w:lastRow="0" w:firstColumn="0" w:lastColumn="0" w:noHBand="0" w:noVBand="1"/>
      </w:tblPr>
      <w:tblGrid>
        <w:gridCol w:w="1043"/>
        <w:gridCol w:w="882"/>
        <w:gridCol w:w="1680"/>
        <w:gridCol w:w="2255"/>
        <w:gridCol w:w="870"/>
        <w:gridCol w:w="665"/>
        <w:gridCol w:w="992"/>
        <w:gridCol w:w="1023"/>
        <w:gridCol w:w="266"/>
        <w:gridCol w:w="1107"/>
        <w:gridCol w:w="818"/>
        <w:gridCol w:w="2480"/>
      </w:tblGrid>
      <w:tr w:rsidR="008C1AFD">
        <w:trPr>
          <w:trHeight w:val="290"/>
        </w:trPr>
        <w:tc>
          <w:tcPr>
            <w:tcW w:w="1043" w:type="dxa"/>
            <w:tcBorders>
              <w:top w:val="single" w:sz="4" w:space="0" w:color="000000"/>
              <w:left w:val="nil"/>
              <w:bottom w:val="nil"/>
              <w:right w:val="nil"/>
            </w:tcBorders>
            <w:shd w:val="clear" w:color="auto" w:fill="auto"/>
            <w:vAlign w:val="bottom"/>
          </w:tcPr>
          <w:p w:rsidR="008C1AFD" w:rsidRDefault="00DB7348">
            <w:pPr>
              <w:spacing w:after="0" w:line="240" w:lineRule="auto"/>
              <w:rPr>
                <w:color w:val="000000"/>
              </w:rPr>
            </w:pPr>
            <w:r>
              <w:rPr>
                <w:color w:val="000000"/>
              </w:rPr>
              <w:t> </w:t>
            </w:r>
          </w:p>
        </w:tc>
        <w:tc>
          <w:tcPr>
            <w:tcW w:w="882" w:type="dxa"/>
            <w:tcBorders>
              <w:top w:val="single" w:sz="4" w:space="0" w:color="000000"/>
              <w:left w:val="nil"/>
              <w:bottom w:val="nil"/>
              <w:right w:val="nil"/>
            </w:tcBorders>
            <w:shd w:val="clear" w:color="auto" w:fill="auto"/>
            <w:vAlign w:val="bottom"/>
          </w:tcPr>
          <w:p w:rsidR="008C1AFD" w:rsidRDefault="00DB7348">
            <w:pPr>
              <w:spacing w:after="0" w:line="240" w:lineRule="auto"/>
              <w:rPr>
                <w:color w:val="000000"/>
              </w:rPr>
            </w:pPr>
            <w:r>
              <w:rPr>
                <w:color w:val="000000"/>
              </w:rPr>
              <w:t> </w:t>
            </w:r>
          </w:p>
        </w:tc>
        <w:tc>
          <w:tcPr>
            <w:tcW w:w="1680" w:type="dxa"/>
            <w:tcBorders>
              <w:top w:val="single" w:sz="4" w:space="0" w:color="000000"/>
              <w:left w:val="nil"/>
              <w:bottom w:val="nil"/>
              <w:right w:val="nil"/>
            </w:tcBorders>
            <w:shd w:val="clear" w:color="auto" w:fill="auto"/>
            <w:vAlign w:val="bottom"/>
          </w:tcPr>
          <w:p w:rsidR="008C1AFD" w:rsidRDefault="00DB7348">
            <w:pPr>
              <w:spacing w:after="0" w:line="240" w:lineRule="auto"/>
              <w:rPr>
                <w:color w:val="000000"/>
              </w:rPr>
            </w:pPr>
            <w:r>
              <w:rPr>
                <w:color w:val="000000"/>
              </w:rPr>
              <w:t> </w:t>
            </w:r>
          </w:p>
        </w:tc>
        <w:tc>
          <w:tcPr>
            <w:tcW w:w="5805" w:type="dxa"/>
            <w:gridSpan w:val="5"/>
            <w:tcBorders>
              <w:top w:val="single" w:sz="4" w:space="0" w:color="000000"/>
              <w:left w:val="nil"/>
              <w:bottom w:val="single" w:sz="4" w:space="0" w:color="000000"/>
              <w:right w:val="nil"/>
            </w:tcBorders>
            <w:shd w:val="clear" w:color="auto" w:fill="auto"/>
            <w:vAlign w:val="bottom"/>
          </w:tcPr>
          <w:p w:rsidR="008C1AFD" w:rsidRDefault="00DB7348">
            <w:pPr>
              <w:spacing w:after="0" w:line="240" w:lineRule="auto"/>
              <w:jc w:val="center"/>
              <w:rPr>
                <w:color w:val="000000"/>
              </w:rPr>
            </w:pPr>
            <w:r>
              <w:rPr>
                <w:color w:val="000000"/>
              </w:rPr>
              <w:t>Tracking effort</w:t>
            </w:r>
          </w:p>
        </w:tc>
        <w:tc>
          <w:tcPr>
            <w:tcW w:w="266" w:type="dxa"/>
            <w:tcBorders>
              <w:top w:val="single" w:sz="4" w:space="0" w:color="000000"/>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 </w:t>
            </w:r>
          </w:p>
        </w:tc>
        <w:tc>
          <w:tcPr>
            <w:tcW w:w="4405" w:type="dxa"/>
            <w:gridSpan w:val="3"/>
            <w:tcBorders>
              <w:top w:val="single" w:sz="4" w:space="0" w:color="000000"/>
              <w:left w:val="nil"/>
              <w:bottom w:val="single" w:sz="4" w:space="0" w:color="000000"/>
              <w:right w:val="nil"/>
            </w:tcBorders>
            <w:shd w:val="clear" w:color="auto" w:fill="auto"/>
            <w:vAlign w:val="bottom"/>
          </w:tcPr>
          <w:p w:rsidR="008C1AFD" w:rsidRDefault="00DB7348">
            <w:pPr>
              <w:spacing w:after="0" w:line="240" w:lineRule="auto"/>
              <w:jc w:val="center"/>
              <w:rPr>
                <w:color w:val="000000"/>
              </w:rPr>
            </w:pPr>
            <w:r>
              <w:rPr>
                <w:color w:val="000000"/>
              </w:rPr>
              <w:t>Colony size</w:t>
            </w:r>
          </w:p>
        </w:tc>
      </w:tr>
      <w:tr w:rsidR="008C1AFD">
        <w:trPr>
          <w:trHeight w:val="1290"/>
        </w:trPr>
        <w:tc>
          <w:tcPr>
            <w:tcW w:w="1043"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Species group</w:t>
            </w:r>
          </w:p>
        </w:tc>
        <w:tc>
          <w:tcPr>
            <w:tcW w:w="882"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Species</w:t>
            </w:r>
          </w:p>
        </w:tc>
        <w:tc>
          <w:tcPr>
            <w:tcW w:w="1680"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Site</w:t>
            </w:r>
          </w:p>
        </w:tc>
        <w:tc>
          <w:tcPr>
            <w:tcW w:w="2255"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Years</w:t>
            </w:r>
          </w:p>
        </w:tc>
        <w:tc>
          <w:tcPr>
            <w:tcW w:w="870"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Tag type</w:t>
            </w:r>
          </w:p>
        </w:tc>
        <w:tc>
          <w:tcPr>
            <w:tcW w:w="665"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Birds (n)</w:t>
            </w:r>
          </w:p>
        </w:tc>
        <w:tc>
          <w:tcPr>
            <w:tcW w:w="992"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Bird tracking days (n)</w:t>
            </w:r>
          </w:p>
        </w:tc>
        <w:tc>
          <w:tcPr>
            <w:tcW w:w="1023"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No. of locations (n)</w:t>
            </w:r>
          </w:p>
        </w:tc>
        <w:tc>
          <w:tcPr>
            <w:tcW w:w="266"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 </w:t>
            </w:r>
          </w:p>
        </w:tc>
        <w:tc>
          <w:tcPr>
            <w:tcW w:w="1107"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No. breeding pairs</w:t>
            </w:r>
          </w:p>
        </w:tc>
        <w:tc>
          <w:tcPr>
            <w:tcW w:w="818"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Survey year</w:t>
            </w:r>
          </w:p>
        </w:tc>
        <w:tc>
          <w:tcPr>
            <w:tcW w:w="2480"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Colony data source</w:t>
            </w:r>
          </w:p>
        </w:tc>
      </w:tr>
      <w:tr w:rsidR="008C1AFD">
        <w:trPr>
          <w:trHeight w:val="290"/>
        </w:trPr>
        <w:tc>
          <w:tcPr>
            <w:tcW w:w="1043" w:type="dxa"/>
            <w:tcBorders>
              <w:top w:val="nil"/>
              <w:left w:val="nil"/>
              <w:bottom w:val="nil"/>
              <w:right w:val="nil"/>
            </w:tcBorders>
            <w:shd w:val="clear" w:color="auto" w:fill="auto"/>
            <w:vAlign w:val="bottom"/>
          </w:tcPr>
          <w:p w:rsidR="008C1AFD" w:rsidRDefault="00DB7348">
            <w:pPr>
              <w:spacing w:after="0" w:line="240" w:lineRule="auto"/>
              <w:rPr>
                <w:color w:val="000000"/>
              </w:rPr>
            </w:pPr>
            <w:proofErr w:type="spellStart"/>
            <w:r>
              <w:rPr>
                <w:color w:val="000000"/>
              </w:rPr>
              <w:t>Seaducks</w:t>
            </w:r>
            <w:proofErr w:type="spellEnd"/>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COEI</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Bird</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ptt</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9</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173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804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75</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COEI</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West Brother</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ptt</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35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86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27</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COEI</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Metinic</w:t>
            </w:r>
            <w:proofErr w:type="spellEnd"/>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2012</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ptt</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4</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60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122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150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2015</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B. Allan, pers. comm.</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COEI</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Flag</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2010</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ptt</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4</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37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86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250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2016</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B. Allan, pers. comm.</w:t>
            </w:r>
          </w:p>
        </w:tc>
      </w:tr>
      <w:tr w:rsidR="008C1AFD">
        <w:trPr>
          <w:trHeight w:val="290"/>
        </w:trPr>
        <w:tc>
          <w:tcPr>
            <w:tcW w:w="104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Terns</w:t>
            </w: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ROST</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Country</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2003/2004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vhf</w:t>
            </w:r>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8</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23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28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27</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ROST</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North Brother</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7</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46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1,136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50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2016</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COTE</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Country</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2003/2004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vhf</w:t>
            </w:r>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14</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35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41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731</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COTE</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Machias</w:t>
            </w:r>
            <w:proofErr w:type="spellEnd"/>
            <w:r>
              <w:rPr>
                <w:color w:val="000000"/>
              </w:rPr>
              <w:t xml:space="preserve"> Seal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vhf</w:t>
            </w:r>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14</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23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27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660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2000</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ARTE</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Country</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2003/2004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vhf</w:t>
            </w:r>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13</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27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30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1,017</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2016</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ARTE</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Machias</w:t>
            </w:r>
            <w:proofErr w:type="spellEnd"/>
            <w:r>
              <w:rPr>
                <w:color w:val="000000"/>
              </w:rPr>
              <w:t xml:space="preserve"> Seal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vhf</w:t>
            </w:r>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12</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26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28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1998</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lastRenderedPageBreak/>
              <w:t>Gulls</w:t>
            </w: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GBBG</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Devil's</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29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464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154</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GBBG</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Sable</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2013-2016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r>
              <w:rPr>
                <w:color w:val="000000"/>
              </w:rPr>
              <w:t>/</w:t>
            </w:r>
            <w:proofErr w:type="spellStart"/>
            <w:r>
              <w:rPr>
                <w:color w:val="000000"/>
              </w:rPr>
              <w:t>ptt</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9</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372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1,733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472</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2012</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Ronconi et al. 2016</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HERG</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Gull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8</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853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45,555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1,608</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Bond et al. 2016</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HERG</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Kent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13</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1,023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40,566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5,900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Ronconi &amp; Wong 2003</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HERG</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Brier</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2014-2016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1,325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45,792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2,400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HERG</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Sable</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2012-2016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gps.ptt</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8</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958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13,276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951</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2012</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Ronconi et al. 2016</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BLKI</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Gull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8</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150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9,422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6,450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2015</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Auks</w:t>
            </w: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BLGU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Country</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5</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17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503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*579</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2012</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BLGU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Kent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7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128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*256</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Ronconi &amp; Wong 2003</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RAZO</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Gannet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22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3,154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14,300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2007</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RAZO</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Bicquette</w:t>
            </w:r>
            <w:proofErr w:type="spellEnd"/>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11</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139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4,860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84</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2016</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J.-F. Rail, pers. comm.</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RAZO</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Gros</w:t>
            </w:r>
            <w:proofErr w:type="spellEnd"/>
            <w:r>
              <w:rPr>
                <w:color w:val="000000"/>
              </w:rPr>
              <w:t xml:space="preserve"> Pot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27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418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**1315</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J.-F. Rail, pers. comm.</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RAZO</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Gros</w:t>
            </w:r>
            <w:proofErr w:type="spellEnd"/>
            <w:r>
              <w:rPr>
                <w:color w:val="000000"/>
              </w:rPr>
              <w:t xml:space="preserve"> </w:t>
            </w:r>
            <w:proofErr w:type="spellStart"/>
            <w:r>
              <w:rPr>
                <w:color w:val="000000"/>
              </w:rPr>
              <w:t>Pelerin</w:t>
            </w:r>
            <w:proofErr w:type="spellEnd"/>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144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7,646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**358</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2006</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J.-F. Rail, pers. comm.</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RAZO</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Machias</w:t>
            </w:r>
            <w:proofErr w:type="spellEnd"/>
            <w:r>
              <w:rPr>
                <w:color w:val="000000"/>
              </w:rPr>
              <w:t xml:space="preserve"> Seal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2014/2015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12</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58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1,498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3,290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2015</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ATPU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Gannet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10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2,044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34,600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1999</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ATPU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Gull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11</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41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3,934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118,400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2012</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ATPU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Machias</w:t>
            </w:r>
            <w:proofErr w:type="spellEnd"/>
            <w:r>
              <w:rPr>
                <w:color w:val="000000"/>
              </w:rPr>
              <w:t xml:space="preserve"> Seal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2014/2015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12</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40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1,124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7,838</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TBMU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Gannet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9</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35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3,320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1,480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2007</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COMU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Gannet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21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2,384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17,600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2007</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COMU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Funk</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9</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41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20,082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472,000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2009</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Wilhelm et al. 2015</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COMU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Cabot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2016</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35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7,985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9,900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2009</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COMU</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Gull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2010/2011</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10</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22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5,104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9,900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2012</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Gannet</w:t>
            </w: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NOGA</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Funk</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2003/2005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56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32,741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10,150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NOGA</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Bonaventure</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2003/2014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46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1,023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124,294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59,600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2009</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Rail et al. 2013</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NOGA</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Baccalieu</w:t>
            </w:r>
            <w:proofErr w:type="spellEnd"/>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2009</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gps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19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5,936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3,092</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Storm-</w:t>
            </w: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Baccalieu</w:t>
            </w:r>
            <w:proofErr w:type="spellEnd"/>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2013/2014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19</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186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284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2,023,000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petrels</w:t>
            </w: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Gull</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2013/2014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23</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294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427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180,000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2006</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Hedd et al. in press</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Middle Lawn</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2014/2015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19</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237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381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8,773</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2006</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 xml:space="preserve">Grand </w:t>
            </w:r>
            <w:proofErr w:type="spellStart"/>
            <w:r>
              <w:rPr>
                <w:color w:val="000000"/>
              </w:rPr>
              <w:t>Colombier</w:t>
            </w:r>
            <w:proofErr w:type="spellEnd"/>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31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54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384,000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2008</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Country</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2012/2013</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16</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197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348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11,990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CWS database</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Bird</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2013</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10</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183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327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1,000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2013</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Hedd et al. 2018</w:t>
            </w:r>
          </w:p>
        </w:tc>
      </w:tr>
      <w:tr w:rsidR="008C1AFD">
        <w:trPr>
          <w:trHeight w:val="290"/>
        </w:trPr>
        <w:tc>
          <w:tcPr>
            <w:tcW w:w="104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Kent</w:t>
            </w:r>
          </w:p>
        </w:tc>
        <w:tc>
          <w:tcPr>
            <w:tcW w:w="2255"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r>
              <w:rPr>
                <w:color w:val="000000"/>
              </w:rPr>
              <w:t>2013/2014</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32</w:t>
            </w:r>
          </w:p>
        </w:tc>
        <w:tc>
          <w:tcPr>
            <w:tcW w:w="99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462 </w:t>
            </w:r>
          </w:p>
        </w:tc>
        <w:tc>
          <w:tcPr>
            <w:tcW w:w="1023"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 xml:space="preserve">          916 </w:t>
            </w:r>
          </w:p>
        </w:tc>
        <w:tc>
          <w:tcPr>
            <w:tcW w:w="266"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1107"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25,000</w:t>
            </w:r>
          </w:p>
        </w:tc>
        <w:tc>
          <w:tcPr>
            <w:tcW w:w="818" w:type="dxa"/>
            <w:tcBorders>
              <w:top w:val="nil"/>
              <w:left w:val="nil"/>
              <w:bottom w:val="nil"/>
              <w:right w:val="nil"/>
            </w:tcBorders>
            <w:shd w:val="clear" w:color="auto" w:fill="auto"/>
            <w:vAlign w:val="bottom"/>
          </w:tcPr>
          <w:p w:rsidR="008C1AFD" w:rsidRDefault="00DB7348">
            <w:pPr>
              <w:spacing w:after="0" w:line="240" w:lineRule="auto"/>
              <w:jc w:val="right"/>
              <w:rPr>
                <w:color w:val="000000"/>
              </w:rPr>
            </w:pPr>
            <w:r>
              <w:rPr>
                <w:color w:val="000000"/>
              </w:rPr>
              <w:t>2001</w:t>
            </w:r>
          </w:p>
        </w:tc>
        <w:tc>
          <w:tcPr>
            <w:tcW w:w="2480"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Hedd et al. 2018</w:t>
            </w:r>
          </w:p>
        </w:tc>
      </w:tr>
      <w:tr w:rsidR="008C1AFD">
        <w:trPr>
          <w:trHeight w:val="300"/>
        </w:trPr>
        <w:tc>
          <w:tcPr>
            <w:tcW w:w="1043"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w:t>
            </w:r>
          </w:p>
        </w:tc>
        <w:tc>
          <w:tcPr>
            <w:tcW w:w="882" w:type="dxa"/>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t>LESP</w:t>
            </w:r>
          </w:p>
        </w:tc>
        <w:tc>
          <w:tcPr>
            <w:tcW w:w="1680"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Bon Portage</w:t>
            </w:r>
          </w:p>
        </w:tc>
        <w:tc>
          <w:tcPr>
            <w:tcW w:w="2255"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2012/2013/2014/2015</w:t>
            </w:r>
          </w:p>
        </w:tc>
        <w:tc>
          <w:tcPr>
            <w:tcW w:w="870" w:type="dxa"/>
            <w:tcBorders>
              <w:top w:val="nil"/>
              <w:left w:val="nil"/>
              <w:bottom w:val="nil"/>
              <w:right w:val="nil"/>
            </w:tcBorders>
            <w:shd w:val="clear" w:color="auto" w:fill="auto"/>
            <w:vAlign w:val="bottom"/>
          </w:tcPr>
          <w:p w:rsidR="008C1AFD" w:rsidRDefault="00DB7348">
            <w:pPr>
              <w:spacing w:after="0" w:line="240" w:lineRule="auto"/>
              <w:jc w:val="center"/>
              <w:rPr>
                <w:color w:val="000000"/>
              </w:rPr>
            </w:pPr>
            <w:proofErr w:type="spellStart"/>
            <w:r>
              <w:rPr>
                <w:color w:val="000000"/>
              </w:rPr>
              <w:t>gls</w:t>
            </w:r>
            <w:proofErr w:type="spellEnd"/>
          </w:p>
        </w:tc>
        <w:tc>
          <w:tcPr>
            <w:tcW w:w="665" w:type="dxa"/>
            <w:tcBorders>
              <w:top w:val="nil"/>
              <w:left w:val="nil"/>
              <w:bottom w:val="single" w:sz="8" w:space="0" w:color="000000"/>
              <w:right w:val="nil"/>
            </w:tcBorders>
            <w:shd w:val="clear" w:color="auto" w:fill="auto"/>
            <w:vAlign w:val="bottom"/>
          </w:tcPr>
          <w:p w:rsidR="008C1AFD" w:rsidRDefault="00DB7348">
            <w:pPr>
              <w:spacing w:after="0" w:line="240" w:lineRule="auto"/>
              <w:jc w:val="right"/>
              <w:rPr>
                <w:color w:val="000000"/>
              </w:rPr>
            </w:pPr>
            <w:r>
              <w:rPr>
                <w:color w:val="000000"/>
              </w:rPr>
              <w:t>43</w:t>
            </w:r>
          </w:p>
        </w:tc>
        <w:tc>
          <w:tcPr>
            <w:tcW w:w="992"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xml:space="preserve">          749 </w:t>
            </w:r>
          </w:p>
        </w:tc>
        <w:tc>
          <w:tcPr>
            <w:tcW w:w="1023"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xml:space="preserve">       1,373 </w:t>
            </w:r>
          </w:p>
        </w:tc>
        <w:tc>
          <w:tcPr>
            <w:tcW w:w="266"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w:t>
            </w:r>
          </w:p>
        </w:tc>
        <w:tc>
          <w:tcPr>
            <w:tcW w:w="1107" w:type="dxa"/>
            <w:tcBorders>
              <w:top w:val="nil"/>
              <w:left w:val="nil"/>
              <w:bottom w:val="single" w:sz="8" w:space="0" w:color="000000"/>
              <w:right w:val="nil"/>
            </w:tcBorders>
            <w:shd w:val="clear" w:color="auto" w:fill="auto"/>
            <w:vAlign w:val="bottom"/>
          </w:tcPr>
          <w:p w:rsidR="008C1AFD" w:rsidRDefault="00DB7348">
            <w:pPr>
              <w:spacing w:after="0" w:line="240" w:lineRule="auto"/>
              <w:jc w:val="right"/>
              <w:rPr>
                <w:color w:val="000000"/>
              </w:rPr>
            </w:pPr>
            <w:r>
              <w:rPr>
                <w:color w:val="000000"/>
              </w:rPr>
              <w:t>50,000</w:t>
            </w:r>
          </w:p>
        </w:tc>
        <w:tc>
          <w:tcPr>
            <w:tcW w:w="818" w:type="dxa"/>
            <w:tcBorders>
              <w:top w:val="nil"/>
              <w:left w:val="nil"/>
              <w:bottom w:val="single" w:sz="8" w:space="0" w:color="000000"/>
              <w:right w:val="nil"/>
            </w:tcBorders>
            <w:shd w:val="clear" w:color="auto" w:fill="auto"/>
            <w:vAlign w:val="bottom"/>
          </w:tcPr>
          <w:p w:rsidR="008C1AFD" w:rsidRDefault="00DB7348">
            <w:pPr>
              <w:spacing w:after="0" w:line="240" w:lineRule="auto"/>
              <w:jc w:val="right"/>
              <w:rPr>
                <w:color w:val="000000"/>
              </w:rPr>
            </w:pPr>
            <w:r>
              <w:rPr>
                <w:color w:val="000000"/>
              </w:rPr>
              <w:t>2001</w:t>
            </w:r>
          </w:p>
        </w:tc>
        <w:tc>
          <w:tcPr>
            <w:tcW w:w="2480"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Oxley 1999</w:t>
            </w:r>
          </w:p>
        </w:tc>
      </w:tr>
      <w:tr w:rsidR="008C1AFD">
        <w:trPr>
          <w:trHeight w:val="300"/>
        </w:trPr>
        <w:tc>
          <w:tcPr>
            <w:tcW w:w="1043"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Totals</w:t>
            </w:r>
          </w:p>
        </w:tc>
        <w:tc>
          <w:tcPr>
            <w:tcW w:w="882" w:type="dxa"/>
            <w:tcBorders>
              <w:top w:val="single" w:sz="8" w:space="0" w:color="000000"/>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14</w:t>
            </w:r>
          </w:p>
        </w:tc>
        <w:tc>
          <w:tcPr>
            <w:tcW w:w="1680"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23</w:t>
            </w:r>
          </w:p>
        </w:tc>
        <w:tc>
          <w:tcPr>
            <w:tcW w:w="2255" w:type="dxa"/>
            <w:tcBorders>
              <w:top w:val="nil"/>
              <w:left w:val="nil"/>
              <w:bottom w:val="single" w:sz="8" w:space="0" w:color="000000"/>
              <w:right w:val="nil"/>
            </w:tcBorders>
            <w:shd w:val="clear" w:color="auto" w:fill="auto"/>
            <w:vAlign w:val="bottom"/>
          </w:tcPr>
          <w:p w:rsidR="008C1AFD" w:rsidRDefault="00DB7348">
            <w:pPr>
              <w:spacing w:after="0" w:line="240" w:lineRule="auto"/>
              <w:jc w:val="center"/>
              <w:rPr>
                <w:color w:val="000000"/>
              </w:rPr>
            </w:pPr>
            <w:r>
              <w:rPr>
                <w:color w:val="000000"/>
              </w:rPr>
              <w:t>2009 thru 2016</w:t>
            </w:r>
          </w:p>
        </w:tc>
        <w:tc>
          <w:tcPr>
            <w:tcW w:w="870" w:type="dxa"/>
            <w:tcBorders>
              <w:top w:val="single" w:sz="8" w:space="0" w:color="000000"/>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w:t>
            </w:r>
          </w:p>
        </w:tc>
        <w:tc>
          <w:tcPr>
            <w:tcW w:w="665" w:type="dxa"/>
            <w:tcBorders>
              <w:top w:val="nil"/>
              <w:left w:val="nil"/>
              <w:bottom w:val="single" w:sz="8" w:space="0" w:color="000000"/>
              <w:right w:val="nil"/>
            </w:tcBorders>
            <w:shd w:val="clear" w:color="auto" w:fill="auto"/>
            <w:vAlign w:val="bottom"/>
          </w:tcPr>
          <w:p w:rsidR="008C1AFD" w:rsidRDefault="00DB7348">
            <w:pPr>
              <w:spacing w:after="0" w:line="240" w:lineRule="auto"/>
              <w:jc w:val="right"/>
              <w:rPr>
                <w:color w:val="000000"/>
              </w:rPr>
            </w:pPr>
            <w:r>
              <w:rPr>
                <w:color w:val="000000"/>
              </w:rPr>
              <w:t>520</w:t>
            </w:r>
          </w:p>
        </w:tc>
        <w:tc>
          <w:tcPr>
            <w:tcW w:w="992"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xml:space="preserve">       9,291 </w:t>
            </w:r>
          </w:p>
        </w:tc>
        <w:tc>
          <w:tcPr>
            <w:tcW w:w="1023"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xml:space="preserve">   390,461 </w:t>
            </w:r>
          </w:p>
        </w:tc>
        <w:tc>
          <w:tcPr>
            <w:tcW w:w="266"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w:t>
            </w:r>
          </w:p>
        </w:tc>
        <w:tc>
          <w:tcPr>
            <w:tcW w:w="1107"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w:t>
            </w:r>
          </w:p>
        </w:tc>
        <w:tc>
          <w:tcPr>
            <w:tcW w:w="818"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w:t>
            </w:r>
          </w:p>
        </w:tc>
        <w:tc>
          <w:tcPr>
            <w:tcW w:w="2480" w:type="dxa"/>
            <w:tcBorders>
              <w:top w:val="nil"/>
              <w:left w:val="nil"/>
              <w:bottom w:val="single" w:sz="8" w:space="0" w:color="000000"/>
              <w:right w:val="nil"/>
            </w:tcBorders>
            <w:shd w:val="clear" w:color="auto" w:fill="auto"/>
            <w:vAlign w:val="bottom"/>
          </w:tcPr>
          <w:p w:rsidR="008C1AFD" w:rsidRDefault="00DB7348">
            <w:pPr>
              <w:spacing w:after="0" w:line="240" w:lineRule="auto"/>
              <w:rPr>
                <w:color w:val="000000"/>
              </w:rPr>
            </w:pPr>
            <w:r>
              <w:rPr>
                <w:color w:val="000000"/>
              </w:rPr>
              <w:t> </w:t>
            </w:r>
          </w:p>
        </w:tc>
      </w:tr>
      <w:tr w:rsidR="008C1AFD">
        <w:trPr>
          <w:trHeight w:val="290"/>
        </w:trPr>
        <w:tc>
          <w:tcPr>
            <w:tcW w:w="8387" w:type="dxa"/>
            <w:gridSpan w:val="7"/>
            <w:tcBorders>
              <w:top w:val="nil"/>
              <w:left w:val="nil"/>
              <w:bottom w:val="nil"/>
              <w:right w:val="nil"/>
            </w:tcBorders>
            <w:shd w:val="clear" w:color="auto" w:fill="auto"/>
            <w:vAlign w:val="bottom"/>
          </w:tcPr>
          <w:p w:rsidR="008C1AFD" w:rsidRDefault="00DB7348">
            <w:pPr>
              <w:spacing w:after="0" w:line="240" w:lineRule="auto"/>
              <w:rPr>
                <w:color w:val="000000"/>
              </w:rPr>
            </w:pPr>
            <w:r>
              <w:rPr>
                <w:color w:val="000000"/>
              </w:rPr>
              <w:lastRenderedPageBreak/>
              <w:t>*number of individuals; **converted from individuals using multiplier of 0.75</w:t>
            </w:r>
          </w:p>
        </w:tc>
        <w:tc>
          <w:tcPr>
            <w:tcW w:w="1023" w:type="dxa"/>
            <w:tcBorders>
              <w:top w:val="nil"/>
              <w:left w:val="nil"/>
              <w:bottom w:val="nil"/>
              <w:right w:val="nil"/>
            </w:tcBorders>
            <w:shd w:val="clear" w:color="auto" w:fill="auto"/>
            <w:vAlign w:val="bottom"/>
          </w:tcPr>
          <w:p w:rsidR="008C1AFD" w:rsidRDefault="008C1AFD">
            <w:pPr>
              <w:spacing w:after="0" w:line="240" w:lineRule="auto"/>
              <w:rPr>
                <w:color w:val="000000"/>
              </w:rPr>
            </w:pPr>
          </w:p>
        </w:tc>
        <w:tc>
          <w:tcPr>
            <w:tcW w:w="266" w:type="dxa"/>
            <w:tcBorders>
              <w:top w:val="nil"/>
              <w:left w:val="nil"/>
              <w:bottom w:val="nil"/>
              <w:right w:val="nil"/>
            </w:tcBorders>
            <w:shd w:val="clear" w:color="auto" w:fill="auto"/>
            <w:vAlign w:val="bottom"/>
          </w:tcPr>
          <w:p w:rsidR="008C1AFD" w:rsidRDefault="008C1AFD">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auto"/>
            <w:vAlign w:val="bottom"/>
          </w:tcPr>
          <w:p w:rsidR="008C1AFD" w:rsidRDefault="008C1AFD">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vAlign w:val="bottom"/>
          </w:tcPr>
          <w:p w:rsidR="008C1AFD" w:rsidRDefault="008C1AFD">
            <w:pPr>
              <w:spacing w:after="0" w:line="240" w:lineRule="auto"/>
              <w:rPr>
                <w:rFonts w:ascii="Times New Roman" w:eastAsia="Times New Roman" w:hAnsi="Times New Roman" w:cs="Times New Roman"/>
                <w:sz w:val="20"/>
                <w:szCs w:val="20"/>
              </w:rPr>
            </w:pPr>
          </w:p>
        </w:tc>
        <w:tc>
          <w:tcPr>
            <w:tcW w:w="2480" w:type="dxa"/>
            <w:tcBorders>
              <w:top w:val="nil"/>
              <w:left w:val="nil"/>
              <w:bottom w:val="nil"/>
              <w:right w:val="nil"/>
            </w:tcBorders>
            <w:shd w:val="clear" w:color="auto" w:fill="auto"/>
            <w:vAlign w:val="bottom"/>
          </w:tcPr>
          <w:p w:rsidR="008C1AFD" w:rsidRDefault="008C1AFD">
            <w:pPr>
              <w:spacing w:after="0" w:line="240" w:lineRule="auto"/>
              <w:rPr>
                <w:rFonts w:ascii="Times New Roman" w:eastAsia="Times New Roman" w:hAnsi="Times New Roman" w:cs="Times New Roman"/>
                <w:sz w:val="20"/>
                <w:szCs w:val="20"/>
              </w:rPr>
            </w:pPr>
          </w:p>
        </w:tc>
      </w:tr>
    </w:tbl>
    <w:p w:rsidR="008C1AFD" w:rsidRDefault="008C1AFD"/>
    <w:tbl>
      <w:tblPr>
        <w:tblStyle w:val="a0"/>
        <w:tblW w:w="13041" w:type="dxa"/>
        <w:tblLayout w:type="fixed"/>
        <w:tblLook w:val="0400" w:firstRow="0" w:lastRow="0" w:firstColumn="0" w:lastColumn="0" w:noHBand="0" w:noVBand="1"/>
      </w:tblPr>
      <w:tblGrid>
        <w:gridCol w:w="13041"/>
      </w:tblGrid>
      <w:tr w:rsidR="008C1AFD">
        <w:trPr>
          <w:trHeight w:val="290"/>
        </w:trPr>
        <w:tc>
          <w:tcPr>
            <w:tcW w:w="13041" w:type="dxa"/>
            <w:tcBorders>
              <w:top w:val="nil"/>
              <w:left w:val="nil"/>
              <w:bottom w:val="nil"/>
              <w:right w:val="nil"/>
            </w:tcBorders>
            <w:shd w:val="clear" w:color="auto" w:fill="auto"/>
            <w:vAlign w:val="bottom"/>
          </w:tcPr>
          <w:p w:rsidR="008C1AFD" w:rsidRDefault="00DB7348">
            <w:pPr>
              <w:tabs>
                <w:tab w:val="left" w:pos="11057"/>
              </w:tabs>
              <w:spacing w:after="0" w:line="240" w:lineRule="auto"/>
              <w:ind w:right="-2373"/>
              <w:rPr>
                <w:b/>
                <w:color w:val="000000"/>
              </w:rPr>
            </w:pPr>
            <w:r>
              <w:rPr>
                <w:b/>
                <w:color w:val="000000"/>
              </w:rPr>
              <w:t>References:</w:t>
            </w:r>
          </w:p>
        </w:tc>
      </w:tr>
      <w:tr w:rsidR="008C1AFD">
        <w:trPr>
          <w:trHeight w:val="290"/>
        </w:trPr>
        <w:tc>
          <w:tcPr>
            <w:tcW w:w="13041" w:type="dxa"/>
            <w:tcBorders>
              <w:top w:val="nil"/>
              <w:left w:val="nil"/>
              <w:bottom w:val="nil"/>
              <w:right w:val="nil"/>
            </w:tcBorders>
            <w:shd w:val="clear" w:color="auto" w:fill="auto"/>
            <w:vAlign w:val="bottom"/>
          </w:tcPr>
          <w:p w:rsidR="008C1AFD" w:rsidRDefault="00DB7348">
            <w:pPr>
              <w:tabs>
                <w:tab w:val="left" w:pos="11057"/>
              </w:tabs>
              <w:spacing w:after="0" w:line="240" w:lineRule="auto"/>
              <w:rPr>
                <w:color w:val="000000"/>
              </w:rPr>
            </w:pPr>
            <w:r>
              <w:rPr>
                <w:color w:val="000000"/>
              </w:rPr>
              <w:t xml:space="preserve">Rail, J.-F., L. </w:t>
            </w:r>
            <w:proofErr w:type="spellStart"/>
            <w:r>
              <w:rPr>
                <w:color w:val="000000"/>
              </w:rPr>
              <w:t>Champoux</w:t>
            </w:r>
            <w:proofErr w:type="spellEnd"/>
            <w:r>
              <w:rPr>
                <w:color w:val="000000"/>
              </w:rPr>
              <w:t xml:space="preserve">, R. A., Lavoie and G. </w:t>
            </w:r>
            <w:proofErr w:type="spellStart"/>
            <w:r>
              <w:rPr>
                <w:color w:val="000000"/>
              </w:rPr>
              <w:t>Chapdelaine</w:t>
            </w:r>
            <w:proofErr w:type="spellEnd"/>
            <w:r>
              <w:rPr>
                <w:color w:val="000000"/>
              </w:rPr>
              <w:t xml:space="preserve"> (2013)</w:t>
            </w:r>
            <w:r>
              <w:rPr>
                <w:color w:val="000000"/>
              </w:rPr>
              <w:t xml:space="preserve"> Monitoring of the population and contamination of the Northern Gannet in Quebec, 1966–2009. Technical Report Series No. 528. Canadian Wildlife Service, Quebec Region, Environment Canada, ix +75 pages + appendices.</w:t>
            </w:r>
          </w:p>
        </w:tc>
      </w:tr>
      <w:tr w:rsidR="008C1AFD">
        <w:trPr>
          <w:trHeight w:val="290"/>
        </w:trPr>
        <w:tc>
          <w:tcPr>
            <w:tcW w:w="13041" w:type="dxa"/>
            <w:tcBorders>
              <w:top w:val="nil"/>
              <w:left w:val="nil"/>
              <w:bottom w:val="nil"/>
              <w:right w:val="nil"/>
            </w:tcBorders>
            <w:shd w:val="clear" w:color="auto" w:fill="auto"/>
            <w:vAlign w:val="bottom"/>
          </w:tcPr>
          <w:p w:rsidR="008C1AFD" w:rsidRDefault="008C1AFD">
            <w:pPr>
              <w:tabs>
                <w:tab w:val="left" w:pos="11057"/>
              </w:tabs>
              <w:spacing w:after="0" w:line="240" w:lineRule="auto"/>
              <w:rPr>
                <w:color w:val="000000"/>
              </w:rPr>
            </w:pPr>
          </w:p>
          <w:p w:rsidR="008C1AFD" w:rsidRDefault="00DB7348">
            <w:pPr>
              <w:tabs>
                <w:tab w:val="left" w:pos="11057"/>
              </w:tabs>
              <w:spacing w:after="0" w:line="240" w:lineRule="auto"/>
              <w:rPr>
                <w:color w:val="000000"/>
              </w:rPr>
            </w:pPr>
            <w:r>
              <w:rPr>
                <w:color w:val="000000"/>
              </w:rPr>
              <w:t xml:space="preserve">Oxley </w:t>
            </w:r>
            <w:r>
              <w:t>J.R.</w:t>
            </w:r>
            <w:r>
              <w:rPr>
                <w:color w:val="000000"/>
              </w:rPr>
              <w:t xml:space="preserve"> (1999) Nesting distribution </w:t>
            </w:r>
            <w:r>
              <w:rPr>
                <w:color w:val="000000"/>
              </w:rPr>
              <w:t>and abundance of Leach’s Storm-petrel (</w:t>
            </w:r>
            <w:proofErr w:type="spellStart"/>
            <w:r>
              <w:rPr>
                <w:i/>
                <w:color w:val="000000"/>
              </w:rPr>
              <w:t>Oceanodroma</w:t>
            </w:r>
            <w:proofErr w:type="spellEnd"/>
            <w:r>
              <w:rPr>
                <w:i/>
                <w:color w:val="000000"/>
              </w:rPr>
              <w:t xml:space="preserve"> </w:t>
            </w:r>
            <w:proofErr w:type="spellStart"/>
            <w:r>
              <w:rPr>
                <w:i/>
                <w:color w:val="000000"/>
              </w:rPr>
              <w:t>leucorhoa</w:t>
            </w:r>
            <w:proofErr w:type="spellEnd"/>
            <w:r>
              <w:rPr>
                <w:color w:val="000000"/>
              </w:rPr>
              <w:t>) on Bon Portage Island, Nova Scotia. MSc Thesis, Acadia University.</w:t>
            </w:r>
          </w:p>
        </w:tc>
      </w:tr>
      <w:tr w:rsidR="008C1AFD">
        <w:trPr>
          <w:trHeight w:val="1035"/>
        </w:trPr>
        <w:tc>
          <w:tcPr>
            <w:tcW w:w="13041" w:type="dxa"/>
            <w:tcBorders>
              <w:top w:val="nil"/>
              <w:left w:val="nil"/>
              <w:bottom w:val="nil"/>
              <w:right w:val="nil"/>
            </w:tcBorders>
            <w:shd w:val="clear" w:color="auto" w:fill="auto"/>
            <w:vAlign w:val="bottom"/>
          </w:tcPr>
          <w:p w:rsidR="008C1AFD" w:rsidRDefault="008C1AFD">
            <w:pPr>
              <w:tabs>
                <w:tab w:val="left" w:pos="11057"/>
              </w:tabs>
              <w:spacing w:after="0" w:line="240" w:lineRule="auto"/>
              <w:rPr>
                <w:color w:val="000000"/>
              </w:rPr>
            </w:pPr>
          </w:p>
          <w:p w:rsidR="008C1AFD" w:rsidRDefault="00DB7348">
            <w:pPr>
              <w:tabs>
                <w:tab w:val="left" w:pos="11057"/>
              </w:tabs>
              <w:spacing w:after="0" w:line="240" w:lineRule="auto"/>
              <w:rPr>
                <w:color w:val="000000"/>
              </w:rPr>
            </w:pPr>
            <w:r>
              <w:rPr>
                <w:color w:val="000000"/>
              </w:rPr>
              <w:t xml:space="preserve">Hedd, A., I.L. </w:t>
            </w:r>
            <w:proofErr w:type="spellStart"/>
            <w:r>
              <w:rPr>
                <w:color w:val="000000"/>
              </w:rPr>
              <w:t>Pollet</w:t>
            </w:r>
            <w:proofErr w:type="spellEnd"/>
            <w:r>
              <w:rPr>
                <w:color w:val="000000"/>
              </w:rPr>
              <w:t xml:space="preserve">, R.A. Mauck, C.M. Burke, M.L. Mallory, L.A. McFarlane Tranquilla, W.A. </w:t>
            </w:r>
            <w:proofErr w:type="spellStart"/>
            <w:r>
              <w:rPr>
                <w:color w:val="000000"/>
              </w:rPr>
              <w:t>Montevecchi</w:t>
            </w:r>
            <w:proofErr w:type="spellEnd"/>
            <w:r>
              <w:rPr>
                <w:color w:val="000000"/>
              </w:rPr>
              <w:t>, G.J. Robertson, R.A</w:t>
            </w:r>
            <w:r>
              <w:rPr>
                <w:color w:val="000000"/>
              </w:rPr>
              <w:t xml:space="preserve">. Ronconi, D. Shutler, S.I. Wilhelm, N.M. Burgess (2018) </w:t>
            </w:r>
            <w:r>
              <w:t xml:space="preserve">Foraging areas, offshore habitat use, and colony overlap by incubating Leach’s storm-petrels </w:t>
            </w:r>
            <w:proofErr w:type="spellStart"/>
            <w:r>
              <w:rPr>
                <w:i/>
              </w:rPr>
              <w:t>Oceanodroma</w:t>
            </w:r>
            <w:proofErr w:type="spellEnd"/>
            <w:r>
              <w:rPr>
                <w:i/>
              </w:rPr>
              <w:t xml:space="preserve"> </w:t>
            </w:r>
            <w:proofErr w:type="spellStart"/>
            <w:r>
              <w:rPr>
                <w:i/>
              </w:rPr>
              <w:t>leucorhoa</w:t>
            </w:r>
            <w:proofErr w:type="spellEnd"/>
            <w:r>
              <w:t xml:space="preserve"> in the Northwest Atlantic. </w:t>
            </w:r>
            <w:proofErr w:type="spellStart"/>
            <w:r>
              <w:t>PLoS</w:t>
            </w:r>
            <w:proofErr w:type="spellEnd"/>
            <w:r>
              <w:t xml:space="preserve"> ONE 13(5): e0194389. </w:t>
            </w:r>
            <w:hyperlink r:id="rId7">
              <w:r>
                <w:rPr>
                  <w:color w:val="0563C1"/>
                  <w:u w:val="single"/>
                </w:rPr>
                <w:t>https://doi.org/10.1371/journal.pone.0194389</w:t>
              </w:r>
            </w:hyperlink>
            <w:r>
              <w:t xml:space="preserve"> </w:t>
            </w:r>
          </w:p>
        </w:tc>
      </w:tr>
      <w:tr w:rsidR="008C1AFD">
        <w:trPr>
          <w:trHeight w:val="290"/>
        </w:trPr>
        <w:tc>
          <w:tcPr>
            <w:tcW w:w="13041" w:type="dxa"/>
            <w:tcBorders>
              <w:top w:val="nil"/>
              <w:left w:val="nil"/>
              <w:bottom w:val="nil"/>
              <w:right w:val="nil"/>
            </w:tcBorders>
            <w:shd w:val="clear" w:color="auto" w:fill="auto"/>
            <w:vAlign w:val="bottom"/>
          </w:tcPr>
          <w:p w:rsidR="008C1AFD" w:rsidRDefault="008C1AFD">
            <w:pPr>
              <w:tabs>
                <w:tab w:val="left" w:pos="11057"/>
              </w:tabs>
              <w:spacing w:after="0" w:line="240" w:lineRule="auto"/>
              <w:rPr>
                <w:color w:val="000000"/>
              </w:rPr>
            </w:pPr>
          </w:p>
          <w:p w:rsidR="008C1AFD" w:rsidRDefault="00DB7348">
            <w:pPr>
              <w:tabs>
                <w:tab w:val="left" w:pos="11057"/>
              </w:tabs>
              <w:spacing w:after="0" w:line="240" w:lineRule="auto"/>
              <w:rPr>
                <w:color w:val="000000"/>
              </w:rPr>
            </w:pPr>
            <w:r>
              <w:rPr>
                <w:color w:val="000000"/>
              </w:rPr>
              <w:t xml:space="preserve">Ronconi, R.A., J.R. Stephens, Z.J. </w:t>
            </w:r>
            <w:proofErr w:type="spellStart"/>
            <w:r>
              <w:rPr>
                <w:color w:val="000000"/>
              </w:rPr>
              <w:t>Crysler</w:t>
            </w:r>
            <w:proofErr w:type="spellEnd"/>
            <w:r>
              <w:rPr>
                <w:color w:val="000000"/>
              </w:rPr>
              <w:t xml:space="preserve">, I.L </w:t>
            </w:r>
            <w:proofErr w:type="spellStart"/>
            <w:r>
              <w:rPr>
                <w:color w:val="000000"/>
              </w:rPr>
              <w:t>Pollet</w:t>
            </w:r>
            <w:proofErr w:type="spellEnd"/>
            <w:r>
              <w:rPr>
                <w:color w:val="000000"/>
              </w:rPr>
              <w:t>, D.T. Fife, A.G. Horn, P.D. Taylor (2016) Distribution, abundance and trends of gulls and terns breeding on Sable Island</w:t>
            </w:r>
            <w:r>
              <w:rPr>
                <w:color w:val="000000"/>
              </w:rPr>
              <w:t xml:space="preserve">, Nova Scotia, Canada.  </w:t>
            </w:r>
            <w:proofErr w:type="spellStart"/>
            <w:r>
              <w:rPr>
                <w:color w:val="000000"/>
              </w:rPr>
              <w:t>Waterbirds</w:t>
            </w:r>
            <w:proofErr w:type="spellEnd"/>
            <w:r>
              <w:rPr>
                <w:color w:val="000000"/>
              </w:rPr>
              <w:t xml:space="preserve">, 39(Special Publication 1): 44-56. </w:t>
            </w:r>
          </w:p>
        </w:tc>
      </w:tr>
      <w:tr w:rsidR="008C1AFD">
        <w:trPr>
          <w:trHeight w:val="290"/>
        </w:trPr>
        <w:tc>
          <w:tcPr>
            <w:tcW w:w="13041" w:type="dxa"/>
            <w:tcBorders>
              <w:top w:val="nil"/>
              <w:left w:val="nil"/>
              <w:bottom w:val="nil"/>
              <w:right w:val="nil"/>
            </w:tcBorders>
            <w:shd w:val="clear" w:color="auto" w:fill="auto"/>
            <w:vAlign w:val="bottom"/>
          </w:tcPr>
          <w:p w:rsidR="008C1AFD" w:rsidRDefault="008C1AFD">
            <w:pPr>
              <w:tabs>
                <w:tab w:val="left" w:pos="11057"/>
              </w:tabs>
              <w:spacing w:after="0" w:line="240" w:lineRule="auto"/>
              <w:rPr>
                <w:color w:val="000000"/>
              </w:rPr>
            </w:pPr>
          </w:p>
          <w:p w:rsidR="008C1AFD" w:rsidRDefault="00DB7348">
            <w:pPr>
              <w:tabs>
                <w:tab w:val="left" w:pos="11057"/>
              </w:tabs>
              <w:spacing w:after="0" w:line="240" w:lineRule="auto"/>
              <w:rPr>
                <w:color w:val="000000"/>
              </w:rPr>
            </w:pPr>
            <w:r>
              <w:rPr>
                <w:color w:val="000000"/>
              </w:rPr>
              <w:t>Wilhelm, S.I., J.-F. Rail, P.M. Regular, C. Gjerdrum, G.J. Robertson (2016) Large-scale changes in abundance of breeding Herring Gulls (</w:t>
            </w:r>
            <w:proofErr w:type="spellStart"/>
            <w:r>
              <w:rPr>
                <w:i/>
                <w:color w:val="000000"/>
              </w:rPr>
              <w:t>Larus</w:t>
            </w:r>
            <w:proofErr w:type="spellEnd"/>
            <w:r>
              <w:rPr>
                <w:i/>
                <w:color w:val="000000"/>
              </w:rPr>
              <w:t xml:space="preserve"> </w:t>
            </w:r>
            <w:proofErr w:type="spellStart"/>
            <w:r>
              <w:rPr>
                <w:i/>
                <w:color w:val="000000"/>
              </w:rPr>
              <w:t>argentatus</w:t>
            </w:r>
            <w:proofErr w:type="spellEnd"/>
            <w:r>
              <w:rPr>
                <w:color w:val="000000"/>
              </w:rPr>
              <w:t xml:space="preserve">) and Great Black-backed Gulls </w:t>
            </w:r>
            <w:r>
              <w:rPr>
                <w:color w:val="000000"/>
              </w:rPr>
              <w:t>(</w:t>
            </w:r>
            <w:proofErr w:type="spellStart"/>
            <w:r>
              <w:rPr>
                <w:i/>
                <w:color w:val="000000"/>
              </w:rPr>
              <w:t>Larus</w:t>
            </w:r>
            <w:proofErr w:type="spellEnd"/>
            <w:r>
              <w:rPr>
                <w:i/>
                <w:color w:val="000000"/>
              </w:rPr>
              <w:t xml:space="preserve"> </w:t>
            </w:r>
            <w:proofErr w:type="spellStart"/>
            <w:r>
              <w:rPr>
                <w:i/>
                <w:color w:val="000000"/>
              </w:rPr>
              <w:t>marinus</w:t>
            </w:r>
            <w:proofErr w:type="spellEnd"/>
            <w:r>
              <w:rPr>
                <w:color w:val="000000"/>
              </w:rPr>
              <w:t xml:space="preserve">) relative to reduced fishing activities in Southeastern Canada. </w:t>
            </w:r>
            <w:proofErr w:type="spellStart"/>
            <w:r>
              <w:rPr>
                <w:color w:val="000000"/>
              </w:rPr>
              <w:t>Waterbirds</w:t>
            </w:r>
            <w:proofErr w:type="spellEnd"/>
            <w:r>
              <w:rPr>
                <w:color w:val="000000"/>
              </w:rPr>
              <w:t xml:space="preserve"> 39(Special Publication 1): 136-142.</w:t>
            </w:r>
          </w:p>
        </w:tc>
      </w:tr>
      <w:tr w:rsidR="008C1AFD">
        <w:trPr>
          <w:trHeight w:val="290"/>
        </w:trPr>
        <w:tc>
          <w:tcPr>
            <w:tcW w:w="13041" w:type="dxa"/>
            <w:tcBorders>
              <w:top w:val="nil"/>
              <w:left w:val="nil"/>
              <w:bottom w:val="nil"/>
              <w:right w:val="nil"/>
            </w:tcBorders>
            <w:shd w:val="clear" w:color="auto" w:fill="auto"/>
            <w:vAlign w:val="bottom"/>
          </w:tcPr>
          <w:p w:rsidR="008C1AFD" w:rsidRDefault="008C1AFD">
            <w:pPr>
              <w:tabs>
                <w:tab w:val="left" w:pos="11057"/>
              </w:tabs>
              <w:spacing w:after="0" w:line="240" w:lineRule="auto"/>
              <w:rPr>
                <w:color w:val="000000"/>
              </w:rPr>
            </w:pPr>
          </w:p>
          <w:p w:rsidR="008C1AFD" w:rsidRDefault="00DB7348">
            <w:pPr>
              <w:tabs>
                <w:tab w:val="left" w:pos="11057"/>
              </w:tabs>
              <w:spacing w:after="0" w:line="240" w:lineRule="auto"/>
              <w:rPr>
                <w:color w:val="000000"/>
              </w:rPr>
            </w:pPr>
            <w:r>
              <w:rPr>
                <w:color w:val="000000"/>
              </w:rPr>
              <w:t>Bond, A.L., S.I. Wilhelm, G.J. Robertson, S. Avery-</w:t>
            </w:r>
            <w:proofErr w:type="spellStart"/>
            <w:r>
              <w:rPr>
                <w:color w:val="000000"/>
              </w:rPr>
              <w:t>Gomm</w:t>
            </w:r>
            <w:proofErr w:type="spellEnd"/>
            <w:r>
              <w:rPr>
                <w:color w:val="000000"/>
              </w:rPr>
              <w:t xml:space="preserve"> (2016) Differential declines among nesting habitats of breeding Herring Gulls (</w:t>
            </w:r>
            <w:proofErr w:type="spellStart"/>
            <w:r>
              <w:rPr>
                <w:color w:val="000000"/>
              </w:rPr>
              <w:t>Larus</w:t>
            </w:r>
            <w:proofErr w:type="spellEnd"/>
            <w:r>
              <w:rPr>
                <w:color w:val="000000"/>
              </w:rPr>
              <w:t xml:space="preserve"> </w:t>
            </w:r>
            <w:proofErr w:type="spellStart"/>
            <w:r>
              <w:rPr>
                <w:color w:val="000000"/>
              </w:rPr>
              <w:t>argentatus</w:t>
            </w:r>
            <w:proofErr w:type="spellEnd"/>
            <w:r>
              <w:rPr>
                <w:color w:val="000000"/>
              </w:rPr>
              <w:t>) and Great Black-backed Gulls (</w:t>
            </w:r>
            <w:proofErr w:type="spellStart"/>
            <w:r>
              <w:rPr>
                <w:color w:val="000000"/>
              </w:rPr>
              <w:t>Larus</w:t>
            </w:r>
            <w:proofErr w:type="spellEnd"/>
            <w:r>
              <w:rPr>
                <w:color w:val="000000"/>
              </w:rPr>
              <w:t xml:space="preserve"> </w:t>
            </w:r>
            <w:proofErr w:type="spellStart"/>
            <w:r>
              <w:rPr>
                <w:color w:val="000000"/>
              </w:rPr>
              <w:t>marinus</w:t>
            </w:r>
            <w:proofErr w:type="spellEnd"/>
            <w:r>
              <w:rPr>
                <w:color w:val="000000"/>
              </w:rPr>
              <w:t xml:space="preserve">) in Witless Bay, Newfoundland and Labrador, Canada. </w:t>
            </w:r>
            <w:proofErr w:type="spellStart"/>
            <w:r>
              <w:rPr>
                <w:color w:val="000000"/>
              </w:rPr>
              <w:t>Waterbi</w:t>
            </w:r>
            <w:r>
              <w:rPr>
                <w:color w:val="000000"/>
              </w:rPr>
              <w:t>rds</w:t>
            </w:r>
            <w:proofErr w:type="spellEnd"/>
            <w:r>
              <w:rPr>
                <w:color w:val="000000"/>
              </w:rPr>
              <w:t xml:space="preserve"> 39(Special Publication 1): 143-151. </w:t>
            </w:r>
          </w:p>
        </w:tc>
      </w:tr>
      <w:tr w:rsidR="008C1AFD">
        <w:trPr>
          <w:trHeight w:val="56"/>
        </w:trPr>
        <w:tc>
          <w:tcPr>
            <w:tcW w:w="13041" w:type="dxa"/>
            <w:tcBorders>
              <w:top w:val="nil"/>
              <w:left w:val="nil"/>
              <w:bottom w:val="nil"/>
              <w:right w:val="nil"/>
            </w:tcBorders>
            <w:shd w:val="clear" w:color="auto" w:fill="auto"/>
            <w:vAlign w:val="bottom"/>
          </w:tcPr>
          <w:p w:rsidR="008C1AFD" w:rsidRDefault="008C1AFD">
            <w:pPr>
              <w:tabs>
                <w:tab w:val="left" w:pos="11057"/>
              </w:tabs>
              <w:spacing w:after="0" w:line="240" w:lineRule="auto"/>
              <w:rPr>
                <w:color w:val="000000"/>
              </w:rPr>
            </w:pPr>
          </w:p>
          <w:p w:rsidR="008C1AFD" w:rsidRDefault="00DB7348">
            <w:pPr>
              <w:tabs>
                <w:tab w:val="left" w:pos="11057"/>
              </w:tabs>
              <w:spacing w:after="0" w:line="240" w:lineRule="auto"/>
              <w:rPr>
                <w:color w:val="000000"/>
              </w:rPr>
            </w:pPr>
            <w:r>
              <w:rPr>
                <w:color w:val="000000"/>
              </w:rPr>
              <w:t xml:space="preserve">Ronconi, R.A. &amp; S.N.P. Wong (2003) Estimates of changes in seabird numbers in the Grand Manan Archipelago, New Brunswick, Canada.  </w:t>
            </w:r>
            <w:proofErr w:type="spellStart"/>
            <w:r>
              <w:rPr>
                <w:color w:val="000000"/>
              </w:rPr>
              <w:t>Waterbirds</w:t>
            </w:r>
            <w:proofErr w:type="spellEnd"/>
            <w:r>
              <w:rPr>
                <w:color w:val="000000"/>
              </w:rPr>
              <w:t xml:space="preserve"> 26: 462-472.</w:t>
            </w:r>
          </w:p>
        </w:tc>
      </w:tr>
    </w:tbl>
    <w:p w:rsidR="008C1AFD" w:rsidRDefault="008C1AFD">
      <w:pPr>
        <w:tabs>
          <w:tab w:val="left" w:pos="11057"/>
        </w:tabs>
        <w:sectPr w:rsidR="008C1AFD">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1440" w:header="709" w:footer="709" w:gutter="0"/>
          <w:pgNumType w:start="1"/>
          <w:cols w:space="720"/>
        </w:sectPr>
      </w:pPr>
    </w:p>
    <w:p w:rsidR="008C1AFD" w:rsidRDefault="008C1AFD">
      <w:bookmarkStart w:id="0" w:name="_heading=h.gjdgxs" w:colFirst="0" w:colLast="0"/>
      <w:bookmarkEnd w:id="0"/>
    </w:p>
    <w:p w:rsidR="008C1AFD" w:rsidRDefault="00DB7348">
      <w:bookmarkStart w:id="1" w:name="_GoBack"/>
      <w:bookmarkEnd w:id="1"/>
      <w:r>
        <w:rPr>
          <w:b/>
        </w:rPr>
        <w:t>Figures S1</w:t>
      </w:r>
      <w:r>
        <w:t xml:space="preserve">. Smoothed density estimates of telemetry locations with respect to distance from nest (upper panels) and distance to shoreline (lower panels) for seabird species tracked in Atlantic Canada (see Figure 4 of main text for Atlantic puffin and herring gull). </w:t>
      </w:r>
      <w:r>
        <w:t xml:space="preserve"> Density estimates are scaled from 0 to 1 for each study colony, whereby 1 is the distance at which the highest density of locations occurs.  Dashed vertical lines show 99</w:t>
      </w:r>
      <w:r>
        <w:rPr>
          <w:vertAlign w:val="superscript"/>
        </w:rPr>
        <w:t>th</w:t>
      </w:r>
      <w:r>
        <w:t xml:space="preserve"> percentile of distance measurements (Table 3). </w:t>
      </w:r>
    </w:p>
    <w:p w:rsidR="008C1AFD" w:rsidRDefault="00DB7348">
      <w:r>
        <w:t xml:space="preserve"> </w:t>
      </w:r>
    </w:p>
    <w:p w:rsidR="008C1AFD" w:rsidRDefault="00DB7348">
      <w:r>
        <w:rPr>
          <w:noProof/>
        </w:rPr>
        <w:drawing>
          <wp:inline distT="0" distB="0" distL="0" distR="0">
            <wp:extent cx="5486400" cy="2742565"/>
            <wp:effectExtent l="0" t="0" r="0" b="0"/>
            <wp:docPr id="4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4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486400" cy="2742565"/>
                    </a:xfrm>
                    <a:prstGeom prst="rect">
                      <a:avLst/>
                    </a:prstGeom>
                    <a:ln/>
                  </pic:spPr>
                </pic:pic>
              </a:graphicData>
            </a:graphic>
          </wp:inline>
        </w:drawing>
      </w:r>
    </w:p>
    <w:p w:rsidR="008C1AFD" w:rsidRDefault="008C1AFD"/>
    <w:p w:rsidR="008C1AFD" w:rsidRDefault="00DB7348">
      <w:r>
        <w:rPr>
          <w:noProof/>
        </w:rPr>
        <w:lastRenderedPageBreak/>
        <w:drawing>
          <wp:inline distT="0" distB="0" distL="0" distR="0">
            <wp:extent cx="5486400" cy="2742565"/>
            <wp:effectExtent l="0" t="0" r="0" b="0"/>
            <wp:docPr id="4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4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486400" cy="2742565"/>
                    </a:xfrm>
                    <a:prstGeom prst="rect">
                      <a:avLst/>
                    </a:prstGeom>
                    <a:ln/>
                  </pic:spPr>
                </pic:pic>
              </a:graphicData>
            </a:graphic>
          </wp:inline>
        </w:drawing>
      </w:r>
    </w:p>
    <w:p w:rsidR="008C1AFD" w:rsidRDefault="008C1AFD"/>
    <w:p w:rsidR="008C1AFD" w:rsidRDefault="00DB7348">
      <w:r>
        <w:rPr>
          <w:noProof/>
        </w:rPr>
        <w:lastRenderedPageBreak/>
        <w:drawing>
          <wp:inline distT="0" distB="0" distL="0" distR="0">
            <wp:extent cx="5486400" cy="2742565"/>
            <wp:effectExtent l="0" t="0" r="0" b="0"/>
            <wp:docPr id="4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486400" cy="2742565"/>
                    </a:xfrm>
                    <a:prstGeom prst="rect">
                      <a:avLst/>
                    </a:prstGeom>
                    <a:ln/>
                  </pic:spPr>
                </pic:pic>
              </a:graphicData>
            </a:graphic>
          </wp:inline>
        </w:drawing>
      </w:r>
    </w:p>
    <w:p w:rsidR="008C1AFD" w:rsidRDefault="00DB7348">
      <w:r>
        <w:rPr>
          <w:noProof/>
        </w:rPr>
        <w:lastRenderedPageBreak/>
        <w:drawing>
          <wp:inline distT="0" distB="0" distL="0" distR="0">
            <wp:extent cx="5486400" cy="2742565"/>
            <wp:effectExtent l="0" t="0" r="0" b="0"/>
            <wp:docPr id="4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5486400" cy="2742565"/>
                    </a:xfrm>
                    <a:prstGeom prst="rect">
                      <a:avLst/>
                    </a:prstGeom>
                    <a:ln/>
                  </pic:spPr>
                </pic:pic>
              </a:graphicData>
            </a:graphic>
          </wp:inline>
        </w:drawing>
      </w:r>
    </w:p>
    <w:p w:rsidR="008C1AFD" w:rsidRDefault="008C1AFD"/>
    <w:p w:rsidR="008C1AFD" w:rsidRDefault="00DB7348">
      <w:r>
        <w:rPr>
          <w:noProof/>
        </w:rPr>
        <w:lastRenderedPageBreak/>
        <w:drawing>
          <wp:inline distT="0" distB="0" distL="0" distR="0">
            <wp:extent cx="5486400" cy="2742565"/>
            <wp:effectExtent l="0" t="0" r="0" b="0"/>
            <wp:docPr id="4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5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5486400" cy="2742565"/>
                    </a:xfrm>
                    <a:prstGeom prst="rect">
                      <a:avLst/>
                    </a:prstGeom>
                    <a:ln/>
                  </pic:spPr>
                </pic:pic>
              </a:graphicData>
            </a:graphic>
          </wp:inline>
        </w:drawing>
      </w:r>
      <w:r>
        <w:rPr>
          <w:noProof/>
        </w:rPr>
        <w:lastRenderedPageBreak/>
        <w:drawing>
          <wp:inline distT="0" distB="0" distL="0" distR="0">
            <wp:extent cx="5486400" cy="2742565"/>
            <wp:effectExtent l="0" t="0" r="0" b="0"/>
            <wp:docPr id="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5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5486400" cy="2742565"/>
                    </a:xfrm>
                    <a:prstGeom prst="rect">
                      <a:avLst/>
                    </a:prstGeom>
                    <a:ln/>
                  </pic:spPr>
                </pic:pic>
              </a:graphicData>
            </a:graphic>
          </wp:inline>
        </w:drawing>
      </w:r>
    </w:p>
    <w:p w:rsidR="008C1AFD" w:rsidRDefault="00DB7348">
      <w:r>
        <w:rPr>
          <w:noProof/>
        </w:rPr>
        <w:lastRenderedPageBreak/>
        <w:drawing>
          <wp:inline distT="0" distB="0" distL="0" distR="0">
            <wp:extent cx="5486400" cy="2742565"/>
            <wp:effectExtent l="0" t="0" r="0" b="0"/>
            <wp:docPr id="5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5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a:stretch>
                      <a:fillRect/>
                    </a:stretch>
                  </pic:blipFill>
                  <pic:spPr>
                    <a:xfrm>
                      <a:off x="0" y="0"/>
                      <a:ext cx="5486400" cy="2742565"/>
                    </a:xfrm>
                    <a:prstGeom prst="rect">
                      <a:avLst/>
                    </a:prstGeom>
                    <a:ln/>
                  </pic:spPr>
                </pic:pic>
              </a:graphicData>
            </a:graphic>
          </wp:inline>
        </w:drawing>
      </w:r>
    </w:p>
    <w:p w:rsidR="008C1AFD" w:rsidRDefault="00DB7348">
      <w:r>
        <w:rPr>
          <w:noProof/>
        </w:rPr>
        <w:lastRenderedPageBreak/>
        <w:drawing>
          <wp:inline distT="0" distB="0" distL="0" distR="0">
            <wp:extent cx="5486400" cy="2742565"/>
            <wp:effectExtent l="0" t="0" r="0" b="0"/>
            <wp:docPr id="5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5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9"/>
                    <a:srcRect/>
                    <a:stretch>
                      <a:fillRect/>
                    </a:stretch>
                  </pic:blipFill>
                  <pic:spPr>
                    <a:xfrm>
                      <a:off x="0" y="0"/>
                      <a:ext cx="5486400" cy="2742565"/>
                    </a:xfrm>
                    <a:prstGeom prst="rect">
                      <a:avLst/>
                    </a:prstGeom>
                    <a:ln/>
                  </pic:spPr>
                </pic:pic>
              </a:graphicData>
            </a:graphic>
          </wp:inline>
        </w:drawing>
      </w:r>
      <w:r>
        <w:rPr>
          <w:noProof/>
        </w:rPr>
        <w:lastRenderedPageBreak/>
        <w:drawing>
          <wp:inline distT="0" distB="0" distL="0" distR="0">
            <wp:extent cx="5486400" cy="2742565"/>
            <wp:effectExtent l="0" t="0" r="0" b="0"/>
            <wp:docPr id="5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0"/>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5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1"/>
                    <a:srcRect/>
                    <a:stretch>
                      <a:fillRect/>
                    </a:stretch>
                  </pic:blipFill>
                  <pic:spPr>
                    <a:xfrm>
                      <a:off x="0" y="0"/>
                      <a:ext cx="5486400" cy="2742565"/>
                    </a:xfrm>
                    <a:prstGeom prst="rect">
                      <a:avLst/>
                    </a:prstGeom>
                    <a:ln/>
                  </pic:spPr>
                </pic:pic>
              </a:graphicData>
            </a:graphic>
          </wp:inline>
        </w:drawing>
      </w:r>
      <w:r>
        <w:rPr>
          <w:noProof/>
        </w:rPr>
        <w:lastRenderedPageBreak/>
        <w:drawing>
          <wp:inline distT="0" distB="0" distL="0" distR="0">
            <wp:extent cx="5486400" cy="2742565"/>
            <wp:effectExtent l="0" t="0" r="0" b="0"/>
            <wp:docPr id="6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6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3"/>
                    <a:srcRect/>
                    <a:stretch>
                      <a:fillRect/>
                    </a:stretch>
                  </pic:blipFill>
                  <pic:spPr>
                    <a:xfrm>
                      <a:off x="0" y="0"/>
                      <a:ext cx="5486400" cy="2742565"/>
                    </a:xfrm>
                    <a:prstGeom prst="rect">
                      <a:avLst/>
                    </a:prstGeom>
                    <a:ln/>
                  </pic:spPr>
                </pic:pic>
              </a:graphicData>
            </a:graphic>
          </wp:inline>
        </w:drawing>
      </w:r>
      <w:r>
        <w:rPr>
          <w:noProof/>
        </w:rPr>
        <w:lastRenderedPageBreak/>
        <w:drawing>
          <wp:inline distT="0" distB="0" distL="0" distR="0">
            <wp:extent cx="5486400" cy="2742565"/>
            <wp:effectExtent l="0" t="0" r="0" b="0"/>
            <wp:docPr id="3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5486400" cy="2742565"/>
                    </a:xfrm>
                    <a:prstGeom prst="rect">
                      <a:avLst/>
                    </a:prstGeom>
                    <a:ln/>
                  </pic:spPr>
                </pic:pic>
              </a:graphicData>
            </a:graphic>
          </wp:inline>
        </w:drawing>
      </w:r>
    </w:p>
    <w:p w:rsidR="008C1AFD" w:rsidRDefault="00DB7348">
      <w:r>
        <w:rPr>
          <w:noProof/>
        </w:rPr>
        <w:lastRenderedPageBreak/>
        <w:drawing>
          <wp:inline distT="0" distB="0" distL="0" distR="0">
            <wp:extent cx="5486400" cy="2742565"/>
            <wp:effectExtent l="0" t="0" r="0" b="0"/>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5486400" cy="2742565"/>
                    </a:xfrm>
                    <a:prstGeom prst="rect">
                      <a:avLst/>
                    </a:prstGeom>
                    <a:ln/>
                  </pic:spPr>
                </pic:pic>
              </a:graphicData>
            </a:graphic>
          </wp:inline>
        </w:drawing>
      </w:r>
    </w:p>
    <w:p w:rsidR="008C1AFD" w:rsidRDefault="00DB7348">
      <w:r>
        <w:rPr>
          <w:noProof/>
        </w:rPr>
        <w:lastRenderedPageBreak/>
        <w:drawing>
          <wp:inline distT="0" distB="0" distL="0" distR="0">
            <wp:extent cx="5486400" cy="2742565"/>
            <wp:effectExtent l="0" t="0" r="0" b="0"/>
            <wp:docPr id="3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8"/>
                    <a:srcRect/>
                    <a:stretch>
                      <a:fillRect/>
                    </a:stretch>
                  </pic:blipFill>
                  <pic:spPr>
                    <a:xfrm>
                      <a:off x="0" y="0"/>
                      <a:ext cx="5486400" cy="2742565"/>
                    </a:xfrm>
                    <a:prstGeom prst="rect">
                      <a:avLst/>
                    </a:prstGeom>
                    <a:ln/>
                  </pic:spPr>
                </pic:pic>
              </a:graphicData>
            </a:graphic>
          </wp:inline>
        </w:drawing>
      </w:r>
      <w:r>
        <w:rPr>
          <w:noProof/>
        </w:rPr>
        <w:drawing>
          <wp:inline distT="0" distB="0" distL="0" distR="0">
            <wp:extent cx="5486400" cy="2742565"/>
            <wp:effectExtent l="0" t="0" r="0" b="0"/>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5486400" cy="2742565"/>
                    </a:xfrm>
                    <a:prstGeom prst="rect">
                      <a:avLst/>
                    </a:prstGeom>
                    <a:ln/>
                  </pic:spPr>
                </pic:pic>
              </a:graphicData>
            </a:graphic>
          </wp:inline>
        </w:drawing>
      </w:r>
    </w:p>
    <w:p w:rsidR="008C1AFD" w:rsidRDefault="008C1AFD"/>
    <w:p w:rsidR="008C1AFD" w:rsidRDefault="008C1AFD"/>
    <w:p w:rsidR="008C1AFD" w:rsidRDefault="00DB7348">
      <w:r>
        <w:br w:type="page"/>
      </w:r>
    </w:p>
    <w:p w:rsidR="008C1AFD" w:rsidRDefault="00DB7348">
      <w:r>
        <w:rPr>
          <w:b/>
        </w:rPr>
        <w:lastRenderedPageBreak/>
        <w:t>Figures S2.</w:t>
      </w:r>
      <w:r>
        <w:t xml:space="preserve"> Predictive models of the region-wide distribution of seabird abundance around breeding colonies for Atlantic puffin (e), black-legged kittiwake (f), common eider (g), great black-backed gull (h), Leach’s storm-petrel (</w:t>
      </w:r>
      <w:proofErr w:type="spellStart"/>
      <w:r>
        <w:t>i</w:t>
      </w:r>
      <w:proofErr w:type="spellEnd"/>
      <w:r>
        <w:t xml:space="preserve">), razorbill (j), roseate tern (k), </w:t>
      </w:r>
      <w:r>
        <w:t xml:space="preserve">thick-billed </w:t>
      </w:r>
      <w:proofErr w:type="spellStart"/>
      <w:r>
        <w:t>murre</w:t>
      </w:r>
      <w:proofErr w:type="spellEnd"/>
      <w:r>
        <w:t xml:space="preserve"> (l), and common and arctic tern (m). Boosted regression trees (BRTs) were used to model the relative density of tracking locations. BRT models were then used to predict abundance distribution, using maximum colony size (based on census d</w:t>
      </w:r>
      <w:r>
        <w:t>ata gathered between 1996 and 2016) for each colony, and a kernel smoother applied to estimate abundance distribution region-wide.</w:t>
      </w:r>
    </w:p>
    <w:p w:rsidR="008C1AFD" w:rsidRDefault="00DB7348">
      <w:pPr>
        <w:jc w:val="center"/>
      </w:pPr>
      <w:r>
        <w:rPr>
          <w:noProof/>
        </w:rPr>
        <w:drawing>
          <wp:inline distT="0" distB="0" distL="0" distR="0">
            <wp:extent cx="4998502" cy="6459603"/>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4998502" cy="6459603"/>
                    </a:xfrm>
                    <a:prstGeom prst="rect">
                      <a:avLst/>
                    </a:prstGeom>
                    <a:ln/>
                  </pic:spPr>
                </pic:pic>
              </a:graphicData>
            </a:graphic>
          </wp:inline>
        </w:drawing>
      </w:r>
    </w:p>
    <w:p w:rsidR="008C1AFD" w:rsidRDefault="008C1AFD"/>
    <w:p w:rsidR="008C1AFD" w:rsidRDefault="008C1AFD"/>
    <w:p w:rsidR="008C1AFD" w:rsidRDefault="008C1AFD"/>
    <w:p w:rsidR="008C1AFD" w:rsidRDefault="00DB7348">
      <w:pPr>
        <w:jc w:val="center"/>
      </w:pPr>
      <w:r>
        <w:rPr>
          <w:noProof/>
        </w:rPr>
        <w:drawing>
          <wp:inline distT="0" distB="0" distL="0" distR="0">
            <wp:extent cx="5476458" cy="7127587"/>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5476458" cy="7127587"/>
                    </a:xfrm>
                    <a:prstGeom prst="rect">
                      <a:avLst/>
                    </a:prstGeom>
                    <a:ln/>
                  </pic:spPr>
                </pic:pic>
              </a:graphicData>
            </a:graphic>
          </wp:inline>
        </w:drawing>
      </w:r>
    </w:p>
    <w:p w:rsidR="008C1AFD" w:rsidRDefault="00DB7348">
      <w:r>
        <w:t>Figure S2 (cont’d).</w:t>
      </w:r>
    </w:p>
    <w:p w:rsidR="008C1AFD" w:rsidRDefault="008C1AFD"/>
    <w:p w:rsidR="008C1AFD" w:rsidRDefault="008C1AFD"/>
    <w:p w:rsidR="008C1AFD" w:rsidRDefault="008C1AFD"/>
    <w:p w:rsidR="008C1AFD" w:rsidRDefault="008C1AFD"/>
    <w:p w:rsidR="008C1AFD" w:rsidRDefault="008C1AFD"/>
    <w:p w:rsidR="008C1AFD" w:rsidRDefault="008C1AFD"/>
    <w:p w:rsidR="008C1AFD" w:rsidRDefault="008C1AFD"/>
    <w:p w:rsidR="008C1AFD" w:rsidRDefault="008C1AFD"/>
    <w:p w:rsidR="008C1AFD" w:rsidRDefault="00DB7348">
      <w:pPr>
        <w:jc w:val="center"/>
      </w:pPr>
      <w:r>
        <w:rPr>
          <w:noProof/>
        </w:rPr>
        <w:drawing>
          <wp:inline distT="0" distB="0" distL="0" distR="0">
            <wp:extent cx="3780488" cy="4890244"/>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3780488" cy="4890244"/>
                    </a:xfrm>
                    <a:prstGeom prst="rect">
                      <a:avLst/>
                    </a:prstGeom>
                    <a:ln/>
                  </pic:spPr>
                </pic:pic>
              </a:graphicData>
            </a:graphic>
          </wp:inline>
        </w:drawing>
      </w:r>
    </w:p>
    <w:p w:rsidR="008C1AFD" w:rsidRDefault="008C1AFD"/>
    <w:p w:rsidR="008C1AFD" w:rsidRDefault="00DB7348">
      <w:r>
        <w:t>Figure S2 (cont’d).</w:t>
      </w:r>
    </w:p>
    <w:p w:rsidR="008C1AFD" w:rsidRDefault="008C1AFD"/>
    <w:sectPr w:rsidR="008C1AFD">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348" w:rsidRDefault="00DB7348">
      <w:pPr>
        <w:spacing w:after="0" w:line="240" w:lineRule="auto"/>
      </w:pPr>
      <w:r>
        <w:separator/>
      </w:r>
    </w:p>
  </w:endnote>
  <w:endnote w:type="continuationSeparator" w:id="0">
    <w:p w:rsidR="00DB7348" w:rsidRDefault="00DB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AFD" w:rsidRDefault="008C1AF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AFD" w:rsidRDefault="008C1AF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AFD" w:rsidRDefault="008C1AF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348" w:rsidRDefault="00DB7348">
      <w:pPr>
        <w:spacing w:after="0" w:line="240" w:lineRule="auto"/>
      </w:pPr>
      <w:r>
        <w:separator/>
      </w:r>
    </w:p>
  </w:footnote>
  <w:footnote w:type="continuationSeparator" w:id="0">
    <w:p w:rsidR="00DB7348" w:rsidRDefault="00DB7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AFD" w:rsidRDefault="008C1AF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AFD" w:rsidRDefault="008C1AF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AFD" w:rsidRDefault="008C1AF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AFD"/>
    <w:rsid w:val="003E1ED0"/>
    <w:rsid w:val="004F5B04"/>
    <w:rsid w:val="008C1AFD"/>
    <w:rsid w:val="00DB73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75FA1"/>
  <w15:docId w15:val="{32520782-20C5-4C1C-A552-69B03EE0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Emphasis">
    <w:name w:val="Emphasis"/>
    <w:basedOn w:val="DefaultParagraphFont"/>
    <w:uiPriority w:val="20"/>
    <w:qFormat/>
    <w:rsid w:val="00AE604A"/>
    <w:rPr>
      <w:i/>
      <w:iCs/>
    </w:rPr>
  </w:style>
  <w:style w:type="character" w:styleId="Hyperlink">
    <w:name w:val="Hyperlink"/>
    <w:basedOn w:val="DefaultParagraphFont"/>
    <w:uiPriority w:val="99"/>
    <w:unhideWhenUsed/>
    <w:rsid w:val="00AE604A"/>
    <w:rPr>
      <w:color w:val="0563C1" w:themeColor="hyperlink"/>
      <w:u w:val="single"/>
    </w:rPr>
  </w:style>
  <w:style w:type="paragraph" w:styleId="NormalWeb">
    <w:name w:val="Normal (Web)"/>
    <w:basedOn w:val="Normal"/>
    <w:uiPriority w:val="99"/>
    <w:unhideWhenUsed/>
    <w:rsid w:val="00A5322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C1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D01"/>
  </w:style>
  <w:style w:type="paragraph" w:styleId="Footer">
    <w:name w:val="footer"/>
    <w:basedOn w:val="Normal"/>
    <w:link w:val="FooterChar"/>
    <w:uiPriority w:val="99"/>
    <w:unhideWhenUsed/>
    <w:rsid w:val="00CC1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D0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png"/><Relationship Id="rId7" Type="http://schemas.openxmlformats.org/officeDocument/2006/relationships/hyperlink" Target="https://doi.org/10.1371/journal.pone.0194389" TargetMode="Externa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pjHMK+vS6fw7lZj4w+cXu+7Wtw==">AMUW2mUMisZnYgBgTQ2179fjQwY580sJWBps3TmupkUPM2tJQJFAbFjEaTOKTivg7WdtK5GDUL8gpN39a2LJsm4mDqfO+BdJwCVr4opNOPOr6OC/JI9cBDZDTUllioEcuUFtLXLRrwt1wt47J5iOi3i5iF+RKqQzHySB2srAE1yAjclL52w/62JVbO7czTPHZlS7v7K4GLTSboC43PLujNw4ZucZvoXjKWIgWA/PB6KLyHfq+NtdxHvX56FizlpyToOSZvn9KRDBaeKSdvu0ib7XpBp8Q1xl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Environment Climate Change Canada</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Ronconi,Robert [Dartmouth]</dc:creator>
  <cp:lastModifiedBy>Ronconi,Robert (ECCC)</cp:lastModifiedBy>
  <cp:revision>3</cp:revision>
  <dcterms:created xsi:type="dcterms:W3CDTF">2021-11-17T03:35:00Z</dcterms:created>
  <dcterms:modified xsi:type="dcterms:W3CDTF">2021-11-17T03:36:00Z</dcterms:modified>
</cp:coreProperties>
</file>