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0327F6A2" w:rsidR="00994A3D" w:rsidRPr="001549D3" w:rsidRDefault="00D74C87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F2D4778" wp14:editId="2D672646">
            <wp:extent cx="4370980" cy="16414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 vivo EGR2 suppl. Fig1 tif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529" cy="166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56E9" w14:textId="43C198E4" w:rsidR="000B11BF" w:rsidRDefault="00994A3D" w:rsidP="00D74C87">
      <w:pPr>
        <w:spacing w:before="0" w:after="0"/>
        <w:rPr>
          <w:bCs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0B11BF">
        <w:rPr>
          <w:b/>
        </w:rPr>
        <w:t>Validation of the deletion of EGR2 in lymphocytes of EGR2</w:t>
      </w:r>
      <w:r w:rsidR="000B11BF" w:rsidRPr="0077533F">
        <w:rPr>
          <w:b/>
          <w:vertAlign w:val="superscript"/>
        </w:rPr>
        <w:t>-/</w:t>
      </w:r>
      <w:r w:rsidR="000B11BF">
        <w:rPr>
          <w:b/>
          <w:vertAlign w:val="superscript"/>
        </w:rPr>
        <w:t>-</w:t>
      </w:r>
      <w:r w:rsidR="000B11BF">
        <w:rPr>
          <w:b/>
        </w:rPr>
        <w:t xml:space="preserve">B6/lpr mice. </w:t>
      </w:r>
      <w:r w:rsidR="000B11BF" w:rsidRPr="0077533F">
        <w:rPr>
          <w:bCs/>
        </w:rPr>
        <w:t>The splenocytes from EGR2</w:t>
      </w:r>
      <w:r w:rsidR="000B11BF" w:rsidRPr="0077533F">
        <w:rPr>
          <w:bCs/>
          <w:vertAlign w:val="superscript"/>
        </w:rPr>
        <w:t>-/-</w:t>
      </w:r>
      <w:r w:rsidR="000B11BF" w:rsidRPr="0077533F">
        <w:rPr>
          <w:bCs/>
        </w:rPr>
        <w:t>B6/lpr and littermate control EGR2</w:t>
      </w:r>
      <w:r w:rsidR="000B11BF">
        <w:rPr>
          <w:bCs/>
          <w:vertAlign w:val="superscript"/>
        </w:rPr>
        <w:t>fl/fl</w:t>
      </w:r>
      <w:r w:rsidR="000B11BF" w:rsidRPr="0077533F">
        <w:rPr>
          <w:bCs/>
        </w:rPr>
        <w:t>B6/lpr</w:t>
      </w:r>
      <w:r w:rsidR="000B11BF">
        <w:rPr>
          <w:bCs/>
        </w:rPr>
        <w:t xml:space="preserve"> mice were stimulated with PMA plus ionomycin for 5 hrs. The expression of EGR2 in CD4</w:t>
      </w:r>
      <w:r w:rsidR="000B11BF" w:rsidRPr="00267E82">
        <w:rPr>
          <w:bCs/>
          <w:vertAlign w:val="superscript"/>
        </w:rPr>
        <w:t>+</w:t>
      </w:r>
      <w:r w:rsidR="000B11BF">
        <w:rPr>
          <w:bCs/>
        </w:rPr>
        <w:t xml:space="preserve"> T, CD8</w:t>
      </w:r>
      <w:r w:rsidR="000B11BF" w:rsidRPr="00267E82">
        <w:rPr>
          <w:bCs/>
          <w:vertAlign w:val="superscript"/>
        </w:rPr>
        <w:t>+</w:t>
      </w:r>
      <w:r w:rsidR="000B11BF">
        <w:rPr>
          <w:bCs/>
        </w:rPr>
        <w:t xml:space="preserve"> T</w:t>
      </w:r>
      <w:r w:rsidR="00C76553">
        <w:rPr>
          <w:bCs/>
        </w:rPr>
        <w:t>,</w:t>
      </w:r>
      <w:r w:rsidR="000B11BF">
        <w:rPr>
          <w:bCs/>
        </w:rPr>
        <w:t xml:space="preserve"> and CD19</w:t>
      </w:r>
      <w:r w:rsidR="000B11BF" w:rsidRPr="00267E82">
        <w:rPr>
          <w:bCs/>
          <w:vertAlign w:val="superscript"/>
        </w:rPr>
        <w:t>+</w:t>
      </w:r>
      <w:r w:rsidR="000B11BF">
        <w:rPr>
          <w:bCs/>
        </w:rPr>
        <w:t xml:space="preserve">B cells </w:t>
      </w:r>
      <w:r w:rsidR="00C76553">
        <w:rPr>
          <w:bCs/>
        </w:rPr>
        <w:t>was</w:t>
      </w:r>
      <w:r w:rsidR="000B11BF">
        <w:rPr>
          <w:bCs/>
        </w:rPr>
        <w:t xml:space="preserve"> determined by intracellular flow stain with PE conjugated anti-EGR2 antibody following the staining of cell surface markers CD4, CD8, and CD19. (</w:t>
      </w:r>
      <w:r w:rsidR="000B11BF" w:rsidRPr="00A2579F">
        <w:rPr>
          <w:b/>
        </w:rPr>
        <w:t>A-C</w:t>
      </w:r>
      <w:r w:rsidR="000B11BF">
        <w:rPr>
          <w:bCs/>
        </w:rPr>
        <w:t>) Representative flow histograms from at least four independent experiments show the reduced percentage of EGR2 expressing cells and EGR2 expression intensity in the gated splenic CD4</w:t>
      </w:r>
      <w:r w:rsidR="000B11BF" w:rsidRPr="00A2579F">
        <w:rPr>
          <w:bCs/>
          <w:vertAlign w:val="superscript"/>
        </w:rPr>
        <w:t>+</w:t>
      </w:r>
      <w:r w:rsidR="000B11BF">
        <w:rPr>
          <w:bCs/>
          <w:vertAlign w:val="superscript"/>
        </w:rPr>
        <w:t xml:space="preserve"> </w:t>
      </w:r>
      <w:r w:rsidR="000B11BF">
        <w:rPr>
          <w:bCs/>
        </w:rPr>
        <w:t>T (A), CD8</w:t>
      </w:r>
      <w:r w:rsidR="000B11BF" w:rsidRPr="00A2579F">
        <w:rPr>
          <w:bCs/>
          <w:vertAlign w:val="superscript"/>
        </w:rPr>
        <w:t>+</w:t>
      </w:r>
      <w:r w:rsidR="000B11BF">
        <w:rPr>
          <w:bCs/>
          <w:vertAlign w:val="superscript"/>
        </w:rPr>
        <w:t xml:space="preserve"> </w:t>
      </w:r>
      <w:r w:rsidR="000B11BF">
        <w:rPr>
          <w:bCs/>
        </w:rPr>
        <w:t>T (B), and CD19</w:t>
      </w:r>
      <w:r w:rsidR="000B11BF" w:rsidRPr="00A2579F">
        <w:rPr>
          <w:bCs/>
          <w:vertAlign w:val="superscript"/>
        </w:rPr>
        <w:t>+</w:t>
      </w:r>
      <w:r w:rsidR="000B11BF">
        <w:rPr>
          <w:bCs/>
        </w:rPr>
        <w:t xml:space="preserve"> B (C) cells of </w:t>
      </w:r>
      <w:r w:rsidR="000B11BF" w:rsidRPr="0077533F">
        <w:rPr>
          <w:bCs/>
        </w:rPr>
        <w:t>EGR2</w:t>
      </w:r>
      <w:r w:rsidR="000B11BF" w:rsidRPr="0077533F">
        <w:rPr>
          <w:bCs/>
          <w:vertAlign w:val="superscript"/>
        </w:rPr>
        <w:t>-/-</w:t>
      </w:r>
      <w:r w:rsidR="000B11BF" w:rsidRPr="0077533F">
        <w:rPr>
          <w:bCs/>
        </w:rPr>
        <w:t>B6/lpr</w:t>
      </w:r>
      <w:r w:rsidR="000B11BF">
        <w:rPr>
          <w:bCs/>
        </w:rPr>
        <w:t xml:space="preserve"> (blue) and control (red) mice. </w:t>
      </w:r>
    </w:p>
    <w:p w14:paraId="0EDA4D03" w14:textId="67C91F57" w:rsidR="00D74C87" w:rsidRDefault="00D74C87" w:rsidP="00D74C87">
      <w:pPr>
        <w:spacing w:before="0" w:after="0"/>
        <w:rPr>
          <w:bCs/>
        </w:rPr>
      </w:pPr>
    </w:p>
    <w:p w14:paraId="29C42FBD" w14:textId="6668250C" w:rsidR="00D74C87" w:rsidRDefault="00D74C87" w:rsidP="00D74C87">
      <w:pPr>
        <w:spacing w:before="0" w:after="0"/>
        <w:rPr>
          <w:bCs/>
        </w:rPr>
      </w:pPr>
    </w:p>
    <w:p w14:paraId="446230D3" w14:textId="2B78710D" w:rsidR="00D74C87" w:rsidRDefault="00D74C87" w:rsidP="00D74C87">
      <w:pPr>
        <w:spacing w:before="0" w:after="0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695D54A" wp14:editId="2C3BEF9B">
            <wp:extent cx="6211019" cy="74187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 vivo EGR2 suppl. Fig 3 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112" cy="742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7E187" w14:textId="77777777" w:rsidR="00D74C87" w:rsidRDefault="00D74C87" w:rsidP="00D74C87">
      <w:pPr>
        <w:spacing w:before="0" w:after="0"/>
        <w:rPr>
          <w:bCs/>
        </w:rPr>
      </w:pPr>
    </w:p>
    <w:p w14:paraId="3626BD76" w14:textId="56575C98" w:rsidR="00F07E15" w:rsidRDefault="000B11BF" w:rsidP="00D74C87">
      <w:pPr>
        <w:spacing w:before="0" w:after="0"/>
        <w:rPr>
          <w:bCs/>
          <w:color w:val="000000" w:themeColor="text1"/>
          <w:szCs w:val="24"/>
        </w:rPr>
      </w:pPr>
      <w:r w:rsidRPr="00403C3B">
        <w:rPr>
          <w:rFonts w:cs="Times New Roman"/>
          <w:b/>
          <w:szCs w:val="24"/>
        </w:rPr>
        <w:t>Supplementary Figure 2.</w:t>
      </w:r>
      <w:r w:rsidRPr="00403C3B">
        <w:rPr>
          <w:b/>
          <w:szCs w:val="24"/>
        </w:rPr>
        <w:t xml:space="preserve"> EGR2 deletion has no </w:t>
      </w:r>
      <w:r w:rsidR="00F07E15" w:rsidRPr="00403C3B">
        <w:rPr>
          <w:b/>
          <w:szCs w:val="24"/>
        </w:rPr>
        <w:t xml:space="preserve">significant effect </w:t>
      </w:r>
      <w:r w:rsidRPr="00403C3B">
        <w:rPr>
          <w:b/>
          <w:szCs w:val="24"/>
        </w:rPr>
        <w:t xml:space="preserve">on early B cell development in B6/lpr and B6 mice. </w:t>
      </w:r>
      <w:r w:rsidR="00F07E15" w:rsidRPr="00403C3B">
        <w:rPr>
          <w:b/>
          <w:szCs w:val="24"/>
        </w:rPr>
        <w:t xml:space="preserve">(A&amp;B) </w:t>
      </w:r>
      <w:r w:rsidR="00F07E15" w:rsidRPr="00403C3B">
        <w:rPr>
          <w:bCs/>
          <w:szCs w:val="24"/>
        </w:rPr>
        <w:t>Representing flow plots and summary graphs show that EGR2 deletion</w:t>
      </w:r>
      <w:r w:rsidR="00D74C87" w:rsidRPr="00403C3B">
        <w:rPr>
          <w:bCs/>
          <w:szCs w:val="24"/>
        </w:rPr>
        <w:t xml:space="preserve"> had</w:t>
      </w:r>
      <w:r w:rsidR="00F07E15" w:rsidRPr="00403C3B">
        <w:rPr>
          <w:bCs/>
          <w:szCs w:val="24"/>
        </w:rPr>
        <w:t xml:space="preserve"> no obvious effect on the early B cell development in the bone marrows of B6/lpr (A) and B6 (B) mice. The bone marrow cells from EGR2</w:t>
      </w:r>
      <w:r w:rsidR="00F07E15" w:rsidRPr="00403C3B">
        <w:rPr>
          <w:bCs/>
          <w:szCs w:val="24"/>
          <w:vertAlign w:val="superscript"/>
        </w:rPr>
        <w:t>-/-</w:t>
      </w:r>
      <w:r w:rsidR="00F07E15" w:rsidRPr="00403C3B">
        <w:rPr>
          <w:bCs/>
          <w:szCs w:val="24"/>
        </w:rPr>
        <w:t>B6/lpr and control EGR2</w:t>
      </w:r>
      <w:r w:rsidR="00F07E15" w:rsidRPr="00403C3B">
        <w:rPr>
          <w:bCs/>
          <w:szCs w:val="24"/>
          <w:vertAlign w:val="superscript"/>
        </w:rPr>
        <w:t>fl/fl</w:t>
      </w:r>
      <w:r w:rsidR="00F07E15" w:rsidRPr="00403C3B">
        <w:rPr>
          <w:bCs/>
          <w:szCs w:val="24"/>
        </w:rPr>
        <w:t>B6/lpr (n</w:t>
      </w:r>
      <w:r w:rsidR="00F07E15" w:rsidRPr="00403C3B">
        <w:rPr>
          <w:bCs/>
          <w:szCs w:val="24"/>
        </w:rPr>
        <w:sym w:font="Symbol" w:char="F0B3"/>
      </w:r>
      <w:r w:rsidR="00F07E15" w:rsidRPr="00403C3B">
        <w:rPr>
          <w:bCs/>
          <w:szCs w:val="24"/>
        </w:rPr>
        <w:t>13), EGR2</w:t>
      </w:r>
      <w:r w:rsidR="00F07E15" w:rsidRPr="00403C3B">
        <w:rPr>
          <w:bCs/>
          <w:szCs w:val="24"/>
          <w:vertAlign w:val="superscript"/>
        </w:rPr>
        <w:t>-/-</w:t>
      </w:r>
      <w:r w:rsidR="00F07E15" w:rsidRPr="00403C3B">
        <w:rPr>
          <w:bCs/>
          <w:szCs w:val="24"/>
        </w:rPr>
        <w:t xml:space="preserve">B6 and </w:t>
      </w:r>
      <w:r w:rsidR="00F07E15" w:rsidRPr="00403C3B">
        <w:rPr>
          <w:bCs/>
          <w:szCs w:val="24"/>
        </w:rPr>
        <w:lastRenderedPageBreak/>
        <w:t>control EGR2</w:t>
      </w:r>
      <w:r w:rsidR="00F07E15" w:rsidRPr="00403C3B">
        <w:rPr>
          <w:bCs/>
          <w:szCs w:val="24"/>
          <w:vertAlign w:val="superscript"/>
        </w:rPr>
        <w:t>fl/fl</w:t>
      </w:r>
      <w:r w:rsidR="00F07E15" w:rsidRPr="00403C3B">
        <w:rPr>
          <w:bCs/>
          <w:szCs w:val="24"/>
        </w:rPr>
        <w:t>B6 mice (n</w:t>
      </w:r>
      <w:r w:rsidR="00F07E15" w:rsidRPr="00403C3B">
        <w:rPr>
          <w:bCs/>
          <w:szCs w:val="24"/>
        </w:rPr>
        <w:sym w:font="Symbol" w:char="F0B3"/>
      </w:r>
      <w:r w:rsidR="00F07E15" w:rsidRPr="00403C3B">
        <w:rPr>
          <w:bCs/>
          <w:szCs w:val="24"/>
        </w:rPr>
        <w:t>8) were stained with different surface markers and gated for different B cell precursor subpopulations. Pre-</w:t>
      </w:r>
      <w:proofErr w:type="spellStart"/>
      <w:r w:rsidR="00F07E15" w:rsidRPr="00403C3B">
        <w:rPr>
          <w:bCs/>
          <w:szCs w:val="24"/>
        </w:rPr>
        <w:t>ProB</w:t>
      </w:r>
      <w:proofErr w:type="spellEnd"/>
      <w:r w:rsidR="00F07E15" w:rsidRPr="00403C3B">
        <w:rPr>
          <w:bCs/>
          <w:szCs w:val="24"/>
        </w:rPr>
        <w:t xml:space="preserve"> cells were identified as CD19</w:t>
      </w:r>
      <w:r w:rsidR="00F07E15" w:rsidRPr="00403C3B">
        <w:rPr>
          <w:bCs/>
          <w:szCs w:val="24"/>
          <w:vertAlign w:val="superscript"/>
        </w:rPr>
        <w:t>-</w:t>
      </w:r>
      <w:r w:rsidR="00F07E15" w:rsidRPr="00403C3B">
        <w:rPr>
          <w:bCs/>
          <w:szCs w:val="24"/>
        </w:rPr>
        <w:t>B220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>CD43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>IgM</w:t>
      </w:r>
      <w:r w:rsidR="00F07E15" w:rsidRPr="00403C3B">
        <w:rPr>
          <w:bCs/>
          <w:szCs w:val="24"/>
          <w:vertAlign w:val="superscript"/>
        </w:rPr>
        <w:t>-</w:t>
      </w:r>
      <w:r w:rsidR="00F07E15" w:rsidRPr="00403C3B">
        <w:rPr>
          <w:bCs/>
          <w:szCs w:val="24"/>
        </w:rPr>
        <w:t>; Pro-B cells were defined as CD19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>B220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>CD43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>IgM</w:t>
      </w:r>
      <w:r w:rsidR="00F07E15" w:rsidRPr="00403C3B">
        <w:rPr>
          <w:bCs/>
          <w:szCs w:val="24"/>
          <w:vertAlign w:val="superscript"/>
        </w:rPr>
        <w:t>-</w:t>
      </w:r>
      <w:r w:rsidR="00F07E15" w:rsidRPr="00403C3B">
        <w:rPr>
          <w:bCs/>
          <w:szCs w:val="24"/>
        </w:rPr>
        <w:t>; Pre-B cells were defined as CD19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>B220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>CD43</w:t>
      </w:r>
      <w:r w:rsidR="00F07E15" w:rsidRPr="00403C3B">
        <w:rPr>
          <w:bCs/>
          <w:szCs w:val="24"/>
          <w:vertAlign w:val="superscript"/>
        </w:rPr>
        <w:t>-</w:t>
      </w:r>
      <w:r w:rsidR="00F07E15" w:rsidRPr="00403C3B">
        <w:rPr>
          <w:bCs/>
          <w:szCs w:val="24"/>
        </w:rPr>
        <w:t>IgM</w:t>
      </w:r>
      <w:r w:rsidR="00F07E15" w:rsidRPr="00403C3B">
        <w:rPr>
          <w:bCs/>
          <w:szCs w:val="24"/>
          <w:vertAlign w:val="superscript"/>
        </w:rPr>
        <w:t>-</w:t>
      </w:r>
      <w:r w:rsidR="00F07E15" w:rsidRPr="00403C3B">
        <w:rPr>
          <w:bCs/>
          <w:szCs w:val="24"/>
        </w:rPr>
        <w:t xml:space="preserve">; </w:t>
      </w:r>
      <w:proofErr w:type="spellStart"/>
      <w:r w:rsidR="00F07E15" w:rsidRPr="00403C3B">
        <w:rPr>
          <w:bCs/>
          <w:szCs w:val="24"/>
        </w:rPr>
        <w:t>IgM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>B</w:t>
      </w:r>
      <w:proofErr w:type="spellEnd"/>
      <w:r w:rsidR="00F07E15" w:rsidRPr="00403C3B">
        <w:rPr>
          <w:bCs/>
          <w:szCs w:val="24"/>
        </w:rPr>
        <w:t xml:space="preserve"> (immature and mature B) were defined as CD19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>B220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>CD43</w:t>
      </w:r>
      <w:r w:rsidR="00F07E15" w:rsidRPr="00403C3B">
        <w:rPr>
          <w:bCs/>
          <w:szCs w:val="24"/>
          <w:vertAlign w:val="superscript"/>
        </w:rPr>
        <w:t>-</w:t>
      </w:r>
      <w:r w:rsidR="00F07E15" w:rsidRPr="00403C3B">
        <w:rPr>
          <w:bCs/>
          <w:szCs w:val="24"/>
        </w:rPr>
        <w:t>IgM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>. (</w:t>
      </w:r>
      <w:r w:rsidR="00F07E15" w:rsidRPr="00403C3B">
        <w:rPr>
          <w:b/>
          <w:szCs w:val="24"/>
        </w:rPr>
        <w:t xml:space="preserve">C&amp;D) </w:t>
      </w:r>
      <w:r w:rsidR="00F07E15" w:rsidRPr="00403C3B">
        <w:rPr>
          <w:bCs/>
          <w:szCs w:val="24"/>
        </w:rPr>
        <w:t>Representing flow plots and summary graphs show that EGR2 deletion ha</w:t>
      </w:r>
      <w:r w:rsidR="00D74C87" w:rsidRPr="00403C3B">
        <w:rPr>
          <w:bCs/>
          <w:szCs w:val="24"/>
        </w:rPr>
        <w:t>d</w:t>
      </w:r>
      <w:r w:rsidR="00F07E15" w:rsidRPr="00403C3B">
        <w:rPr>
          <w:bCs/>
          <w:szCs w:val="24"/>
        </w:rPr>
        <w:t xml:space="preserve"> no obvious effect on B cell maturation and differentiation into marginal zone B (MZB) and follicular B (FOB) cells in the spleens of B6/lpr (C) and B6 (D) mice. The splenocytes from EGR2</w:t>
      </w:r>
      <w:r w:rsidR="00F07E15" w:rsidRPr="00403C3B">
        <w:rPr>
          <w:bCs/>
          <w:szCs w:val="24"/>
          <w:vertAlign w:val="superscript"/>
        </w:rPr>
        <w:t>-/-</w:t>
      </w:r>
      <w:r w:rsidR="00F07E15" w:rsidRPr="00403C3B">
        <w:rPr>
          <w:bCs/>
          <w:szCs w:val="24"/>
        </w:rPr>
        <w:t>B6/lpr and control EGR2</w:t>
      </w:r>
      <w:r w:rsidR="00F07E15" w:rsidRPr="00403C3B">
        <w:rPr>
          <w:bCs/>
          <w:szCs w:val="24"/>
          <w:vertAlign w:val="superscript"/>
        </w:rPr>
        <w:t>fl/fl</w:t>
      </w:r>
      <w:r w:rsidR="00F07E15" w:rsidRPr="00403C3B">
        <w:rPr>
          <w:bCs/>
          <w:szCs w:val="24"/>
        </w:rPr>
        <w:t>B6/lpr (n</w:t>
      </w:r>
      <w:r w:rsidR="00F07E15" w:rsidRPr="00403C3B">
        <w:rPr>
          <w:bCs/>
          <w:szCs w:val="24"/>
        </w:rPr>
        <w:sym w:font="Symbol" w:char="F0B3"/>
      </w:r>
      <w:r w:rsidR="00F07E15" w:rsidRPr="00403C3B">
        <w:rPr>
          <w:bCs/>
          <w:szCs w:val="24"/>
        </w:rPr>
        <w:t>13), EGR2</w:t>
      </w:r>
      <w:r w:rsidR="00F07E15" w:rsidRPr="00403C3B">
        <w:rPr>
          <w:bCs/>
          <w:szCs w:val="24"/>
          <w:vertAlign w:val="superscript"/>
        </w:rPr>
        <w:t>-/-</w:t>
      </w:r>
      <w:r w:rsidR="00F07E15" w:rsidRPr="00403C3B">
        <w:rPr>
          <w:bCs/>
          <w:szCs w:val="24"/>
        </w:rPr>
        <w:t>B6 and control EGR2</w:t>
      </w:r>
      <w:r w:rsidR="00F07E15" w:rsidRPr="00403C3B">
        <w:rPr>
          <w:bCs/>
          <w:szCs w:val="24"/>
          <w:vertAlign w:val="superscript"/>
        </w:rPr>
        <w:t>fl/fl</w:t>
      </w:r>
      <w:r w:rsidR="00F07E15" w:rsidRPr="00403C3B">
        <w:rPr>
          <w:bCs/>
          <w:szCs w:val="24"/>
        </w:rPr>
        <w:t>B6 (</w:t>
      </w:r>
      <w:r w:rsidR="00E605CC" w:rsidRPr="00403C3B">
        <w:rPr>
          <w:bCs/>
          <w:szCs w:val="24"/>
        </w:rPr>
        <w:t>n</w:t>
      </w:r>
      <w:r w:rsidR="00E605CC" w:rsidRPr="00403C3B">
        <w:rPr>
          <w:bCs/>
          <w:szCs w:val="24"/>
        </w:rPr>
        <w:sym w:font="Symbol" w:char="F0B3"/>
      </w:r>
      <w:r w:rsidR="00E605CC" w:rsidRPr="00403C3B">
        <w:rPr>
          <w:bCs/>
          <w:szCs w:val="24"/>
        </w:rPr>
        <w:t>8</w:t>
      </w:r>
      <w:r w:rsidR="00F07E15" w:rsidRPr="00403C3B">
        <w:rPr>
          <w:bCs/>
          <w:szCs w:val="24"/>
        </w:rPr>
        <w:t>) mice were stained with different surface markers and gated for transitional B (TB) cells, MZB, and FOB. TB cells were identified as CD19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>B220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>CD43</w:t>
      </w:r>
      <w:r w:rsidR="00F07E15" w:rsidRPr="00403C3B">
        <w:rPr>
          <w:bCs/>
          <w:szCs w:val="24"/>
          <w:vertAlign w:val="superscript"/>
        </w:rPr>
        <w:t>-</w:t>
      </w:r>
      <w:r w:rsidR="00F07E15" w:rsidRPr="00403C3B">
        <w:rPr>
          <w:bCs/>
          <w:szCs w:val="24"/>
        </w:rPr>
        <w:t>IgM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>; MZB cells were defined as B220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>CD43</w:t>
      </w:r>
      <w:r w:rsidR="00F07E15" w:rsidRPr="00403C3B">
        <w:rPr>
          <w:bCs/>
          <w:szCs w:val="24"/>
          <w:vertAlign w:val="superscript"/>
        </w:rPr>
        <w:t>-</w:t>
      </w:r>
      <w:r w:rsidR="00F07E15" w:rsidRPr="00403C3B">
        <w:rPr>
          <w:bCs/>
          <w:szCs w:val="24"/>
        </w:rPr>
        <w:t>CD21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>CD23</w:t>
      </w:r>
      <w:r w:rsidR="00F07E15" w:rsidRPr="00403C3B">
        <w:rPr>
          <w:bCs/>
          <w:szCs w:val="24"/>
          <w:vertAlign w:val="superscript"/>
        </w:rPr>
        <w:t xml:space="preserve">- </w:t>
      </w:r>
      <w:r w:rsidR="00F07E15" w:rsidRPr="00403C3B">
        <w:rPr>
          <w:bCs/>
          <w:szCs w:val="24"/>
        </w:rPr>
        <w:t>; FOB cells were defined as B220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>CD43</w:t>
      </w:r>
      <w:r w:rsidR="00F07E15" w:rsidRPr="00403C3B">
        <w:rPr>
          <w:bCs/>
          <w:szCs w:val="24"/>
          <w:vertAlign w:val="superscript"/>
        </w:rPr>
        <w:t>-</w:t>
      </w:r>
      <w:r w:rsidR="00F07E15" w:rsidRPr="00403C3B">
        <w:rPr>
          <w:bCs/>
          <w:szCs w:val="24"/>
        </w:rPr>
        <w:t>CD21</w:t>
      </w:r>
      <w:r w:rsidR="00F07E15" w:rsidRPr="00403C3B">
        <w:rPr>
          <w:bCs/>
          <w:szCs w:val="24"/>
          <w:vertAlign w:val="superscript"/>
        </w:rPr>
        <w:t>-</w:t>
      </w:r>
      <w:r w:rsidR="00F07E15" w:rsidRPr="00403C3B">
        <w:rPr>
          <w:bCs/>
          <w:szCs w:val="24"/>
        </w:rPr>
        <w:t>CD23</w:t>
      </w:r>
      <w:r w:rsidR="00F07E15" w:rsidRPr="00403C3B">
        <w:rPr>
          <w:bCs/>
          <w:szCs w:val="24"/>
          <w:vertAlign w:val="superscript"/>
        </w:rPr>
        <w:t>+</w:t>
      </w:r>
      <w:r w:rsidR="00F07E15" w:rsidRPr="00403C3B">
        <w:rPr>
          <w:bCs/>
          <w:szCs w:val="24"/>
        </w:rPr>
        <w:t xml:space="preserve">. Horizontal bars in the summary graphs indicated mean </w:t>
      </w:r>
      <w:r w:rsidR="00F07E15" w:rsidRPr="00403C3B">
        <w:rPr>
          <w:bCs/>
          <w:szCs w:val="24"/>
        </w:rPr>
        <w:sym w:font="Symbol" w:char="F0B1"/>
      </w:r>
      <w:r w:rsidR="00F07E15" w:rsidRPr="00403C3B">
        <w:rPr>
          <w:bCs/>
          <w:szCs w:val="24"/>
        </w:rPr>
        <w:t xml:space="preserve"> SD</w:t>
      </w:r>
      <w:r w:rsidR="00F07E15" w:rsidRPr="00403C3B">
        <w:rPr>
          <w:bCs/>
          <w:color w:val="000000" w:themeColor="text1"/>
          <w:szCs w:val="24"/>
        </w:rPr>
        <w:t xml:space="preserve">. </w:t>
      </w:r>
    </w:p>
    <w:p w14:paraId="708829C1" w14:textId="77777777" w:rsidR="002D3ECD" w:rsidRPr="00403C3B" w:rsidRDefault="002D3ECD" w:rsidP="00D74C87">
      <w:pPr>
        <w:spacing w:before="0" w:after="0"/>
        <w:rPr>
          <w:bCs/>
          <w:color w:val="000000" w:themeColor="text1"/>
          <w:szCs w:val="24"/>
        </w:rPr>
      </w:pPr>
    </w:p>
    <w:p w14:paraId="79A50BBA" w14:textId="3995126D" w:rsidR="00F07E15" w:rsidRPr="00403C3B" w:rsidRDefault="002D3ECD" w:rsidP="002B4A57">
      <w:pPr>
        <w:keepNext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38BF3B9D" wp14:editId="246BCAFF">
            <wp:extent cx="4697129" cy="3583981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035" cy="359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3D4B" w14:textId="20D315DF" w:rsidR="00F275AC" w:rsidRPr="006516EE" w:rsidRDefault="00F275AC" w:rsidP="00F275AC">
      <w:r w:rsidRPr="00403C3B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 xml:space="preserve">3. </w:t>
      </w:r>
      <w:r w:rsidRPr="002D3ECD">
        <w:rPr>
          <w:b/>
          <w:bCs/>
        </w:rPr>
        <w:t xml:space="preserve">EGR2 deletion has a more pronounced effect on </w:t>
      </w:r>
      <w:r w:rsidR="0094328D">
        <w:rPr>
          <w:b/>
          <w:bCs/>
        </w:rPr>
        <w:t xml:space="preserve">select immune parameters in </w:t>
      </w:r>
      <w:r w:rsidRPr="002D3ECD">
        <w:rPr>
          <w:b/>
          <w:bCs/>
        </w:rPr>
        <w:t>female B6/</w:t>
      </w:r>
      <w:proofErr w:type="spellStart"/>
      <w:r w:rsidRPr="002D3ECD">
        <w:rPr>
          <w:b/>
          <w:bCs/>
        </w:rPr>
        <w:t>lpr</w:t>
      </w:r>
      <w:proofErr w:type="spellEnd"/>
      <w:r w:rsidRPr="002D3ECD">
        <w:rPr>
          <w:b/>
          <w:bCs/>
        </w:rPr>
        <w:t xml:space="preserve"> </w:t>
      </w:r>
      <w:r w:rsidR="0094328D">
        <w:rPr>
          <w:b/>
          <w:bCs/>
        </w:rPr>
        <w:t>compared to</w:t>
      </w:r>
      <w:r w:rsidR="0094328D" w:rsidRPr="002D3ECD">
        <w:rPr>
          <w:b/>
          <w:bCs/>
        </w:rPr>
        <w:t xml:space="preserve"> </w:t>
      </w:r>
      <w:r w:rsidRPr="002D3ECD">
        <w:rPr>
          <w:b/>
          <w:bCs/>
        </w:rPr>
        <w:t>male B6/</w:t>
      </w:r>
      <w:proofErr w:type="spellStart"/>
      <w:r w:rsidRPr="002D3ECD">
        <w:rPr>
          <w:b/>
          <w:bCs/>
        </w:rPr>
        <w:t>lpr</w:t>
      </w:r>
      <w:proofErr w:type="spellEnd"/>
      <w:r w:rsidRPr="002D3ECD">
        <w:rPr>
          <w:b/>
          <w:bCs/>
        </w:rPr>
        <w:t xml:space="preserve"> mice.</w:t>
      </w:r>
      <w:r w:rsidRPr="00E81ECB">
        <w:t xml:space="preserve"> (</w:t>
      </w:r>
      <w:r w:rsidRPr="002D3ECD">
        <w:rPr>
          <w:b/>
          <w:bCs/>
        </w:rPr>
        <w:t>A-C</w:t>
      </w:r>
      <w:r w:rsidRPr="00E81ECB">
        <w:t>) Summary graphs show the female</w:t>
      </w:r>
      <w:r>
        <w:t>-</w:t>
      </w:r>
      <w:r w:rsidRPr="00E81ECB">
        <w:t>biased effect of EGR2 deletion on anti-dsDNA (</w:t>
      </w:r>
      <w:r w:rsidR="002D3ECD">
        <w:t>A</w:t>
      </w:r>
      <w:r w:rsidRPr="00E81ECB">
        <w:t>)</w:t>
      </w:r>
      <w:r w:rsidR="006516EE">
        <w:t xml:space="preserve">, </w:t>
      </w:r>
      <w:r w:rsidR="002D3ECD" w:rsidRPr="00E81ECB">
        <w:t>CD4</w:t>
      </w:r>
      <w:r w:rsidR="002D3ECD" w:rsidRPr="00E81ECB">
        <w:rPr>
          <w:vertAlign w:val="superscript"/>
        </w:rPr>
        <w:t>-</w:t>
      </w:r>
      <w:r w:rsidR="002D3ECD" w:rsidRPr="00E81ECB">
        <w:t>CD8</w:t>
      </w:r>
      <w:r w:rsidR="002D3ECD" w:rsidRPr="00E81ECB">
        <w:rPr>
          <w:vertAlign w:val="superscript"/>
        </w:rPr>
        <w:t>-</w:t>
      </w:r>
      <w:r w:rsidR="00E533BD" w:rsidRPr="00E81ECB">
        <w:t>CD3</w:t>
      </w:r>
      <w:r w:rsidR="00E533BD" w:rsidRPr="00E81ECB">
        <w:rPr>
          <w:vertAlign w:val="superscript"/>
        </w:rPr>
        <w:t>+</w:t>
      </w:r>
      <w:r w:rsidR="00E533BD" w:rsidRPr="00E81ECB">
        <w:t>B220</w:t>
      </w:r>
      <w:r w:rsidR="00E533BD" w:rsidRPr="00E81ECB">
        <w:rPr>
          <w:vertAlign w:val="superscript"/>
        </w:rPr>
        <w:t>+</w:t>
      </w:r>
      <w:r w:rsidR="00E533BD">
        <w:t xml:space="preserve"> </w:t>
      </w:r>
      <w:r w:rsidRPr="00E81ECB">
        <w:t>double</w:t>
      </w:r>
      <w:r>
        <w:t>-</w:t>
      </w:r>
      <w:r w:rsidRPr="006516EE">
        <w:t xml:space="preserve">negative T cells </w:t>
      </w:r>
      <w:r w:rsidR="002D3ECD" w:rsidRPr="006516EE">
        <w:t>(B) and spleen weight (C)</w:t>
      </w:r>
      <w:r w:rsidRPr="006516EE">
        <w:t xml:space="preserve"> in B6/lpr mice. (</w:t>
      </w:r>
      <w:r w:rsidRPr="006516EE">
        <w:rPr>
          <w:b/>
          <w:bCs/>
        </w:rPr>
        <w:t>D-E</w:t>
      </w:r>
      <w:r w:rsidRPr="006516EE">
        <w:t xml:space="preserve">) Summary graphs show the female biased effect of EGR2 deletion </w:t>
      </w:r>
      <w:r w:rsidR="006516EE">
        <w:t xml:space="preserve">only </w:t>
      </w:r>
      <w:r w:rsidRPr="006516EE">
        <w:t>on spleen weight (</w:t>
      </w:r>
      <w:r w:rsidR="002D3ECD" w:rsidRPr="006516EE">
        <w:t>F</w:t>
      </w:r>
      <w:r w:rsidRPr="006516EE">
        <w:t xml:space="preserve">), but not </w:t>
      </w:r>
      <w:r w:rsidR="002D3ECD" w:rsidRPr="006516EE">
        <w:t xml:space="preserve">on </w:t>
      </w:r>
      <w:r w:rsidRPr="006516EE">
        <w:t>anti-dsDNA (</w:t>
      </w:r>
      <w:r w:rsidR="002D3ECD" w:rsidRPr="006516EE">
        <w:t>D</w:t>
      </w:r>
      <w:r w:rsidRPr="006516EE">
        <w:t>) and CD4</w:t>
      </w:r>
      <w:r w:rsidRPr="006516EE">
        <w:rPr>
          <w:vertAlign w:val="superscript"/>
        </w:rPr>
        <w:t>-</w:t>
      </w:r>
      <w:r w:rsidRPr="006516EE">
        <w:t>CD8</w:t>
      </w:r>
      <w:r w:rsidRPr="006516EE">
        <w:rPr>
          <w:vertAlign w:val="superscript"/>
        </w:rPr>
        <w:t>-</w:t>
      </w:r>
      <w:r w:rsidR="00E533BD" w:rsidRPr="006516EE">
        <w:t>CD3</w:t>
      </w:r>
      <w:r w:rsidR="00E533BD" w:rsidRPr="006516EE">
        <w:rPr>
          <w:vertAlign w:val="superscript"/>
        </w:rPr>
        <w:t>+</w:t>
      </w:r>
      <w:r w:rsidRPr="006516EE">
        <w:t>double-negative T cells (</w:t>
      </w:r>
      <w:r w:rsidR="002D3ECD" w:rsidRPr="006516EE">
        <w:t>E</w:t>
      </w:r>
      <w:r w:rsidRPr="006516EE">
        <w:t xml:space="preserve">) in B6 mice. </w:t>
      </w:r>
      <w:r w:rsidR="0057678A" w:rsidRPr="00403C3B">
        <w:rPr>
          <w:bCs/>
          <w:szCs w:val="24"/>
        </w:rPr>
        <w:t xml:space="preserve">Horizontal bars in the summary graphs indicated mean </w:t>
      </w:r>
      <w:r w:rsidR="0057678A" w:rsidRPr="00403C3B">
        <w:rPr>
          <w:bCs/>
          <w:szCs w:val="24"/>
        </w:rPr>
        <w:sym w:font="Symbol" w:char="F0B1"/>
      </w:r>
      <w:r w:rsidR="0057678A" w:rsidRPr="00403C3B">
        <w:rPr>
          <w:bCs/>
          <w:szCs w:val="24"/>
        </w:rPr>
        <w:t xml:space="preserve"> SD</w:t>
      </w:r>
      <w:r w:rsidR="0057678A" w:rsidRPr="006516EE">
        <w:rPr>
          <w:shd w:val="clear" w:color="auto" w:fill="FFFFFF"/>
        </w:rPr>
        <w:t xml:space="preserve"> </w:t>
      </w:r>
      <w:r w:rsidR="0057678A">
        <w:rPr>
          <w:shd w:val="clear" w:color="auto" w:fill="FFFFFF"/>
        </w:rPr>
        <w:t xml:space="preserve">(n </w:t>
      </w:r>
      <w:r w:rsidR="0057678A">
        <w:rPr>
          <w:shd w:val="clear" w:color="auto" w:fill="FFFFFF"/>
        </w:rPr>
        <w:sym w:font="Symbol" w:char="F0B3"/>
      </w:r>
      <w:r w:rsidR="0057678A">
        <w:rPr>
          <w:shd w:val="clear" w:color="auto" w:fill="FFFFFF"/>
        </w:rPr>
        <w:t xml:space="preserve"> 5). </w:t>
      </w:r>
      <w:r w:rsidRPr="006516EE">
        <w:rPr>
          <w:shd w:val="clear" w:color="auto" w:fill="FFFFFF"/>
        </w:rPr>
        <w:t xml:space="preserve">Two-way ANOVA </w:t>
      </w:r>
      <w:r w:rsidR="00A11562" w:rsidRPr="006516EE">
        <w:rPr>
          <w:shd w:val="clear" w:color="auto" w:fill="FFFFFF"/>
        </w:rPr>
        <w:t xml:space="preserve">with Tukey’s </w:t>
      </w:r>
      <w:r w:rsidRPr="006516EE">
        <w:rPr>
          <w:shd w:val="clear" w:color="auto" w:fill="FFFFFF"/>
        </w:rPr>
        <w:t>multiple comparison tests were performed to assess</w:t>
      </w:r>
      <w:r w:rsidR="00A11562" w:rsidRPr="006516EE">
        <w:rPr>
          <w:shd w:val="clear" w:color="auto" w:fill="FFFFFF"/>
        </w:rPr>
        <w:t xml:space="preserve"> the statistical significance among different gender and </w:t>
      </w:r>
      <w:r w:rsidR="0057282F" w:rsidRPr="006516EE">
        <w:rPr>
          <w:shd w:val="clear" w:color="auto" w:fill="FFFFFF"/>
        </w:rPr>
        <w:t xml:space="preserve">genotype </w:t>
      </w:r>
      <w:r w:rsidR="00A11562" w:rsidRPr="006516EE">
        <w:rPr>
          <w:shd w:val="clear" w:color="auto" w:fill="FFFFFF"/>
        </w:rPr>
        <w:t>groups</w:t>
      </w:r>
      <w:r w:rsidRPr="006516EE">
        <w:rPr>
          <w:shd w:val="clear" w:color="auto" w:fill="FFFFFF"/>
        </w:rPr>
        <w:t>. The groups have significant difference in the means were</w:t>
      </w:r>
      <w:r w:rsidR="00E75389" w:rsidRPr="006516EE">
        <w:rPr>
          <w:shd w:val="clear" w:color="auto" w:fill="FFFFFF"/>
        </w:rPr>
        <w:t xml:space="preserve"> connected and indicated a</w:t>
      </w:r>
      <w:r w:rsidRPr="006516EE">
        <w:rPr>
          <w:shd w:val="clear" w:color="auto" w:fill="FFFFFF"/>
        </w:rPr>
        <w:t xml:space="preserve"> by </w:t>
      </w:r>
      <w:r w:rsidR="00E75389" w:rsidRPr="006516EE">
        <w:rPr>
          <w:shd w:val="clear" w:color="auto" w:fill="FFFFFF"/>
        </w:rPr>
        <w:t>a</w:t>
      </w:r>
      <w:r w:rsidRPr="006516EE">
        <w:rPr>
          <w:shd w:val="clear" w:color="auto" w:fill="FFFFFF"/>
        </w:rPr>
        <w:t>sterisk</w:t>
      </w:r>
      <w:r w:rsidRPr="006516EE">
        <w:rPr>
          <w:i/>
          <w:iCs/>
          <w:shd w:val="clear" w:color="auto" w:fill="FFFFFF"/>
        </w:rPr>
        <w:t xml:space="preserve"> </w:t>
      </w:r>
      <w:r w:rsidRPr="006516EE">
        <w:rPr>
          <w:shd w:val="clear" w:color="auto" w:fill="FFFFFF"/>
        </w:rPr>
        <w:t>(</w:t>
      </w:r>
      <w:r w:rsidRPr="006516EE">
        <w:rPr>
          <w:bCs/>
        </w:rPr>
        <w:t xml:space="preserve">*, </w:t>
      </w:r>
      <w:r w:rsidRPr="006516EE">
        <w:rPr>
          <w:bCs/>
          <w:i/>
          <w:iCs/>
        </w:rPr>
        <w:t>p</w:t>
      </w:r>
      <w:r w:rsidRPr="006516EE">
        <w:rPr>
          <w:bCs/>
        </w:rPr>
        <w:t xml:space="preserve">&lt;0.05; **, </w:t>
      </w:r>
      <w:r w:rsidRPr="006516EE">
        <w:rPr>
          <w:bCs/>
          <w:i/>
          <w:iCs/>
        </w:rPr>
        <w:t>p</w:t>
      </w:r>
      <w:r w:rsidRPr="006516EE">
        <w:rPr>
          <w:bCs/>
        </w:rPr>
        <w:t xml:space="preserve">&lt;0.01; ***, </w:t>
      </w:r>
      <w:r w:rsidRPr="006516EE">
        <w:rPr>
          <w:bCs/>
          <w:i/>
          <w:iCs/>
        </w:rPr>
        <w:t>p</w:t>
      </w:r>
      <w:r w:rsidRPr="006516EE">
        <w:rPr>
          <w:bCs/>
        </w:rPr>
        <w:t xml:space="preserve">&lt;0.001; ****, </w:t>
      </w:r>
      <w:r w:rsidR="00A11562" w:rsidRPr="006516EE">
        <w:rPr>
          <w:bCs/>
          <w:i/>
          <w:iCs/>
        </w:rPr>
        <w:t>p</w:t>
      </w:r>
      <w:r w:rsidRPr="006516EE">
        <w:rPr>
          <w:bCs/>
        </w:rPr>
        <w:t>&lt;0.0001). Unpaired student t test</w:t>
      </w:r>
      <w:r w:rsidR="006516EE">
        <w:rPr>
          <w:bCs/>
        </w:rPr>
        <w:t>s</w:t>
      </w:r>
      <w:r w:rsidRPr="006516EE">
        <w:rPr>
          <w:bCs/>
        </w:rPr>
        <w:t xml:space="preserve"> </w:t>
      </w:r>
      <w:r w:rsidR="006516EE" w:rsidRPr="006516EE">
        <w:rPr>
          <w:bCs/>
        </w:rPr>
        <w:t>w</w:t>
      </w:r>
      <w:r w:rsidR="006516EE">
        <w:rPr>
          <w:bCs/>
        </w:rPr>
        <w:t xml:space="preserve">ere </w:t>
      </w:r>
      <w:r w:rsidRPr="006516EE">
        <w:rPr>
          <w:bCs/>
        </w:rPr>
        <w:t>performed to evaluate the</w:t>
      </w:r>
      <w:r w:rsidRPr="006516EE">
        <w:rPr>
          <w:shd w:val="clear" w:color="auto" w:fill="FFFFFF"/>
        </w:rPr>
        <w:t xml:space="preserve"> statistical significance</w:t>
      </w:r>
      <w:r w:rsidRPr="006516EE">
        <w:rPr>
          <w:bCs/>
        </w:rPr>
        <w:t xml:space="preserve"> </w:t>
      </w:r>
      <w:r w:rsidRPr="006516EE">
        <w:rPr>
          <w:shd w:val="clear" w:color="auto" w:fill="FFFFFF"/>
        </w:rPr>
        <w:t>between control and knockout mice in the same gender</w:t>
      </w:r>
      <w:r w:rsidR="006516EE">
        <w:rPr>
          <w:shd w:val="clear" w:color="auto" w:fill="FFFFFF"/>
        </w:rPr>
        <w:t xml:space="preserve"> and the same genetic background</w:t>
      </w:r>
      <w:r w:rsidRPr="006516EE">
        <w:rPr>
          <w:shd w:val="clear" w:color="auto" w:fill="FFFFFF"/>
        </w:rPr>
        <w:t>.</w:t>
      </w:r>
      <w:r w:rsidRPr="006516EE">
        <w:rPr>
          <w:i/>
          <w:iCs/>
          <w:shd w:val="clear" w:color="auto" w:fill="FFFFFF"/>
        </w:rPr>
        <w:t xml:space="preserve"> </w:t>
      </w:r>
      <w:r w:rsidRPr="006516EE">
        <w:rPr>
          <w:shd w:val="clear" w:color="auto" w:fill="FFFFFF"/>
        </w:rPr>
        <w:t xml:space="preserve">The statistical significance was depicted with number sign </w:t>
      </w:r>
      <w:r w:rsidRPr="006516EE">
        <w:rPr>
          <w:i/>
          <w:iCs/>
          <w:shd w:val="clear" w:color="auto" w:fill="FFFFFF"/>
        </w:rPr>
        <w:t>(#</w:t>
      </w:r>
      <w:r w:rsidRPr="006516EE">
        <w:rPr>
          <w:bCs/>
        </w:rPr>
        <w:t xml:space="preserve">, </w:t>
      </w:r>
      <w:r w:rsidRPr="006516EE">
        <w:rPr>
          <w:bCs/>
          <w:i/>
          <w:iCs/>
        </w:rPr>
        <w:t>p</w:t>
      </w:r>
      <w:r w:rsidRPr="006516EE">
        <w:rPr>
          <w:bCs/>
        </w:rPr>
        <w:t xml:space="preserve">&lt;0.05; ##, </w:t>
      </w:r>
      <w:r w:rsidRPr="006516EE">
        <w:rPr>
          <w:bCs/>
          <w:i/>
          <w:iCs/>
        </w:rPr>
        <w:t>p</w:t>
      </w:r>
      <w:r w:rsidRPr="006516EE">
        <w:rPr>
          <w:bCs/>
        </w:rPr>
        <w:t xml:space="preserve">&lt;0.01; ####, </w:t>
      </w:r>
      <w:r w:rsidRPr="006516EE">
        <w:rPr>
          <w:bCs/>
          <w:i/>
          <w:iCs/>
        </w:rPr>
        <w:t>P</w:t>
      </w:r>
      <w:r w:rsidRPr="006516EE">
        <w:rPr>
          <w:bCs/>
        </w:rPr>
        <w:t xml:space="preserve">&lt;0.0001). </w:t>
      </w:r>
    </w:p>
    <w:p w14:paraId="7B65BC41" w14:textId="464C5EE1" w:rsidR="00DE23E8" w:rsidRPr="00403C3B" w:rsidRDefault="00DE23E8" w:rsidP="00F275AC">
      <w:pPr>
        <w:spacing w:before="240"/>
        <w:rPr>
          <w:szCs w:val="24"/>
        </w:rPr>
      </w:pPr>
    </w:p>
    <w:sectPr w:rsidR="00DE23E8" w:rsidRPr="00403C3B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5F58C" w14:textId="77777777" w:rsidR="00664772" w:rsidRDefault="00664772" w:rsidP="00117666">
      <w:pPr>
        <w:spacing w:after="0"/>
      </w:pPr>
      <w:r>
        <w:separator/>
      </w:r>
    </w:p>
  </w:endnote>
  <w:endnote w:type="continuationSeparator" w:id="0">
    <w:p w14:paraId="07330D22" w14:textId="77777777" w:rsidR="00664772" w:rsidRDefault="0066477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221D5" w14:textId="77777777" w:rsidR="00664772" w:rsidRDefault="00664772" w:rsidP="00117666">
      <w:pPr>
        <w:spacing w:after="0"/>
      </w:pPr>
      <w:r>
        <w:separator/>
      </w:r>
    </w:p>
  </w:footnote>
  <w:footnote w:type="continuationSeparator" w:id="0">
    <w:p w14:paraId="19BBB82F" w14:textId="77777777" w:rsidR="00664772" w:rsidRDefault="0066477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778111151">
    <w:abstractNumId w:val="0"/>
  </w:num>
  <w:num w:numId="2" w16cid:durableId="1869484577">
    <w:abstractNumId w:val="4"/>
  </w:num>
  <w:num w:numId="3" w16cid:durableId="720639551">
    <w:abstractNumId w:val="1"/>
  </w:num>
  <w:num w:numId="4" w16cid:durableId="721757643">
    <w:abstractNumId w:val="5"/>
  </w:num>
  <w:num w:numId="5" w16cid:durableId="8914280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60829621">
    <w:abstractNumId w:val="3"/>
  </w:num>
  <w:num w:numId="7" w16cid:durableId="96995879">
    <w:abstractNumId w:val="6"/>
  </w:num>
  <w:num w:numId="8" w16cid:durableId="257371807">
    <w:abstractNumId w:val="6"/>
  </w:num>
  <w:num w:numId="9" w16cid:durableId="861087849">
    <w:abstractNumId w:val="6"/>
  </w:num>
  <w:num w:numId="10" w16cid:durableId="270671475">
    <w:abstractNumId w:val="6"/>
  </w:num>
  <w:num w:numId="11" w16cid:durableId="2035181173">
    <w:abstractNumId w:val="6"/>
  </w:num>
  <w:num w:numId="12" w16cid:durableId="1759792058">
    <w:abstractNumId w:val="6"/>
  </w:num>
  <w:num w:numId="13" w16cid:durableId="1859928539">
    <w:abstractNumId w:val="3"/>
  </w:num>
  <w:num w:numId="14" w16cid:durableId="910195166">
    <w:abstractNumId w:val="2"/>
  </w:num>
  <w:num w:numId="15" w16cid:durableId="1798180318">
    <w:abstractNumId w:val="2"/>
  </w:num>
  <w:num w:numId="16" w16cid:durableId="783309926">
    <w:abstractNumId w:val="2"/>
  </w:num>
  <w:num w:numId="17" w16cid:durableId="1122115970">
    <w:abstractNumId w:val="2"/>
  </w:num>
  <w:num w:numId="18" w16cid:durableId="287393239">
    <w:abstractNumId w:val="2"/>
  </w:num>
  <w:num w:numId="19" w16cid:durableId="8506089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5EF2"/>
    <w:rsid w:val="0001436A"/>
    <w:rsid w:val="00034304"/>
    <w:rsid w:val="00035434"/>
    <w:rsid w:val="00052A14"/>
    <w:rsid w:val="00077D53"/>
    <w:rsid w:val="00091EFE"/>
    <w:rsid w:val="000B11BF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D3ECD"/>
    <w:rsid w:val="003123F4"/>
    <w:rsid w:val="003544FB"/>
    <w:rsid w:val="00366202"/>
    <w:rsid w:val="003D2F2D"/>
    <w:rsid w:val="00401590"/>
    <w:rsid w:val="00403C3B"/>
    <w:rsid w:val="00447801"/>
    <w:rsid w:val="00451581"/>
    <w:rsid w:val="00452E9C"/>
    <w:rsid w:val="004735C8"/>
    <w:rsid w:val="004947A6"/>
    <w:rsid w:val="004961FF"/>
    <w:rsid w:val="004F067A"/>
    <w:rsid w:val="00517A89"/>
    <w:rsid w:val="005250F2"/>
    <w:rsid w:val="0057282F"/>
    <w:rsid w:val="0057678A"/>
    <w:rsid w:val="00593EEA"/>
    <w:rsid w:val="005A5EEE"/>
    <w:rsid w:val="006375C7"/>
    <w:rsid w:val="006516EE"/>
    <w:rsid w:val="00654E8F"/>
    <w:rsid w:val="00660D05"/>
    <w:rsid w:val="00664772"/>
    <w:rsid w:val="006820B1"/>
    <w:rsid w:val="006B7D14"/>
    <w:rsid w:val="00701727"/>
    <w:rsid w:val="0070566C"/>
    <w:rsid w:val="00714C50"/>
    <w:rsid w:val="00724349"/>
    <w:rsid w:val="00725A7D"/>
    <w:rsid w:val="007501BE"/>
    <w:rsid w:val="00790BB3"/>
    <w:rsid w:val="007C206C"/>
    <w:rsid w:val="00817DD6"/>
    <w:rsid w:val="0083759F"/>
    <w:rsid w:val="00871B34"/>
    <w:rsid w:val="00885156"/>
    <w:rsid w:val="008C52C3"/>
    <w:rsid w:val="008F2722"/>
    <w:rsid w:val="009151AA"/>
    <w:rsid w:val="0093429D"/>
    <w:rsid w:val="009368FC"/>
    <w:rsid w:val="0094328D"/>
    <w:rsid w:val="00943573"/>
    <w:rsid w:val="00964134"/>
    <w:rsid w:val="00970F7D"/>
    <w:rsid w:val="00994A3D"/>
    <w:rsid w:val="009C2B12"/>
    <w:rsid w:val="00A11562"/>
    <w:rsid w:val="00A174D9"/>
    <w:rsid w:val="00AA4D24"/>
    <w:rsid w:val="00AB6715"/>
    <w:rsid w:val="00B06152"/>
    <w:rsid w:val="00B1671E"/>
    <w:rsid w:val="00B25EB8"/>
    <w:rsid w:val="00B37F4D"/>
    <w:rsid w:val="00C52A7B"/>
    <w:rsid w:val="00C56BAF"/>
    <w:rsid w:val="00C679AA"/>
    <w:rsid w:val="00C75972"/>
    <w:rsid w:val="00C76553"/>
    <w:rsid w:val="00CB3FCC"/>
    <w:rsid w:val="00CD066B"/>
    <w:rsid w:val="00CE4FEE"/>
    <w:rsid w:val="00CF0E7E"/>
    <w:rsid w:val="00D060CF"/>
    <w:rsid w:val="00D1705A"/>
    <w:rsid w:val="00D46184"/>
    <w:rsid w:val="00D74C87"/>
    <w:rsid w:val="00DB59C3"/>
    <w:rsid w:val="00DC259A"/>
    <w:rsid w:val="00DE23E8"/>
    <w:rsid w:val="00E52377"/>
    <w:rsid w:val="00E533BD"/>
    <w:rsid w:val="00E537AD"/>
    <w:rsid w:val="00E605CC"/>
    <w:rsid w:val="00E64E17"/>
    <w:rsid w:val="00E75389"/>
    <w:rsid w:val="00E84E5C"/>
    <w:rsid w:val="00E866C9"/>
    <w:rsid w:val="00EA3D3C"/>
    <w:rsid w:val="00EC090A"/>
    <w:rsid w:val="00ED20B5"/>
    <w:rsid w:val="00EF3469"/>
    <w:rsid w:val="00F07E15"/>
    <w:rsid w:val="00F275AC"/>
    <w:rsid w:val="00F46900"/>
    <w:rsid w:val="00F61D89"/>
    <w:rsid w:val="00F74E01"/>
    <w:rsid w:val="00F9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94328D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8E48D8-600E-E24A-8974-4CA6AAC76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6</TotalTime>
  <Pages>3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Microsoft Office User</cp:lastModifiedBy>
  <cp:revision>4</cp:revision>
  <cp:lastPrinted>2013-10-03T12:51:00Z</cp:lastPrinted>
  <dcterms:created xsi:type="dcterms:W3CDTF">2022-05-11T01:49:00Z</dcterms:created>
  <dcterms:modified xsi:type="dcterms:W3CDTF">2022-05-11T03:37:00Z</dcterms:modified>
</cp:coreProperties>
</file>