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Supplementary Information: limitations of the methodology </w:t>
      </w:r>
    </w:p>
    <w:p w:rsidR="00000000" w:rsidDel="00000000" w:rsidP="00000000" w:rsidRDefault="00000000" w:rsidRPr="00000000" w14:paraId="00000002">
      <w:pPr>
        <w:spacing w:after="240" w:before="240" w:line="360" w:lineRule="auto"/>
        <w:rPr>
          <w:rFonts w:ascii="Calibri" w:cs="Calibri" w:eastAsia="Calibri" w:hAnsi="Calibri"/>
          <w:sz w:val="24"/>
          <w:szCs w:val="24"/>
        </w:rPr>
      </w:pPr>
      <w:r w:rsidDel="00000000" w:rsidR="00000000" w:rsidRPr="00000000">
        <w:rPr>
          <w:b w:val="1"/>
          <w:rtl w:val="0"/>
        </w:rPr>
        <w:t xml:space="preserve">Limitations on s</w:t>
      </w:r>
      <w:r w:rsidDel="00000000" w:rsidR="00000000" w:rsidRPr="00000000">
        <w:rPr>
          <w:rFonts w:ascii="Calibri" w:cs="Calibri" w:eastAsia="Calibri" w:hAnsi="Calibri"/>
          <w:b w:val="1"/>
          <w:sz w:val="24"/>
          <w:szCs w:val="24"/>
          <w:rtl w:val="0"/>
        </w:rPr>
        <w:t xml:space="preserve">ediment organic carbon content methodology</w:t>
      </w:r>
      <w:r w:rsidDel="00000000" w:rsidR="00000000" w:rsidRPr="00000000">
        <w:rPr>
          <w:rtl w:val="0"/>
        </w:rPr>
      </w:r>
    </w:p>
    <w:p w:rsidR="00000000" w:rsidDel="00000000" w:rsidP="00000000" w:rsidRDefault="00000000" w:rsidRPr="00000000" w14:paraId="00000003">
      <w:pPr>
        <w:spacing w:after="240" w:before="240" w:line="360" w:lineRule="auto"/>
        <w:rPr>
          <w:rFonts w:ascii="Calibri" w:cs="Calibri" w:eastAsia="Calibri" w:hAnsi="Calibri"/>
          <w:sz w:val="20"/>
          <w:szCs w:val="20"/>
        </w:rPr>
      </w:pPr>
      <w:r w:rsidDel="00000000" w:rsidR="00000000" w:rsidRPr="00000000">
        <w:rPr>
          <w:rFonts w:ascii="Calibri" w:cs="Calibri" w:eastAsia="Calibri" w:hAnsi="Calibri"/>
          <w:b w:val="1"/>
          <w:sz w:val="24"/>
          <w:szCs w:val="24"/>
          <w:rtl w:val="0"/>
        </w:rPr>
        <w:t xml:space="preserve">Table 1: </w:t>
      </w:r>
      <w:r w:rsidDel="00000000" w:rsidR="00000000" w:rsidRPr="00000000">
        <w:rPr>
          <w:rFonts w:ascii="Calibri" w:cs="Calibri" w:eastAsia="Calibri" w:hAnsi="Calibri"/>
          <w:sz w:val="24"/>
          <w:szCs w:val="24"/>
          <w:rtl w:val="0"/>
        </w:rPr>
        <w:t xml:space="preserve">Estimates of organic carbon stored in the upper 10 cm of sediment within the FICZ, FOCZ, and total EEZ. Based on global estimates by Atwood et al. (2020) and Lee et al. (2019). </w:t>
      </w:r>
      <w:r w:rsidDel="00000000" w:rsidR="00000000" w:rsidRPr="00000000">
        <w:rPr>
          <w:rtl w:val="0"/>
        </w:rPr>
      </w:r>
    </w:p>
    <w:tbl>
      <w:tblPr>
        <w:tblStyle w:val="Table1"/>
        <w:tblW w:w="10467.69359275635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2025"/>
        <w:gridCol w:w="3615"/>
        <w:gridCol w:w="3507.693592756352"/>
        <w:tblGridChange w:id="0">
          <w:tblGrid>
            <w:gridCol w:w="1320"/>
            <w:gridCol w:w="2025"/>
            <w:gridCol w:w="3615"/>
            <w:gridCol w:w="3507.6935927563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Zone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Area (km</w:t>
            </w:r>
            <w:r w:rsidDel="00000000" w:rsidR="00000000" w:rsidRPr="00000000">
              <w:rPr>
                <w:rFonts w:ascii="Calibri" w:cs="Calibri" w:eastAsia="Calibri" w:hAnsi="Calibri"/>
                <w:b w:val="1"/>
                <w:sz w:val="20"/>
                <w:szCs w:val="20"/>
                <w:vertAlign w:val="superscript"/>
                <w:rtl w:val="0"/>
              </w:rPr>
              <w:t xml:space="preserve">2</w:t>
            </w:r>
            <w:r w:rsidDel="00000000" w:rsidR="00000000" w:rsidRPr="00000000">
              <w:rPr>
                <w:rFonts w:ascii="Calibri" w:cs="Calibri" w:eastAsia="Calibri" w:hAnsi="Calibri"/>
                <w:b w:val="1"/>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Organic carbon pool  (Tg), 0-10 cm, based on Atwood et al.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Organic carbon pool  (Tg), 0-10 cm, based on Lee et al. (2019)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FICZ</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222,188</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FOCZ</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233,043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138</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Combined </w:t>
            </w:r>
            <w:r w:rsidDel="00000000" w:rsidR="00000000" w:rsidRPr="00000000">
              <w:rPr>
                <w:b w:val="1"/>
                <w:sz w:val="20"/>
                <w:szCs w:val="20"/>
                <w:rtl w:val="0"/>
              </w:rPr>
              <w:t xml:space="preserve">FCZs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455,231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187</w:t>
            </w:r>
          </w:p>
        </w:tc>
      </w:tr>
    </w:tbl>
    <w:p w:rsidR="00000000" w:rsidDel="00000000" w:rsidP="00000000" w:rsidRDefault="00000000" w:rsidRPr="00000000" w14:paraId="00000014">
      <w:pPr>
        <w:spacing w:after="240" w:before="24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Atwood et al. (2020) provided stock estimates for the upper 1 m of the sediment column. However, 84% of the observational data they used had to be standardized to 1 m, i.e., original measurements related to shallower depths and the stock values were scaled to 1 m assuming a uniform distribution of organic carbon in the upper 1 m of the sediment column. However, this assumption is unlikely to hold, as remineralization of organic carbon frequently leads to decreases in organic carbon content with depth. To provide more realistic estimates, we therefore divided the derived organic carbon pools by 10 to standardize these pools to the upper 10 cm of sediment. This yields organic carbon pools of 167 Tg and 138 Tg for the inner and outer conservation zones, respectively.</w:t>
      </w:r>
    </w:p>
    <w:p w:rsidR="00000000" w:rsidDel="00000000" w:rsidP="00000000" w:rsidRDefault="00000000" w:rsidRPr="00000000" w14:paraId="00000015">
      <w:pPr>
        <w:spacing w:after="240" w:before="240" w:line="360" w:lineRule="auto"/>
        <w:rPr/>
      </w:pPr>
      <w:r w:rsidDel="00000000" w:rsidR="00000000" w:rsidRPr="00000000">
        <w:rPr>
          <w:rFonts w:ascii="Calibri" w:cs="Calibri" w:eastAsia="Calibri" w:hAnsi="Calibri"/>
          <w:sz w:val="24"/>
          <w:szCs w:val="24"/>
          <w:rtl w:val="0"/>
        </w:rPr>
        <w:t xml:space="preserve">Additionally, we used global maps of organic carbon content (weight-%) and porosity provided by Lee et al. (2019) to calculate organic carbon stocks. Porosity can be converted to dry bulk density, assuming a constant grain density (2650 kg m</w:t>
      </w:r>
      <w:r w:rsidDel="00000000" w:rsidR="00000000" w:rsidRPr="00000000">
        <w:rPr>
          <w:rFonts w:ascii="Calibri" w:cs="Calibri" w:eastAsia="Calibri" w:hAnsi="Calibri"/>
          <w:sz w:val="24"/>
          <w:szCs w:val="24"/>
          <w:vertAlign w:val="superscript"/>
          <w:rtl w:val="0"/>
        </w:rPr>
        <w:t xml:space="preserve">-3</w:t>
      </w:r>
      <w:r w:rsidDel="00000000" w:rsidR="00000000" w:rsidRPr="00000000">
        <w:rPr>
          <w:rFonts w:ascii="Calibri" w:cs="Calibri" w:eastAsia="Calibri" w:hAnsi="Calibri"/>
          <w:sz w:val="24"/>
          <w:szCs w:val="24"/>
          <w:rtl w:val="0"/>
        </w:rPr>
        <w:t xml:space="preserve"> used here). The stock was derived by multiplying dry bulk density with the organic carbon stock (divided by 100) and the reference depth, for which the estimates were made (0.05 m in this case). </w:t>
      </w:r>
      <w:r w:rsidDel="00000000" w:rsidR="00000000" w:rsidRPr="00000000">
        <w:rPr>
          <w:rtl w:val="0"/>
        </w:rPr>
        <w:t xml:space="preserve">Z</w:t>
      </w:r>
      <w:r w:rsidDel="00000000" w:rsidR="00000000" w:rsidRPr="00000000">
        <w:rPr>
          <w:rFonts w:ascii="Calibri" w:cs="Calibri" w:eastAsia="Calibri" w:hAnsi="Calibri"/>
          <w:sz w:val="24"/>
          <w:szCs w:val="24"/>
          <w:rtl w:val="0"/>
        </w:rPr>
        <w:t xml:space="preserve">onal statistics were used to derive mean values for the inner and outer zones and pool sizes derived as previously described. These were multiplied by 2 to standardize to the upper 10 cm. As previously outlined, this might have led to an overestimation. Despite this, values are lower than those derived from the data of Atwood et al. (2020). We estimate pools of 98 Tg and 89 Tg for the inner and outer zones, respectively.  </w:t>
      </w:r>
      <w:r w:rsidDel="00000000" w:rsidR="00000000" w:rsidRPr="00000000">
        <w:rPr>
          <w:rtl w:val="0"/>
        </w:rPr>
      </w:r>
    </w:p>
    <w:p w:rsidR="00000000" w:rsidDel="00000000" w:rsidP="00000000" w:rsidRDefault="00000000" w:rsidRPr="00000000" w14:paraId="00000016">
      <w:pPr>
        <w:spacing w:after="240" w:before="240" w:line="360" w:lineRule="auto"/>
        <w:rPr>
          <w:b w:val="1"/>
        </w:rPr>
      </w:pPr>
      <w:r w:rsidDel="00000000" w:rsidR="00000000" w:rsidRPr="00000000">
        <w:rPr>
          <w:rFonts w:ascii="Calibri" w:cs="Calibri" w:eastAsia="Calibri" w:hAnsi="Calibri"/>
          <w:b w:val="1"/>
          <w:sz w:val="24"/>
          <w:szCs w:val="24"/>
          <w:rtl w:val="0"/>
        </w:rPr>
        <w:t xml:space="preserve">Limitations on broadscale offshore habitat mapping </w:t>
      </w:r>
      <w:r w:rsidDel="00000000" w:rsidR="00000000" w:rsidRPr="00000000">
        <w:rPr>
          <w:rtl w:val="0"/>
        </w:rPr>
      </w:r>
    </w:p>
    <w:p w:rsidR="00000000" w:rsidDel="00000000" w:rsidP="00000000" w:rsidRDefault="00000000" w:rsidRPr="00000000" w14:paraId="00000017">
      <w:pPr>
        <w:spacing w:after="240" w:before="240" w:line="360" w:lineRule="auto"/>
        <w:rPr/>
      </w:pPr>
      <w:r w:rsidDel="00000000" w:rsidR="00000000" w:rsidRPr="00000000">
        <w:rPr>
          <w:rFonts w:ascii="Calibri" w:cs="Calibri" w:eastAsia="Calibri" w:hAnsi="Calibri"/>
          <w:sz w:val="24"/>
          <w:szCs w:val="24"/>
          <w:rtl w:val="0"/>
        </w:rPr>
        <w:t xml:space="preserve">Offshore habitat mapping has been limited to either small-scale high-resolution surveys conducted to support offshore exploration of oil and gas (Nobel, 2014; FOGL, 2011) or broad-scale predictive modeling of  VME taxa as proxies of VME location and extent (Brewin et al., 2020). These surveys have included unsupervised classification of the physical environment (Pearman, 2021) in support of fisheries Marine Stewardship Council (MSC) accreditation and mapping has largely focused on benthic environments between water depths of 300 - 3000 m. However, data informing these maps has principally come from water depths of 600 - 1800 m. The limited spatial extent of ground-truthed data coupled with the low resolution of environmental data used in these models is the main limitation of habitat maps (Guisan and Thuiller, 2005; </w:t>
      </w:r>
      <w:r w:rsidDel="00000000" w:rsidR="00000000" w:rsidRPr="00000000">
        <w:rPr>
          <w:rFonts w:ascii="Calibri" w:cs="Calibri" w:eastAsia="Calibri" w:hAnsi="Calibri"/>
          <w:sz w:val="24"/>
          <w:szCs w:val="24"/>
          <w:rtl w:val="0"/>
        </w:rPr>
        <w:t xml:space="preserve">Ross et al., 2015</w:t>
      </w:r>
      <w:r w:rsidDel="00000000" w:rsidR="00000000" w:rsidRPr="00000000">
        <w:rPr>
          <w:rFonts w:ascii="Calibri" w:cs="Calibri" w:eastAsia="Calibri" w:hAnsi="Calibri"/>
          <w:sz w:val="24"/>
          <w:szCs w:val="24"/>
          <w:rtl w:val="0"/>
        </w:rPr>
        <w:t xml:space="preserve">). Environmental data layers for the FICZ are only available from regional or global models for bathymetry, substrates and oceanographic properties (e.g. GEBCO, GLOBAL Ocean Sea Physical Analysis and Forecasting Products, Global Ocean Biogeochemistry Hindcast model, Bio-ORACLE and dbSEABED) (SI.2 Table 1). Unsupervised classification maps derived from these data can identify geomorphic features such as canyons or steep slopes (Hogg et al., 2016; </w:t>
      </w:r>
      <w:r w:rsidDel="00000000" w:rsidR="00000000" w:rsidRPr="00000000">
        <w:rPr>
          <w:rFonts w:ascii="Calibri" w:cs="Calibri" w:eastAsia="Calibri" w:hAnsi="Calibri"/>
          <w:sz w:val="24"/>
          <w:szCs w:val="24"/>
          <w:rtl w:val="0"/>
        </w:rPr>
        <w:t xml:space="preserve">Ismail et al., 2015) </w:t>
      </w:r>
      <w:r w:rsidDel="00000000" w:rsidR="00000000" w:rsidRPr="00000000">
        <w:rPr>
          <w:rFonts w:ascii="Calibri" w:cs="Calibri" w:eastAsia="Calibri" w:hAnsi="Calibri"/>
          <w:sz w:val="24"/>
          <w:szCs w:val="24"/>
          <w:rtl w:val="0"/>
        </w:rPr>
        <w:t xml:space="preserve">that are associated with VMEs (FAO, 200</w:t>
      </w:r>
      <w:r w:rsidDel="00000000" w:rsidR="00000000" w:rsidRPr="00000000">
        <w:rPr>
          <w:rtl w:val="0"/>
        </w:rPr>
        <w:t xml:space="preserve">8</w:t>
      </w:r>
      <w:r w:rsidDel="00000000" w:rsidR="00000000" w:rsidRPr="00000000">
        <w:rPr>
          <w:rFonts w:ascii="Calibri" w:cs="Calibri" w:eastAsia="Calibri" w:hAnsi="Calibri"/>
          <w:sz w:val="24"/>
          <w:szCs w:val="24"/>
          <w:rtl w:val="0"/>
        </w:rPr>
        <w:t xml:space="preserve">, 2016). However, the low resolution of the environmental data outputs do not necessarily capture the scale at which these variables influence species spatial patterns, which can lead to inaccuracies (Lecours et al., 2015; </w:t>
      </w:r>
      <w:r w:rsidDel="00000000" w:rsidR="00000000" w:rsidRPr="00000000">
        <w:rPr>
          <w:rFonts w:ascii="Calibri" w:cs="Calibri" w:eastAsia="Calibri" w:hAnsi="Calibri"/>
          <w:sz w:val="24"/>
          <w:szCs w:val="24"/>
          <w:rtl w:val="0"/>
        </w:rPr>
        <w:t xml:space="preserve">Miyamoto et al., 2017; Porskamp et al., 2018</w:t>
      </w:r>
      <w:r w:rsidDel="00000000" w:rsidR="00000000" w:rsidRPr="00000000">
        <w:rPr>
          <w:rFonts w:ascii="Calibri" w:cs="Calibri" w:eastAsia="Calibri" w:hAnsi="Calibri"/>
          <w:sz w:val="24"/>
          <w:szCs w:val="24"/>
          <w:rtl w:val="0"/>
        </w:rPr>
        <w:t xml:space="preserve">). Low-resolution environmental data can also lead to over prediction of habitat extents (Ross et al., 2015). Furthermore, the high spatial uncertainty associated with bycatch records used to develop predictive VME taxa models introduces further uncertainty into predicted location and extent (Guisan and Thuiller, 2005) and often limits researchers and policy makers to presence only models</w:t>
      </w:r>
      <w:r w:rsidDel="00000000" w:rsidR="00000000" w:rsidRPr="00000000">
        <w:rPr>
          <w:rtl w:val="0"/>
        </w:rPr>
        <w:t xml:space="preserve">. </w:t>
      </w:r>
    </w:p>
    <w:p w:rsidR="00000000" w:rsidDel="00000000" w:rsidP="00000000" w:rsidRDefault="00000000" w:rsidRPr="00000000" w14:paraId="00000018">
      <w:pPr>
        <w:spacing w:after="240" w:before="240" w:line="360" w:lineRule="auto"/>
        <w:rPr>
          <w:b w:val="1"/>
        </w:rPr>
      </w:pPr>
      <w:bookmarkStart w:colFirst="0" w:colLast="0" w:name="_a122pwbgcoth" w:id="0"/>
      <w:bookmarkEnd w:id="0"/>
      <w:r w:rsidDel="00000000" w:rsidR="00000000" w:rsidRPr="00000000">
        <w:rPr>
          <w:rFonts w:ascii="Calibri" w:cs="Calibri" w:eastAsia="Calibri" w:hAnsi="Calibri"/>
          <w:b w:val="1"/>
          <w:sz w:val="24"/>
          <w:szCs w:val="24"/>
          <w:rtl w:val="0"/>
        </w:rPr>
        <w:t xml:space="preserve">Limitations of areal extent estimates </w:t>
      </w:r>
      <w:r w:rsidDel="00000000" w:rsidR="00000000" w:rsidRPr="00000000">
        <w:rPr>
          <w:rtl w:val="0"/>
        </w:rPr>
      </w:r>
    </w:p>
    <w:p w:rsidR="00000000" w:rsidDel="00000000" w:rsidP="00000000" w:rsidRDefault="00000000" w:rsidRPr="00000000" w14:paraId="00000019">
      <w:pPr>
        <w:spacing w:after="240" w:before="240" w:line="360" w:lineRule="auto"/>
        <w:rPr/>
      </w:pPr>
      <w:bookmarkStart w:colFirst="0" w:colLast="0" w:name="_ai6l0b2n8614" w:id="1"/>
      <w:bookmarkEnd w:id="1"/>
      <w:r w:rsidDel="00000000" w:rsidR="00000000" w:rsidRPr="00000000">
        <w:rPr>
          <w:rFonts w:ascii="Calibri" w:cs="Calibri" w:eastAsia="Calibri" w:hAnsi="Calibri"/>
          <w:sz w:val="24"/>
          <w:szCs w:val="24"/>
          <w:rtl w:val="0"/>
        </w:rPr>
        <w:t xml:space="preserve">In order to establish the distribution of carbon-rich habitat using available VME datasets </w:t>
      </w:r>
      <w:r w:rsidDel="00000000" w:rsidR="00000000" w:rsidRPr="00000000">
        <w:rPr>
          <w:rtl w:val="0"/>
        </w:rPr>
        <w:t xml:space="preserve">based on </w:t>
      </w:r>
      <w:r w:rsidDel="00000000" w:rsidR="00000000" w:rsidRPr="00000000">
        <w:rPr>
          <w:rFonts w:ascii="Calibri" w:cs="Calibri" w:eastAsia="Calibri" w:hAnsi="Calibri"/>
          <w:sz w:val="24"/>
          <w:szCs w:val="24"/>
          <w:rtl w:val="0"/>
        </w:rPr>
        <w:t xml:space="preserve">OBIS (2022), Brewin et al., (2020)</w:t>
      </w:r>
      <w:r w:rsidDel="00000000" w:rsidR="00000000" w:rsidRPr="00000000">
        <w:rPr>
          <w:rtl w:val="0"/>
        </w:rPr>
        <w:t xml:space="preserve"> and</w:t>
      </w:r>
      <w:r w:rsidDel="00000000" w:rsidR="00000000" w:rsidRPr="00000000">
        <w:rPr>
          <w:rFonts w:ascii="Calibri" w:cs="Calibri" w:eastAsia="Calibri" w:hAnsi="Calibri"/>
          <w:sz w:val="24"/>
          <w:szCs w:val="24"/>
          <w:rtl w:val="0"/>
        </w:rPr>
        <w:t xml:space="preserve"> SAERI unpublished data (</w:t>
      </w:r>
      <w:r w:rsidDel="00000000" w:rsidR="00000000" w:rsidRPr="00000000">
        <w:rPr>
          <w:rtl w:val="0"/>
        </w:rPr>
        <w:t xml:space="preserve">Manuscript fig. 2) we calculated VME</w:t>
      </w:r>
      <w:r w:rsidDel="00000000" w:rsidR="00000000" w:rsidRPr="00000000">
        <w:rPr>
          <w:rFonts w:ascii="Calibri" w:cs="Calibri" w:eastAsia="Calibri" w:hAnsi="Calibri"/>
          <w:sz w:val="24"/>
          <w:szCs w:val="24"/>
          <w:rtl w:val="0"/>
        </w:rPr>
        <w:t xml:space="preserve"> areal extent in ESRI ArcGIS using a </w:t>
      </w:r>
      <w:r w:rsidDel="00000000" w:rsidR="00000000" w:rsidRPr="00000000">
        <w:rPr>
          <w:rtl w:val="0"/>
        </w:rPr>
        <w:t xml:space="preserve">UTM21S</w:t>
      </w:r>
      <w:r w:rsidDel="00000000" w:rsidR="00000000" w:rsidRPr="00000000">
        <w:rPr>
          <w:rFonts w:ascii="Calibri" w:cs="Calibri" w:eastAsia="Calibri" w:hAnsi="Calibri"/>
          <w:sz w:val="24"/>
          <w:szCs w:val="24"/>
          <w:rtl w:val="0"/>
        </w:rPr>
        <w:t xml:space="preserve"> projection </w:t>
      </w:r>
      <w:r w:rsidDel="00000000" w:rsidR="00000000" w:rsidRPr="00000000">
        <w:rPr>
          <w:rtl w:val="0"/>
        </w:rPr>
        <w:t xml:space="preserve">chosen as the most representative for regional estimates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Areal extents were also calculated for functional groups based on Barnes and Sands 2017 for comparison where possible (Table 2.). This method uses polygons to determine an extent between nearby sampling locations, which means there is a level of imprecision of c. 20 - 25 kms. This imprecision assumes that suitable habitat might be between specimen locations, with a similar bathymetry (which is largely unknown). </w:t>
      </w:r>
    </w:p>
    <w:p w:rsidR="00000000" w:rsidDel="00000000" w:rsidP="00000000" w:rsidRDefault="00000000" w:rsidRPr="00000000" w14:paraId="0000001A">
      <w:pPr>
        <w:spacing w:after="240" w:before="240" w:line="360" w:lineRule="auto"/>
        <w:rPr/>
      </w:pPr>
      <w:bookmarkStart w:colFirst="0" w:colLast="0" w:name="_bn7xdvqlrasm" w:id="2"/>
      <w:bookmarkEnd w:id="2"/>
      <w:r w:rsidDel="00000000" w:rsidR="00000000" w:rsidRPr="00000000">
        <w:rPr>
          <w:rFonts w:ascii="Calibri" w:cs="Calibri" w:eastAsia="Calibri" w:hAnsi="Calibri"/>
          <w:sz w:val="24"/>
          <w:szCs w:val="24"/>
          <w:rtl w:val="0"/>
        </w:rPr>
        <w:t xml:space="preserve">VME indicator taxa are not well described in the South West Atlantic, and as a consequence species occurrences are aggregated into higher taxonomic groupings according to the CCAMLR VME Taxa Classification Guide 2009</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(https://www.ccamlr.org/en/system/files/VME-guide.pdf)</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 for the following taxa grouped by Phylum </w:t>
      </w:r>
      <w:r w:rsidDel="00000000" w:rsidR="00000000" w:rsidRPr="00000000">
        <w:rPr>
          <w:rtl w:val="0"/>
        </w:rPr>
        <w:t xml:space="preserve">(Table 2.) </w:t>
      </w:r>
      <w:r w:rsidDel="00000000" w:rsidR="00000000" w:rsidRPr="00000000">
        <w:rPr>
          <w:rFonts w:ascii="Calibri" w:cs="Calibri" w:eastAsia="Calibri" w:hAnsi="Calibri"/>
          <w:sz w:val="24"/>
          <w:szCs w:val="24"/>
          <w:rtl w:val="0"/>
        </w:rPr>
        <w:t xml:space="preserve"> - Annelida - Serpulidae; Arthropoda - Bathylasmatidae; Brachiopoda; Bryozoa; Chordata- Ascidiacea; Cnidaria- Actiniaria, Alcyonacea, Pennatulacea, Scleractinia, Antipathraia, Hydroidolina, Stylasteridae; Echinodermata- </w:t>
      </w:r>
      <w:r w:rsidDel="00000000" w:rsidR="00000000" w:rsidRPr="00000000">
        <w:rPr>
          <w:rtl w:val="0"/>
        </w:rPr>
        <w:t xml:space="preserve">Crinoidea</w:t>
      </w:r>
      <w:r w:rsidDel="00000000" w:rsidR="00000000" w:rsidRPr="00000000">
        <w:rPr>
          <w:rFonts w:ascii="Calibri" w:cs="Calibri" w:eastAsia="Calibri" w:hAnsi="Calibri"/>
          <w:sz w:val="24"/>
          <w:szCs w:val="24"/>
          <w:rtl w:val="0"/>
        </w:rPr>
        <w:t xml:space="preserve">, Ophiurida, Cidaroida; Hemichordata; and Porifera (manuscript Fig</w:t>
      </w:r>
      <w:r w:rsidDel="00000000" w:rsidR="00000000" w:rsidRPr="00000000">
        <w:rPr>
          <w:rtl w:val="0"/>
        </w:rPr>
        <w:t xml:space="preserve">.</w:t>
      </w:r>
      <w:r w:rsidDel="00000000" w:rsidR="00000000" w:rsidRPr="00000000">
        <w:rPr>
          <w:rFonts w:ascii="Calibri" w:cs="Calibri" w:eastAsia="Calibri" w:hAnsi="Calibri"/>
          <w:sz w:val="24"/>
          <w:szCs w:val="24"/>
          <w:rtl w:val="0"/>
        </w:rPr>
        <w:t xml:space="preserve"> 1). </w:t>
      </w:r>
      <w:r w:rsidDel="00000000" w:rsidR="00000000" w:rsidRPr="00000000">
        <w:rPr>
          <w:rtl w:val="0"/>
        </w:rPr>
        <w:t xml:space="preserve">Improved VME identification and reporting by fisheries observers, if added to existing protocols and resourced effectively, will also help to clarify these estimates in future studies. The inclusion of a number of habitat and environmental baseline surveys conducted to support offshore exploration of oil and gas (Nobel, 2014, FOGL, 2011 unpublished data) with small –scale high – resolution bathymetry (Manuscript Fig.1), imagery data and grab sampled fauna and sediment samples, also provide comparative data sets for future analyses across the FCZs. In this context, area estimates should be viewed as a first-level assessment with the amount and type of data currently held (in combination with that of other sources, compiled in SI.2 Table 1). </w:t>
      </w:r>
    </w:p>
    <w:p w:rsidR="00000000" w:rsidDel="00000000" w:rsidP="00000000" w:rsidRDefault="00000000" w:rsidRPr="00000000" w14:paraId="0000001B">
      <w:pPr>
        <w:spacing w:after="240" w:before="240" w:line="360" w:lineRule="auto"/>
        <w:rPr>
          <w:sz w:val="20"/>
          <w:szCs w:val="20"/>
        </w:rPr>
      </w:pPr>
      <w:bookmarkStart w:colFirst="0" w:colLast="0" w:name="_afbao9ercpxl" w:id="3"/>
      <w:bookmarkEnd w:id="3"/>
      <w:r w:rsidDel="00000000" w:rsidR="00000000" w:rsidRPr="00000000">
        <w:rPr>
          <w:rFonts w:ascii="Calibri" w:cs="Calibri" w:eastAsia="Calibri" w:hAnsi="Calibri"/>
          <w:b w:val="1"/>
          <w:rtl w:val="0"/>
        </w:rPr>
        <w:t xml:space="preserve">Table 2. </w:t>
      </w:r>
      <w:r w:rsidDel="00000000" w:rsidR="00000000" w:rsidRPr="00000000">
        <w:rPr>
          <w:rtl w:val="0"/>
        </w:rPr>
        <w:t xml:space="preserve">Projected a</w:t>
      </w:r>
      <w:r w:rsidDel="00000000" w:rsidR="00000000" w:rsidRPr="00000000">
        <w:rPr>
          <w:rFonts w:ascii="Calibri" w:cs="Calibri" w:eastAsia="Calibri" w:hAnsi="Calibri"/>
          <w:rtl w:val="0"/>
        </w:rPr>
        <w:t xml:space="preserve">real extent of VMEs and functional groups calculated in GIS based on OBIS, Brewin et al., (2020) and SAERI unpublished data in </w:t>
      </w:r>
      <w:r w:rsidDel="00000000" w:rsidR="00000000" w:rsidRPr="00000000">
        <w:rPr>
          <w:rtl w:val="0"/>
        </w:rPr>
        <w:t xml:space="preserve">UTM21S</w:t>
      </w:r>
      <w:r w:rsidDel="00000000" w:rsidR="00000000" w:rsidRPr="00000000">
        <w:rPr>
          <w:rFonts w:ascii="Calibri" w:cs="Calibri" w:eastAsia="Calibri" w:hAnsi="Calibri"/>
          <w:rtl w:val="0"/>
        </w:rPr>
        <w:t xml:space="preserve"> geo</w:t>
      </w:r>
      <w:r w:rsidDel="00000000" w:rsidR="00000000" w:rsidRPr="00000000">
        <w:rPr>
          <w:rtl w:val="0"/>
        </w:rPr>
        <w:t xml:space="preserve">graphic </w:t>
      </w:r>
      <w:r w:rsidDel="00000000" w:rsidR="00000000" w:rsidRPr="00000000">
        <w:rPr>
          <w:rFonts w:ascii="Calibri" w:cs="Calibri" w:eastAsia="Calibri" w:hAnsi="Calibri"/>
          <w:rtl w:val="0"/>
        </w:rPr>
        <w:t xml:space="preserve">projection</w:t>
      </w:r>
      <w:r w:rsidDel="00000000" w:rsidR="00000000" w:rsidRPr="00000000">
        <w:rPr>
          <w:rFonts w:ascii="Calibri" w:cs="Calibri" w:eastAsia="Calibri" w:hAnsi="Calibri"/>
          <w:rtl w:val="0"/>
        </w:rPr>
        <w:t xml:space="preserve">. </w:t>
      </w:r>
      <w:r w:rsidDel="00000000" w:rsidR="00000000" w:rsidRPr="00000000">
        <w:rPr>
          <w:rtl w:val="0"/>
        </w:rPr>
      </w:r>
    </w:p>
    <w:tbl>
      <w:tblPr>
        <w:tblStyle w:val="Table2"/>
        <w:tblW w:w="10465.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90.1462317210353"/>
        <w:gridCol w:w="3755.3411335394103"/>
        <w:gridCol w:w="3720.024445763178"/>
        <w:tblGridChange w:id="0">
          <w:tblGrid>
            <w:gridCol w:w="2990.1462317210353"/>
            <w:gridCol w:w="3755.3411335394103"/>
            <w:gridCol w:w="3720.024445763178"/>
          </w:tblGrid>
        </w:tblGridChange>
      </w:tblGrid>
      <w:tr>
        <w:trPr>
          <w:cantSplit w:val="0"/>
          <w:trHeight w:val="300" w:hRule="atLeast"/>
          <w:tblHeader w:val="0"/>
        </w:trPr>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C">
            <w:pPr>
              <w:widowControl w:val="0"/>
              <w:spacing w:line="240" w:lineRule="auto"/>
              <w:rPr>
                <w:sz w:val="20"/>
                <w:szCs w:val="20"/>
              </w:rPr>
            </w:pPr>
            <w:r w:rsidDel="00000000" w:rsidR="00000000" w:rsidRPr="00000000">
              <w:rPr>
                <w:b w:val="1"/>
                <w:sz w:val="20"/>
                <w:szCs w:val="20"/>
                <w:rtl w:val="0"/>
              </w:rPr>
              <w:t xml:space="preserve">Functional group </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D">
            <w:pPr>
              <w:widowControl w:val="0"/>
              <w:spacing w:line="240" w:lineRule="auto"/>
              <w:rPr>
                <w:sz w:val="20"/>
                <w:szCs w:val="20"/>
                <w:vertAlign w:val="superscript"/>
              </w:rPr>
            </w:pPr>
            <w:r w:rsidDel="00000000" w:rsidR="00000000" w:rsidRPr="00000000">
              <w:rPr>
                <w:b w:val="1"/>
                <w:sz w:val="20"/>
                <w:szCs w:val="20"/>
                <w:rtl w:val="0"/>
              </w:rPr>
              <w:t xml:space="preserve">VME only km</w:t>
            </w:r>
            <w:r w:rsidDel="00000000" w:rsidR="00000000" w:rsidRPr="00000000">
              <w:rPr>
                <w:b w:val="1"/>
                <w:sz w:val="20"/>
                <w:szCs w:val="20"/>
                <w:vertAlign w:val="superscript"/>
                <w:rtl w:val="0"/>
              </w:rPr>
              <w:t xml:space="preserve">2 </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E">
            <w:pPr>
              <w:widowControl w:val="0"/>
              <w:spacing w:line="240" w:lineRule="auto"/>
              <w:rPr>
                <w:sz w:val="20"/>
                <w:szCs w:val="20"/>
                <w:vertAlign w:val="superscript"/>
              </w:rPr>
            </w:pPr>
            <w:r w:rsidDel="00000000" w:rsidR="00000000" w:rsidRPr="00000000">
              <w:rPr>
                <w:b w:val="1"/>
                <w:sz w:val="20"/>
                <w:szCs w:val="20"/>
                <w:rtl w:val="0"/>
              </w:rPr>
              <w:t xml:space="preserve">All known fauna km</w:t>
            </w:r>
            <w:r w:rsidDel="00000000" w:rsidR="00000000" w:rsidRPr="00000000">
              <w:rPr>
                <w:b w:val="1"/>
                <w:sz w:val="20"/>
                <w:szCs w:val="20"/>
                <w:vertAlign w:val="superscript"/>
                <w:rtl w:val="0"/>
              </w:rPr>
              <w:t xml:space="preserve">2</w:t>
            </w:r>
            <w:r w:rsidDel="00000000" w:rsidR="00000000" w:rsidRPr="00000000">
              <w:rPr>
                <w:rtl w:val="0"/>
              </w:rPr>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F">
            <w:pPr>
              <w:widowControl w:val="0"/>
              <w:spacing w:line="240" w:lineRule="auto"/>
              <w:rPr>
                <w:b w:val="1"/>
                <w:sz w:val="20"/>
                <w:szCs w:val="20"/>
              </w:rPr>
            </w:pPr>
            <w:r w:rsidDel="00000000" w:rsidR="00000000" w:rsidRPr="00000000">
              <w:rPr>
                <w:b w:val="1"/>
                <w:sz w:val="20"/>
                <w:szCs w:val="20"/>
                <w:rtl w:val="0"/>
              </w:rPr>
              <w:t xml:space="preserve">Pioneer sessile suspension feeders  </w:t>
            </w:r>
          </w:p>
        </w:tc>
        <w:tc>
          <w:tcPr>
            <w:tcBorders>
              <w:top w:color="000000"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0">
            <w:pPr>
              <w:widowControl w:val="0"/>
              <w:spacing w:line="276" w:lineRule="auto"/>
              <w:rPr>
                <w:sz w:val="20"/>
                <w:szCs w:val="20"/>
              </w:rPr>
            </w:pPr>
            <w:r w:rsidDel="00000000" w:rsidR="00000000" w:rsidRPr="00000000">
              <w:rPr>
                <w:sz w:val="20"/>
                <w:szCs w:val="20"/>
                <w:rtl w:val="0"/>
              </w:rPr>
              <w:t xml:space="preserve">77,561.4</w:t>
            </w:r>
          </w:p>
        </w:tc>
        <w:tc>
          <w:tcPr>
            <w:tcBorders>
              <w:top w:color="000000"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1">
            <w:pPr>
              <w:widowControl w:val="0"/>
              <w:spacing w:line="276" w:lineRule="auto"/>
              <w:rPr>
                <w:sz w:val="20"/>
                <w:szCs w:val="20"/>
              </w:rPr>
            </w:pPr>
            <w:r w:rsidDel="00000000" w:rsidR="00000000" w:rsidRPr="00000000">
              <w:rPr>
                <w:sz w:val="20"/>
                <w:szCs w:val="20"/>
                <w:rtl w:val="0"/>
              </w:rPr>
              <w:t xml:space="preserve">77,561.4</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2">
            <w:pPr>
              <w:widowControl w:val="0"/>
              <w:spacing w:line="240" w:lineRule="auto"/>
              <w:rPr>
                <w:b w:val="1"/>
                <w:sz w:val="20"/>
                <w:szCs w:val="20"/>
              </w:rPr>
            </w:pPr>
            <w:r w:rsidDel="00000000" w:rsidR="00000000" w:rsidRPr="00000000">
              <w:rPr>
                <w:b w:val="1"/>
                <w:sz w:val="20"/>
                <w:szCs w:val="20"/>
                <w:rtl w:val="0"/>
              </w:rPr>
              <w:t xml:space="preserve">Climax sessile suspension feeders</w:t>
            </w:r>
          </w:p>
          <w:p w:rsidR="00000000" w:rsidDel="00000000" w:rsidP="00000000" w:rsidRDefault="00000000" w:rsidRPr="00000000" w14:paraId="00000023">
            <w:pPr>
              <w:widowControl w:val="0"/>
              <w:spacing w:line="240" w:lineRule="auto"/>
              <w:rPr>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4">
            <w:pPr>
              <w:widowControl w:val="0"/>
              <w:spacing w:line="276" w:lineRule="auto"/>
              <w:rPr>
                <w:sz w:val="20"/>
                <w:szCs w:val="20"/>
              </w:rPr>
            </w:pPr>
            <w:r w:rsidDel="00000000" w:rsidR="00000000" w:rsidRPr="00000000">
              <w:rPr>
                <w:sz w:val="20"/>
                <w:szCs w:val="20"/>
                <w:rtl w:val="0"/>
              </w:rPr>
              <w:t xml:space="preserve">90,895.2</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5">
            <w:pPr>
              <w:widowControl w:val="0"/>
              <w:spacing w:line="276" w:lineRule="auto"/>
              <w:rPr>
                <w:sz w:val="20"/>
                <w:szCs w:val="20"/>
              </w:rPr>
            </w:pPr>
            <w:r w:rsidDel="00000000" w:rsidR="00000000" w:rsidRPr="00000000">
              <w:rPr>
                <w:sz w:val="20"/>
                <w:szCs w:val="20"/>
                <w:rtl w:val="0"/>
              </w:rPr>
              <w:t xml:space="preserve">90,895.2</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6">
            <w:pPr>
              <w:spacing w:line="240" w:lineRule="auto"/>
              <w:rPr>
                <w:b w:val="1"/>
                <w:sz w:val="20"/>
                <w:szCs w:val="20"/>
              </w:rPr>
            </w:pPr>
            <w:r w:rsidDel="00000000" w:rsidR="00000000" w:rsidRPr="00000000">
              <w:rPr>
                <w:b w:val="1"/>
                <w:sz w:val="20"/>
                <w:szCs w:val="20"/>
                <w:rtl w:val="0"/>
              </w:rPr>
              <w:t xml:space="preserve">Sedentary suspension feeders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7">
            <w:pPr>
              <w:widowControl w:val="0"/>
              <w:spacing w:line="276" w:lineRule="auto"/>
              <w:rPr>
                <w:sz w:val="20"/>
                <w:szCs w:val="20"/>
              </w:rPr>
            </w:pPr>
            <w:r w:rsidDel="00000000" w:rsidR="00000000" w:rsidRPr="00000000">
              <w:rPr>
                <w:sz w:val="20"/>
                <w:szCs w:val="20"/>
                <w:rtl w:val="0"/>
              </w:rPr>
              <w:t xml:space="preserve">44,571.2</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8">
            <w:pPr>
              <w:widowControl w:val="0"/>
              <w:spacing w:line="276" w:lineRule="auto"/>
              <w:rPr>
                <w:sz w:val="20"/>
                <w:szCs w:val="20"/>
              </w:rPr>
            </w:pPr>
            <w:r w:rsidDel="00000000" w:rsidR="00000000" w:rsidRPr="00000000">
              <w:rPr>
                <w:sz w:val="20"/>
                <w:szCs w:val="20"/>
                <w:rtl w:val="0"/>
              </w:rPr>
              <w:t xml:space="preserve">44,696.4</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9">
            <w:pPr>
              <w:spacing w:line="240" w:lineRule="auto"/>
              <w:rPr>
                <w:b w:val="1"/>
                <w:sz w:val="20"/>
                <w:szCs w:val="20"/>
              </w:rPr>
            </w:pPr>
            <w:r w:rsidDel="00000000" w:rsidR="00000000" w:rsidRPr="00000000">
              <w:rPr>
                <w:b w:val="1"/>
                <w:sz w:val="20"/>
                <w:szCs w:val="20"/>
                <w:rtl w:val="0"/>
              </w:rPr>
              <w:t xml:space="preserve">Mobile suspension feeders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A">
            <w:pPr>
              <w:widowControl w:val="0"/>
              <w:spacing w:line="276" w:lineRule="auto"/>
              <w:rPr>
                <w:sz w:val="20"/>
                <w:szCs w:val="20"/>
              </w:rPr>
            </w:pPr>
            <w:r w:rsidDel="00000000" w:rsidR="00000000" w:rsidRPr="00000000">
              <w:rPr>
                <w:sz w:val="20"/>
                <w:szCs w:val="20"/>
                <w:rtl w:val="0"/>
              </w:rPr>
              <w:t xml:space="preserve">NA</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B">
            <w:pPr>
              <w:widowControl w:val="0"/>
              <w:spacing w:line="276" w:lineRule="auto"/>
              <w:rPr>
                <w:sz w:val="20"/>
                <w:szCs w:val="20"/>
              </w:rPr>
            </w:pPr>
            <w:r w:rsidDel="00000000" w:rsidR="00000000" w:rsidRPr="00000000">
              <w:rPr>
                <w:sz w:val="20"/>
                <w:szCs w:val="20"/>
                <w:rtl w:val="0"/>
              </w:rPr>
              <w:t xml:space="preserve">15,337</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C">
            <w:pPr>
              <w:spacing w:line="240" w:lineRule="auto"/>
              <w:rPr>
                <w:b w:val="1"/>
                <w:sz w:val="20"/>
                <w:szCs w:val="20"/>
              </w:rPr>
            </w:pPr>
            <w:r w:rsidDel="00000000" w:rsidR="00000000" w:rsidRPr="00000000">
              <w:rPr>
                <w:b w:val="1"/>
                <w:sz w:val="20"/>
                <w:szCs w:val="20"/>
                <w:rtl w:val="0"/>
              </w:rPr>
              <w:t xml:space="preserve">Epifaunal deposit feeders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D">
            <w:pPr>
              <w:widowControl w:val="0"/>
              <w:spacing w:line="276" w:lineRule="auto"/>
              <w:rPr>
                <w:sz w:val="20"/>
                <w:szCs w:val="20"/>
              </w:rPr>
            </w:pPr>
            <w:r w:rsidDel="00000000" w:rsidR="00000000" w:rsidRPr="00000000">
              <w:rPr>
                <w:sz w:val="20"/>
                <w:szCs w:val="20"/>
                <w:rtl w:val="0"/>
              </w:rPr>
              <w:t xml:space="preserve">NA</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E">
            <w:pPr>
              <w:widowControl w:val="0"/>
              <w:spacing w:line="276" w:lineRule="auto"/>
              <w:rPr>
                <w:sz w:val="20"/>
                <w:szCs w:val="20"/>
              </w:rPr>
            </w:pPr>
            <w:r w:rsidDel="00000000" w:rsidR="00000000" w:rsidRPr="00000000">
              <w:rPr>
                <w:sz w:val="20"/>
                <w:szCs w:val="20"/>
                <w:rtl w:val="0"/>
              </w:rPr>
              <w:t xml:space="preserve">8,889.2</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F">
            <w:pPr>
              <w:spacing w:line="240" w:lineRule="auto"/>
              <w:rPr>
                <w:b w:val="1"/>
                <w:sz w:val="20"/>
                <w:szCs w:val="20"/>
              </w:rPr>
            </w:pPr>
            <w:r w:rsidDel="00000000" w:rsidR="00000000" w:rsidRPr="00000000">
              <w:rPr>
                <w:b w:val="1"/>
                <w:sz w:val="20"/>
                <w:szCs w:val="20"/>
                <w:rtl w:val="0"/>
              </w:rPr>
              <w:t xml:space="preserve">Infaunal soft bodied deposit feeders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0">
            <w:pPr>
              <w:widowControl w:val="0"/>
              <w:spacing w:line="276" w:lineRule="auto"/>
              <w:rPr>
                <w:sz w:val="20"/>
                <w:szCs w:val="20"/>
              </w:rPr>
            </w:pPr>
            <w:r w:rsidDel="00000000" w:rsidR="00000000" w:rsidRPr="00000000">
              <w:rPr>
                <w:sz w:val="20"/>
                <w:szCs w:val="20"/>
                <w:rtl w:val="0"/>
              </w:rPr>
              <w:t xml:space="preserve">NA</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1">
            <w:pPr>
              <w:widowControl w:val="0"/>
              <w:spacing w:line="276" w:lineRule="auto"/>
              <w:rPr>
                <w:sz w:val="20"/>
                <w:szCs w:val="20"/>
              </w:rPr>
            </w:pPr>
            <w:r w:rsidDel="00000000" w:rsidR="00000000" w:rsidRPr="00000000">
              <w:rPr>
                <w:sz w:val="20"/>
                <w:szCs w:val="20"/>
                <w:rtl w:val="0"/>
              </w:rPr>
              <w:t xml:space="preserve">10,266.4</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2">
            <w:pPr>
              <w:spacing w:line="240" w:lineRule="auto"/>
              <w:rPr>
                <w:b w:val="1"/>
                <w:sz w:val="20"/>
                <w:szCs w:val="20"/>
              </w:rPr>
            </w:pPr>
            <w:r w:rsidDel="00000000" w:rsidR="00000000" w:rsidRPr="00000000">
              <w:rPr>
                <w:b w:val="1"/>
                <w:sz w:val="20"/>
                <w:szCs w:val="20"/>
                <w:rtl w:val="0"/>
              </w:rPr>
              <w:t xml:space="preserve">Infaunal shelled deposit feeders</w:t>
            </w:r>
          </w:p>
          <w:p w:rsidR="00000000" w:rsidDel="00000000" w:rsidP="00000000" w:rsidRDefault="00000000" w:rsidRPr="00000000" w14:paraId="00000033">
            <w:pPr>
              <w:widowControl w:val="0"/>
              <w:spacing w:line="240" w:lineRule="auto"/>
              <w:rPr>
                <w:b w:val="1"/>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4">
            <w:pPr>
              <w:widowControl w:val="0"/>
              <w:spacing w:line="276" w:lineRule="auto"/>
              <w:rPr>
                <w:sz w:val="20"/>
                <w:szCs w:val="20"/>
              </w:rPr>
            </w:pPr>
            <w:r w:rsidDel="00000000" w:rsidR="00000000" w:rsidRPr="00000000">
              <w:rPr>
                <w:sz w:val="20"/>
                <w:szCs w:val="20"/>
                <w:rtl w:val="0"/>
              </w:rPr>
              <w:t xml:space="preserve">NA</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5">
            <w:pPr>
              <w:widowControl w:val="0"/>
              <w:spacing w:line="276" w:lineRule="auto"/>
              <w:rPr>
                <w:sz w:val="20"/>
                <w:szCs w:val="20"/>
              </w:rPr>
            </w:pPr>
            <w:r w:rsidDel="00000000" w:rsidR="00000000" w:rsidRPr="00000000">
              <w:rPr>
                <w:sz w:val="20"/>
                <w:szCs w:val="20"/>
                <w:rtl w:val="0"/>
              </w:rPr>
              <w:t xml:space="preserve">32,051.2</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6">
            <w:pPr>
              <w:spacing w:line="240" w:lineRule="auto"/>
              <w:rPr>
                <w:b w:val="1"/>
                <w:sz w:val="20"/>
                <w:szCs w:val="20"/>
              </w:rPr>
            </w:pPr>
            <w:r w:rsidDel="00000000" w:rsidR="00000000" w:rsidRPr="00000000">
              <w:rPr>
                <w:b w:val="1"/>
                <w:sz w:val="20"/>
                <w:szCs w:val="20"/>
                <w:rtl w:val="0"/>
              </w:rPr>
              <w:t xml:space="preserve">Grazers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7">
            <w:pPr>
              <w:widowControl w:val="0"/>
              <w:spacing w:line="276" w:lineRule="auto"/>
              <w:rPr>
                <w:sz w:val="20"/>
                <w:szCs w:val="20"/>
              </w:rPr>
            </w:pPr>
            <w:r w:rsidDel="00000000" w:rsidR="00000000" w:rsidRPr="00000000">
              <w:rPr>
                <w:sz w:val="20"/>
                <w:szCs w:val="20"/>
                <w:rtl w:val="0"/>
              </w:rPr>
              <w:t xml:space="preserve">42,568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8">
            <w:pPr>
              <w:widowControl w:val="0"/>
              <w:spacing w:line="276" w:lineRule="auto"/>
              <w:rPr>
                <w:sz w:val="20"/>
                <w:szCs w:val="20"/>
              </w:rPr>
            </w:pPr>
            <w:r w:rsidDel="00000000" w:rsidR="00000000" w:rsidRPr="00000000">
              <w:rPr>
                <w:sz w:val="20"/>
                <w:szCs w:val="20"/>
                <w:rtl w:val="0"/>
              </w:rPr>
              <w:t xml:space="preserve">68,734.8</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9">
            <w:pPr>
              <w:spacing w:line="240" w:lineRule="auto"/>
              <w:rPr>
                <w:b w:val="1"/>
                <w:sz w:val="20"/>
                <w:szCs w:val="20"/>
              </w:rPr>
            </w:pPr>
            <w:r w:rsidDel="00000000" w:rsidR="00000000" w:rsidRPr="00000000">
              <w:rPr>
                <w:b w:val="1"/>
                <w:sz w:val="20"/>
                <w:szCs w:val="20"/>
                <w:rtl w:val="0"/>
              </w:rPr>
              <w:t xml:space="preserve">Soft bodied, sessile scavenger/predators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A">
            <w:pPr>
              <w:widowControl w:val="0"/>
              <w:spacing w:line="276" w:lineRule="auto"/>
              <w:rPr>
                <w:sz w:val="20"/>
                <w:szCs w:val="20"/>
              </w:rPr>
            </w:pPr>
            <w:r w:rsidDel="00000000" w:rsidR="00000000" w:rsidRPr="00000000">
              <w:rPr>
                <w:sz w:val="20"/>
                <w:szCs w:val="20"/>
                <w:rtl w:val="0"/>
              </w:rPr>
              <w:t xml:space="preserve">60,784.6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B">
            <w:pPr>
              <w:widowControl w:val="0"/>
              <w:spacing w:line="276" w:lineRule="auto"/>
              <w:rPr>
                <w:sz w:val="20"/>
                <w:szCs w:val="20"/>
              </w:rPr>
            </w:pPr>
            <w:r w:rsidDel="00000000" w:rsidR="00000000" w:rsidRPr="00000000">
              <w:rPr>
                <w:sz w:val="20"/>
                <w:szCs w:val="20"/>
                <w:rtl w:val="0"/>
              </w:rPr>
              <w:t xml:space="preserve">60,847.2</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C">
            <w:pPr>
              <w:spacing w:line="240" w:lineRule="auto"/>
              <w:rPr>
                <w:b w:val="1"/>
                <w:sz w:val="20"/>
                <w:szCs w:val="20"/>
              </w:rPr>
            </w:pPr>
            <w:r w:rsidDel="00000000" w:rsidR="00000000" w:rsidRPr="00000000">
              <w:rPr>
                <w:b w:val="1"/>
                <w:sz w:val="20"/>
                <w:szCs w:val="20"/>
                <w:rtl w:val="0"/>
              </w:rPr>
              <w:t xml:space="preserve">Hard bodied, sessile scavenger/predators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D">
            <w:pPr>
              <w:widowControl w:val="0"/>
              <w:spacing w:line="276" w:lineRule="auto"/>
              <w:rPr>
                <w:sz w:val="20"/>
                <w:szCs w:val="20"/>
              </w:rPr>
            </w:pPr>
            <w:r w:rsidDel="00000000" w:rsidR="00000000" w:rsidRPr="00000000">
              <w:rPr>
                <w:sz w:val="20"/>
                <w:szCs w:val="20"/>
                <w:rtl w:val="0"/>
              </w:rPr>
              <w:t xml:space="preserve">26,354.6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E">
            <w:pPr>
              <w:widowControl w:val="0"/>
              <w:spacing w:line="276" w:lineRule="auto"/>
              <w:rPr>
                <w:sz w:val="20"/>
                <w:szCs w:val="20"/>
              </w:rPr>
            </w:pPr>
            <w:r w:rsidDel="00000000" w:rsidR="00000000" w:rsidRPr="00000000">
              <w:rPr>
                <w:sz w:val="20"/>
                <w:szCs w:val="20"/>
                <w:rtl w:val="0"/>
              </w:rPr>
              <w:t xml:space="preserve">26,354.6</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F">
            <w:pPr>
              <w:spacing w:line="240" w:lineRule="auto"/>
              <w:rPr>
                <w:b w:val="1"/>
                <w:sz w:val="20"/>
                <w:szCs w:val="20"/>
              </w:rPr>
            </w:pPr>
            <w:r w:rsidDel="00000000" w:rsidR="00000000" w:rsidRPr="00000000">
              <w:rPr>
                <w:b w:val="1"/>
                <w:sz w:val="20"/>
                <w:szCs w:val="20"/>
                <w:rtl w:val="0"/>
              </w:rPr>
              <w:t xml:space="preserve">Soft bodied, mobile scavenger/predators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0">
            <w:pPr>
              <w:widowControl w:val="0"/>
              <w:spacing w:line="276" w:lineRule="auto"/>
              <w:rPr>
                <w:sz w:val="20"/>
                <w:szCs w:val="20"/>
              </w:rPr>
            </w:pPr>
            <w:r w:rsidDel="00000000" w:rsidR="00000000" w:rsidRPr="00000000">
              <w:rPr>
                <w:sz w:val="20"/>
                <w:szCs w:val="20"/>
                <w:rtl w:val="0"/>
              </w:rPr>
              <w:t xml:space="preserve">NA</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1">
            <w:pPr>
              <w:widowControl w:val="0"/>
              <w:spacing w:line="276" w:lineRule="auto"/>
              <w:rPr>
                <w:sz w:val="20"/>
                <w:szCs w:val="20"/>
              </w:rPr>
            </w:pPr>
            <w:r w:rsidDel="00000000" w:rsidR="00000000" w:rsidRPr="00000000">
              <w:rPr>
                <w:sz w:val="20"/>
                <w:szCs w:val="20"/>
                <w:rtl w:val="0"/>
              </w:rPr>
              <w:t xml:space="preserve">18,341.8</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2">
            <w:pPr>
              <w:spacing w:line="240" w:lineRule="auto"/>
              <w:rPr>
                <w:b w:val="1"/>
                <w:sz w:val="20"/>
                <w:szCs w:val="20"/>
              </w:rPr>
            </w:pPr>
            <w:r w:rsidDel="00000000" w:rsidR="00000000" w:rsidRPr="00000000">
              <w:rPr>
                <w:b w:val="1"/>
                <w:sz w:val="20"/>
                <w:szCs w:val="20"/>
                <w:rtl w:val="0"/>
              </w:rPr>
              <w:t xml:space="preserve">Hard bodied, mobile scavenger/predators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3">
            <w:pPr>
              <w:widowControl w:val="0"/>
              <w:spacing w:line="276" w:lineRule="auto"/>
              <w:rPr>
                <w:sz w:val="20"/>
                <w:szCs w:val="20"/>
              </w:rPr>
            </w:pPr>
            <w:r w:rsidDel="00000000" w:rsidR="00000000" w:rsidRPr="00000000">
              <w:rPr>
                <w:sz w:val="20"/>
                <w:szCs w:val="20"/>
                <w:rtl w:val="0"/>
              </w:rPr>
              <w:t xml:space="preserve">NA</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4">
            <w:pPr>
              <w:widowControl w:val="0"/>
              <w:spacing w:line="276" w:lineRule="auto"/>
              <w:rPr>
                <w:sz w:val="20"/>
                <w:szCs w:val="20"/>
              </w:rPr>
            </w:pPr>
            <w:r w:rsidDel="00000000" w:rsidR="00000000" w:rsidRPr="00000000">
              <w:rPr>
                <w:sz w:val="20"/>
                <w:szCs w:val="20"/>
                <w:rtl w:val="0"/>
              </w:rPr>
              <w:t xml:space="preserve">67,482.8</w:t>
            </w:r>
          </w:p>
        </w:tc>
      </w:tr>
      <w:tr>
        <w:trPr>
          <w:cantSplit w:val="0"/>
          <w:trHeight w:val="300" w:hRule="atLeast"/>
          <w:tblHeader w:val="0"/>
        </w:trPr>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5">
            <w:pPr>
              <w:spacing w:line="240" w:lineRule="auto"/>
              <w:rPr>
                <w:b w:val="1"/>
                <w:sz w:val="20"/>
                <w:szCs w:val="20"/>
              </w:rPr>
            </w:pPr>
            <w:r w:rsidDel="00000000" w:rsidR="00000000" w:rsidRPr="00000000">
              <w:rPr>
                <w:b w:val="1"/>
                <w:sz w:val="20"/>
                <w:szCs w:val="20"/>
                <w:rtl w:val="0"/>
              </w:rPr>
              <w:t xml:space="preserve">Jointed legged, mobile scavenger/predators</w:t>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6">
            <w:pPr>
              <w:widowControl w:val="0"/>
              <w:spacing w:line="276" w:lineRule="auto"/>
              <w:rPr>
                <w:sz w:val="20"/>
                <w:szCs w:val="20"/>
              </w:rPr>
            </w:pPr>
            <w:r w:rsidDel="00000000" w:rsidR="00000000" w:rsidRPr="00000000">
              <w:rPr>
                <w:sz w:val="20"/>
                <w:szCs w:val="20"/>
                <w:rtl w:val="0"/>
              </w:rPr>
              <w:t xml:space="preserve">NA</w:t>
            </w:r>
          </w:p>
        </w:tc>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7">
            <w:pPr>
              <w:widowControl w:val="0"/>
              <w:spacing w:line="276" w:lineRule="auto"/>
              <w:rPr>
                <w:sz w:val="20"/>
                <w:szCs w:val="20"/>
              </w:rPr>
            </w:pPr>
            <w:r w:rsidDel="00000000" w:rsidR="00000000" w:rsidRPr="00000000">
              <w:rPr>
                <w:sz w:val="20"/>
                <w:szCs w:val="20"/>
                <w:rtl w:val="0"/>
              </w:rPr>
              <w:t xml:space="preserve">53,335.2</w:t>
            </w:r>
          </w:p>
        </w:tc>
      </w:tr>
      <w:tr>
        <w:trPr>
          <w:cantSplit w:val="0"/>
          <w:trHeight w:val="300" w:hRule="atLeast"/>
          <w:tblHeader w:val="0"/>
        </w:trPr>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8">
            <w:pPr>
              <w:widowControl w:val="0"/>
              <w:spacing w:line="240" w:lineRule="auto"/>
              <w:rPr>
                <w:b w:val="1"/>
                <w:sz w:val="20"/>
                <w:szCs w:val="20"/>
              </w:rPr>
            </w:pPr>
            <w:r w:rsidDel="00000000" w:rsidR="00000000" w:rsidRPr="00000000">
              <w:rPr>
                <w:b w:val="1"/>
                <w:sz w:val="20"/>
                <w:szCs w:val="20"/>
                <w:rtl w:val="0"/>
              </w:rPr>
              <w:t xml:space="preserve">All taxa from FCZs</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9">
            <w:pPr>
              <w:widowControl w:val="0"/>
              <w:spacing w:line="240" w:lineRule="auto"/>
              <w:rPr>
                <w:b w:val="1"/>
                <w:sz w:val="20"/>
                <w:szCs w:val="20"/>
              </w:rPr>
            </w:pPr>
            <w:r w:rsidDel="00000000" w:rsidR="00000000" w:rsidRPr="00000000">
              <w:rPr>
                <w:b w:val="1"/>
                <w:sz w:val="20"/>
                <w:szCs w:val="20"/>
                <w:rtl w:val="0"/>
              </w:rPr>
              <w:t xml:space="preserve">174,216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A">
            <w:pPr>
              <w:widowControl w:val="0"/>
              <w:spacing w:line="240" w:lineRule="auto"/>
              <w:rPr>
                <w:b w:val="1"/>
                <w:sz w:val="20"/>
                <w:szCs w:val="20"/>
              </w:rPr>
            </w:pPr>
            <w:r w:rsidDel="00000000" w:rsidR="00000000" w:rsidRPr="00000000">
              <w:rPr>
                <w:b w:val="1"/>
                <w:sz w:val="20"/>
                <w:szCs w:val="20"/>
                <w:rtl w:val="0"/>
              </w:rPr>
              <w:t xml:space="preserve">174,654</w:t>
            </w:r>
          </w:p>
        </w:tc>
      </w:tr>
    </w:tbl>
    <w:p w:rsidR="00000000" w:rsidDel="00000000" w:rsidP="00000000" w:rsidRDefault="00000000" w:rsidRPr="00000000" w14:paraId="0000004B">
      <w:pPr>
        <w:spacing w:line="360" w:lineRule="auto"/>
        <w:rPr>
          <w:sz w:val="20"/>
          <w:szCs w:val="20"/>
        </w:rPr>
      </w:pPr>
      <w:r w:rsidDel="00000000" w:rsidR="00000000" w:rsidRPr="00000000">
        <w:rPr>
          <w:rtl w:val="0"/>
        </w:rPr>
      </w:r>
    </w:p>
    <w:p w:rsidR="00000000" w:rsidDel="00000000" w:rsidP="00000000" w:rsidRDefault="00000000" w:rsidRPr="00000000" w14:paraId="0000004C">
      <w:pPr>
        <w:spacing w:after="240" w:before="240" w:lineRule="auto"/>
        <w:rPr/>
      </w:pPr>
      <w:bookmarkStart w:colFirst="0" w:colLast="0" w:name="_6zo1rf1izv4i" w:id="4"/>
      <w:bookmarkEnd w:id="4"/>
      <w:r w:rsidDel="00000000" w:rsidR="00000000" w:rsidRPr="00000000">
        <w:rPr>
          <w:rtl w:val="0"/>
        </w:rPr>
        <w:t xml:space="preserve">Where depth data was available, we estimated the areal coverage of the Falkland Islands mesophotic zone (Table 3.). Fisheries GIS layers were used to assess the amount of area predicted as either restricted or closed to fishing for periods of time in the FCZs (Table 3.). Fisheries data are based on multiple fished species and areas (see Falkland Island Fisheries reports: https://www.falklands.gov.fk/fisheries/). Consequently, the area estimated herein requires further clarification across species, temporal and spatial scales for context. </w:t>
      </w:r>
    </w:p>
    <w:p w:rsidR="00000000" w:rsidDel="00000000" w:rsidP="00000000" w:rsidRDefault="00000000" w:rsidRPr="00000000" w14:paraId="0000004D">
      <w:pPr>
        <w:spacing w:line="360" w:lineRule="auto"/>
        <w:rPr/>
      </w:pPr>
      <w:r w:rsidDel="00000000" w:rsidR="00000000" w:rsidRPr="00000000">
        <w:rPr>
          <w:b w:val="1"/>
          <w:rtl w:val="0"/>
        </w:rPr>
        <w:t xml:space="preserve">Table 3. </w:t>
      </w:r>
      <w:r w:rsidDel="00000000" w:rsidR="00000000" w:rsidRPr="00000000">
        <w:rPr>
          <w:rtl w:val="0"/>
        </w:rPr>
        <w:t xml:space="preserve">Predicted areal extent of mesophotic habitat and the area closed or restricted to fishing for periods of time within the FCZs calculated in GIS in UTM21S geographic projection.  </w:t>
      </w:r>
    </w:p>
    <w:p w:rsidR="00000000" w:rsidDel="00000000" w:rsidP="00000000" w:rsidRDefault="00000000" w:rsidRPr="00000000" w14:paraId="0000004E">
      <w:pPr>
        <w:spacing w:line="360" w:lineRule="auto"/>
        <w:rPr/>
      </w:pPr>
      <w:r w:rsidDel="00000000" w:rsidR="00000000" w:rsidRPr="00000000">
        <w:rPr>
          <w:rtl w:val="0"/>
        </w:rPr>
      </w:r>
    </w:p>
    <w:tbl>
      <w:tblPr>
        <w:tblStyle w:val="Table3"/>
        <w:tblW w:w="10465.511811023624"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71.850868039086"/>
        <w:gridCol w:w="1471.055877051513"/>
        <w:gridCol w:w="1344.9653733042408"/>
        <w:gridCol w:w="3677.6396926287825"/>
        <w:tblGridChange w:id="0">
          <w:tblGrid>
            <w:gridCol w:w="3971.850868039086"/>
            <w:gridCol w:w="1471.055877051513"/>
            <w:gridCol w:w="1344.9653733042408"/>
            <w:gridCol w:w="3677.6396926287825"/>
          </w:tblGrid>
        </w:tblGridChange>
      </w:tblGrid>
      <w:tr>
        <w:trPr>
          <w:cantSplit w:val="0"/>
          <w:trHeight w:val="540"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4F">
            <w:pPr>
              <w:widowControl w:val="0"/>
              <w:spacing w:line="276" w:lineRule="auto"/>
              <w:jc w:val="center"/>
              <w:rPr>
                <w:sz w:val="22"/>
                <w:szCs w:val="22"/>
              </w:rPr>
            </w:pPr>
            <w:r w:rsidDel="00000000" w:rsidR="00000000" w:rsidRPr="00000000">
              <w:rPr>
                <w:b w:val="1"/>
                <w:sz w:val="22"/>
                <w:szCs w:val="22"/>
                <w:rtl w:val="0"/>
              </w:rPr>
              <w:t xml:space="preserve">Blue carbon type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50">
            <w:pPr>
              <w:widowControl w:val="0"/>
              <w:spacing w:line="276" w:lineRule="auto"/>
              <w:jc w:val="center"/>
              <w:rPr>
                <w:sz w:val="22"/>
                <w:szCs w:val="22"/>
                <w:vertAlign w:val="superscript"/>
              </w:rPr>
            </w:pPr>
            <w:r w:rsidDel="00000000" w:rsidR="00000000" w:rsidRPr="00000000">
              <w:rPr>
                <w:b w:val="1"/>
                <w:sz w:val="22"/>
                <w:szCs w:val="22"/>
                <w:rtl w:val="0"/>
              </w:rPr>
              <w:t xml:space="preserve">Areal extent km</w:t>
            </w:r>
            <w:r w:rsidDel="00000000" w:rsidR="00000000" w:rsidRPr="00000000">
              <w:rPr>
                <w:b w:val="1"/>
                <w:sz w:val="22"/>
                <w:szCs w:val="22"/>
                <w:vertAlign w:val="superscript"/>
                <w:rtl w:val="0"/>
              </w:rPr>
              <w:t xml:space="preserve">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51">
            <w:pPr>
              <w:widowControl w:val="0"/>
              <w:spacing w:line="276" w:lineRule="auto"/>
              <w:jc w:val="center"/>
              <w:rPr>
                <w:sz w:val="22"/>
                <w:szCs w:val="22"/>
              </w:rPr>
            </w:pPr>
            <w:r w:rsidDel="00000000" w:rsidR="00000000" w:rsidRPr="00000000">
              <w:rPr>
                <w:b w:val="1"/>
                <w:sz w:val="22"/>
                <w:szCs w:val="22"/>
                <w:rtl w:val="0"/>
              </w:rPr>
              <w:t xml:space="preserve">% of FCZs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52">
            <w:pPr>
              <w:widowControl w:val="0"/>
              <w:spacing w:line="276" w:lineRule="auto"/>
              <w:jc w:val="center"/>
              <w:rPr>
                <w:sz w:val="22"/>
                <w:szCs w:val="22"/>
              </w:rPr>
            </w:pPr>
            <w:r w:rsidDel="00000000" w:rsidR="00000000" w:rsidRPr="00000000">
              <w:rPr>
                <w:b w:val="1"/>
                <w:sz w:val="22"/>
                <w:szCs w:val="22"/>
                <w:rtl w:val="0"/>
              </w:rPr>
              <w:t xml:space="preserve">Reference</w:t>
            </w: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top"/>
          </w:tcPr>
          <w:p w:rsidR="00000000" w:rsidDel="00000000" w:rsidP="00000000" w:rsidRDefault="00000000" w:rsidRPr="00000000" w14:paraId="00000053">
            <w:pPr>
              <w:widowControl w:val="0"/>
              <w:spacing w:line="276" w:lineRule="auto"/>
              <w:rPr>
                <w:sz w:val="22"/>
                <w:szCs w:val="22"/>
              </w:rPr>
            </w:pPr>
            <w:r w:rsidDel="00000000" w:rsidR="00000000" w:rsidRPr="00000000">
              <w:rPr>
                <w:sz w:val="22"/>
                <w:szCs w:val="22"/>
                <w:rtl w:val="0"/>
              </w:rPr>
              <w:t xml:space="preserve">Area currently closed to Fisheries in the FICZ; and area in which fishing is either temporarily closed or restricted </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54">
            <w:pPr>
              <w:widowControl w:val="0"/>
              <w:spacing w:line="276" w:lineRule="auto"/>
              <w:rPr>
                <w:sz w:val="22"/>
                <w:szCs w:val="22"/>
              </w:rPr>
            </w:pPr>
            <w:r w:rsidDel="00000000" w:rsidR="00000000" w:rsidRPr="00000000">
              <w:rPr>
                <w:sz w:val="22"/>
                <w:szCs w:val="22"/>
                <w:rtl w:val="0"/>
              </w:rPr>
              <w:t xml:space="preserve">c. 248,000</w:t>
            </w:r>
          </w:p>
          <w:p w:rsidR="00000000" w:rsidDel="00000000" w:rsidP="00000000" w:rsidRDefault="00000000" w:rsidRPr="00000000" w14:paraId="00000055">
            <w:pPr>
              <w:widowControl w:val="0"/>
              <w:spacing w:line="276" w:lineRule="auto"/>
              <w:rPr>
                <w:sz w:val="22"/>
                <w:szCs w:val="22"/>
              </w:rPr>
            </w:pPr>
            <w:r w:rsidDel="00000000" w:rsidR="00000000" w:rsidRPr="00000000">
              <w:rPr>
                <w:sz w:val="22"/>
                <w:szCs w:val="22"/>
                <w:rtl w:val="0"/>
              </w:rPr>
              <w:t xml:space="preserve">c. 19,000</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56">
            <w:pPr>
              <w:widowControl w:val="0"/>
              <w:spacing w:line="276" w:lineRule="auto"/>
              <w:rPr>
                <w:sz w:val="22"/>
                <w:szCs w:val="22"/>
              </w:rPr>
            </w:pPr>
            <w:r w:rsidDel="00000000" w:rsidR="00000000" w:rsidRPr="00000000">
              <w:rPr>
                <w:sz w:val="22"/>
                <w:szCs w:val="22"/>
                <w:rtl w:val="0"/>
              </w:rPr>
              <w:t xml:space="preserve">c. 55%</w:t>
            </w:r>
          </w:p>
          <w:p w:rsidR="00000000" w:rsidDel="00000000" w:rsidP="00000000" w:rsidRDefault="00000000" w:rsidRPr="00000000" w14:paraId="00000057">
            <w:pPr>
              <w:widowControl w:val="0"/>
              <w:spacing w:line="276" w:lineRule="auto"/>
              <w:rPr>
                <w:sz w:val="22"/>
                <w:szCs w:val="22"/>
              </w:rPr>
            </w:pPr>
            <w:r w:rsidDel="00000000" w:rsidR="00000000" w:rsidRPr="00000000">
              <w:rPr>
                <w:sz w:val="22"/>
                <w:szCs w:val="22"/>
                <w:rtl w:val="0"/>
              </w:rPr>
              <w:t xml:space="preserve">C. 4%</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58">
            <w:pPr>
              <w:widowControl w:val="0"/>
              <w:spacing w:line="276" w:lineRule="auto"/>
              <w:rPr>
                <w:sz w:val="22"/>
                <w:szCs w:val="22"/>
              </w:rPr>
            </w:pPr>
            <w:r w:rsidDel="00000000" w:rsidR="00000000" w:rsidRPr="00000000">
              <w:rPr>
                <w:sz w:val="22"/>
                <w:szCs w:val="22"/>
                <w:rtl w:val="0"/>
              </w:rPr>
              <w:t xml:space="preserve">Falkland Islands Fisheries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59">
            <w:pPr>
              <w:widowControl w:val="0"/>
              <w:spacing w:line="276" w:lineRule="auto"/>
              <w:rPr>
                <w:sz w:val="22"/>
                <w:szCs w:val="22"/>
              </w:rPr>
            </w:pPr>
            <w:r w:rsidDel="00000000" w:rsidR="00000000" w:rsidRPr="00000000">
              <w:rPr>
                <w:sz w:val="22"/>
                <w:szCs w:val="22"/>
                <w:rtl w:val="0"/>
              </w:rPr>
              <w:t xml:space="preserve">Estimated mesophotic habitat </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5A">
            <w:pPr>
              <w:widowControl w:val="0"/>
              <w:spacing w:line="276" w:lineRule="auto"/>
              <w:rPr>
                <w:sz w:val="22"/>
                <w:szCs w:val="22"/>
              </w:rPr>
            </w:pPr>
            <w:r w:rsidDel="00000000" w:rsidR="00000000" w:rsidRPr="00000000">
              <w:rPr>
                <w:sz w:val="22"/>
                <w:szCs w:val="22"/>
                <w:rtl w:val="0"/>
              </w:rPr>
              <w:t xml:space="preserve">c. 50,000</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5B">
            <w:pPr>
              <w:widowControl w:val="0"/>
              <w:spacing w:line="276" w:lineRule="auto"/>
              <w:rPr>
                <w:sz w:val="22"/>
                <w:szCs w:val="22"/>
              </w:rPr>
            </w:pPr>
            <w:r w:rsidDel="00000000" w:rsidR="00000000" w:rsidRPr="00000000">
              <w:rPr>
                <w:sz w:val="22"/>
                <w:szCs w:val="22"/>
                <w:rtl w:val="0"/>
              </w:rPr>
              <w:t xml:space="preserve">c. 11.00</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top"/>
          </w:tcPr>
          <w:p w:rsidR="00000000" w:rsidDel="00000000" w:rsidP="00000000" w:rsidRDefault="00000000" w:rsidRPr="00000000" w14:paraId="0000005C">
            <w:pPr>
              <w:widowControl w:val="0"/>
              <w:spacing w:line="276" w:lineRule="auto"/>
              <w:rPr>
                <w:sz w:val="22"/>
                <w:szCs w:val="22"/>
              </w:rPr>
            </w:pPr>
            <w:r w:rsidDel="00000000" w:rsidR="00000000" w:rsidRPr="00000000">
              <w:rPr>
                <w:sz w:val="22"/>
                <w:szCs w:val="22"/>
                <w:rtl w:val="0"/>
              </w:rPr>
              <w:t xml:space="preserve">OBIS, Brewin et al., 2020, SAERI unpublished </w:t>
            </w:r>
            <w:r w:rsidDel="00000000" w:rsidR="00000000" w:rsidRPr="00000000">
              <w:rPr>
                <w:sz w:val="22"/>
                <w:szCs w:val="22"/>
                <w:rtl w:val="0"/>
              </w:rPr>
              <w:t xml:space="preserve">data</w:t>
            </w:r>
            <w:r w:rsidDel="00000000" w:rsidR="00000000" w:rsidRPr="00000000">
              <w:rPr>
                <w:rtl w:val="0"/>
              </w:rPr>
            </w:r>
          </w:p>
        </w:tc>
      </w:tr>
    </w:tbl>
    <w:p w:rsidR="00000000" w:rsidDel="00000000" w:rsidP="00000000" w:rsidRDefault="00000000" w:rsidRPr="00000000" w14:paraId="0000005D">
      <w:pPr>
        <w:spacing w:line="360" w:lineRule="auto"/>
        <w:rPr/>
      </w:pPr>
      <w:r w:rsidDel="00000000" w:rsidR="00000000" w:rsidRPr="00000000">
        <w:rPr>
          <w:rtl w:val="0"/>
        </w:rPr>
      </w:r>
    </w:p>
    <w:p w:rsidR="00000000" w:rsidDel="00000000" w:rsidP="00000000" w:rsidRDefault="00000000" w:rsidRPr="00000000" w14:paraId="0000005E">
      <w:pPr>
        <w:spacing w:line="360" w:lineRule="auto"/>
        <w:rPr>
          <w:b w:val="1"/>
        </w:rPr>
      </w:pPr>
      <w:r w:rsidDel="00000000" w:rsidR="00000000" w:rsidRPr="00000000">
        <w:rPr>
          <w:b w:val="1"/>
          <w:rtl w:val="0"/>
        </w:rPr>
        <w:t xml:space="preserve">References:</w:t>
      </w:r>
    </w:p>
    <w:p w:rsidR="00000000" w:rsidDel="00000000" w:rsidP="00000000" w:rsidRDefault="00000000" w:rsidRPr="00000000" w14:paraId="0000005F">
      <w:pPr>
        <w:spacing w:after="240" w:before="240" w:line="276" w:lineRule="auto"/>
        <w:jc w:val="both"/>
        <w:rPr/>
      </w:pPr>
      <w:r w:rsidDel="00000000" w:rsidR="00000000" w:rsidRPr="00000000">
        <w:rPr>
          <w:rtl w:val="0"/>
        </w:rPr>
        <w:t xml:space="preserve">Atwood, T.B., Witt, A., Mayorga, J., Hammill, E., and Sala, E. (2020). Global Patterns in Marine Sediment Carbon Stocks. Front. Mar. Sci. 7, 165. doi:10.3389/fmars.2020.00165.</w:t>
      </w:r>
    </w:p>
    <w:p w:rsidR="00000000" w:rsidDel="00000000" w:rsidP="00000000" w:rsidRDefault="00000000" w:rsidRPr="00000000" w14:paraId="00000060">
      <w:pPr>
        <w:spacing w:after="240" w:before="240" w:line="276" w:lineRule="auto"/>
        <w:jc w:val="both"/>
        <w:rPr/>
      </w:pPr>
      <w:r w:rsidDel="00000000" w:rsidR="00000000" w:rsidRPr="00000000">
        <w:rPr>
          <w:rtl w:val="0"/>
        </w:rPr>
        <w:t xml:space="preserve">Brewin, P.E., Farrugia, T.J., Jenkins, C., and Brickle, P. (2020). Straddling the line: high potential impact on vulnerable marine ecosystems by bottom-set longline fishing in unregulated areas beyond national jurisdiction. ICES J. Mar. Sci. 78(6), 2132-2145. doi:10.1093/icesjms/fsaa106.</w:t>
      </w:r>
    </w:p>
    <w:p w:rsidR="00000000" w:rsidDel="00000000" w:rsidP="00000000" w:rsidRDefault="00000000" w:rsidRPr="00000000" w14:paraId="00000061">
      <w:pPr>
        <w:spacing w:after="240" w:before="240" w:line="276" w:lineRule="auto"/>
        <w:jc w:val="both"/>
        <w:rPr/>
      </w:pPr>
      <w:r w:rsidDel="00000000" w:rsidR="00000000" w:rsidRPr="00000000">
        <w:rPr>
          <w:rtl w:val="0"/>
        </w:rPr>
        <w:t xml:space="preserve">CCAMLR (2009) VME Taxa Classification Guide. Australia: Commission for the Conservation of Antarctic Marine Living Resources.</w:t>
      </w:r>
    </w:p>
    <w:p w:rsidR="00000000" w:rsidDel="00000000" w:rsidP="00000000" w:rsidRDefault="00000000" w:rsidRPr="00000000" w14:paraId="00000062">
      <w:pPr>
        <w:spacing w:after="240" w:before="240" w:line="276" w:lineRule="auto"/>
        <w:jc w:val="both"/>
        <w:rPr/>
      </w:pPr>
      <w:r w:rsidDel="00000000" w:rsidR="00000000" w:rsidRPr="00000000">
        <w:rPr>
          <w:rtl w:val="0"/>
        </w:rPr>
        <w:t xml:space="preserve">Guisan, A. and Thuiller, W., (2005). Predicting species distribution: offering more than simple habitat models. Ecology letters, 8(9), pp.993-1009.</w:t>
      </w:r>
    </w:p>
    <w:p w:rsidR="00000000" w:rsidDel="00000000" w:rsidP="00000000" w:rsidRDefault="00000000" w:rsidRPr="00000000" w14:paraId="00000063">
      <w:pPr>
        <w:spacing w:after="240" w:before="240" w:line="276" w:lineRule="auto"/>
        <w:jc w:val="both"/>
        <w:rPr/>
      </w:pPr>
      <w:r w:rsidDel="00000000" w:rsidR="00000000" w:rsidRPr="00000000">
        <w:rPr>
          <w:rtl w:val="0"/>
        </w:rPr>
        <w:t xml:space="preserve">FAO. (2008). International Guidelines for the Management of Deep-Sea Fisheries in the High-Seas. Food and Agriculture Organization of the United Nations. Adopted in Rome, Italy on 29 August 2008.</w:t>
      </w:r>
    </w:p>
    <w:p w:rsidR="00000000" w:rsidDel="00000000" w:rsidP="00000000" w:rsidRDefault="00000000" w:rsidRPr="00000000" w14:paraId="00000064">
      <w:pPr>
        <w:spacing w:after="240" w:before="240" w:line="276" w:lineRule="auto"/>
        <w:jc w:val="both"/>
        <w:rPr/>
      </w:pPr>
      <w:r w:rsidDel="00000000" w:rsidR="00000000" w:rsidRPr="00000000">
        <w:rPr>
          <w:rtl w:val="0"/>
        </w:rPr>
        <w:t xml:space="preserve">FAO. (2016). Vulnerable Marine Ecosystems: Processes and Practices in the High Seas. Ed. by A. Thompson, J. Sanders, M. Tandstad, F. Carocci and J. Fuller. FAO Fisheries and Aquaculture Technical Paper 595. Rome, Italy.</w:t>
      </w:r>
    </w:p>
    <w:p w:rsidR="00000000" w:rsidDel="00000000" w:rsidP="00000000" w:rsidRDefault="00000000" w:rsidRPr="00000000" w14:paraId="00000065">
      <w:pPr>
        <w:spacing w:after="240" w:before="240" w:line="276" w:lineRule="auto"/>
        <w:jc w:val="both"/>
        <w:rPr/>
      </w:pPr>
      <w:r w:rsidDel="00000000" w:rsidR="00000000" w:rsidRPr="00000000">
        <w:rPr>
          <w:rtl w:val="0"/>
        </w:rPr>
        <w:t xml:space="preserve">Hogg, O.T., Huvenne, V.A., Griffiths, H.J., Dorschel, B. and Linse, K., (2016). Landscape mapping at sub-Antarctic South Georgia provides a protocol for underpinning large-scale marine protected areas. Scientific reports, 6(1), pp.1-15.</w:t>
      </w:r>
    </w:p>
    <w:p w:rsidR="00000000" w:rsidDel="00000000" w:rsidP="00000000" w:rsidRDefault="00000000" w:rsidRPr="00000000" w14:paraId="00000066">
      <w:pPr>
        <w:spacing w:after="240" w:before="240" w:line="276" w:lineRule="auto"/>
        <w:jc w:val="both"/>
        <w:rPr/>
      </w:pPr>
      <w:r w:rsidDel="00000000" w:rsidR="00000000" w:rsidRPr="00000000">
        <w:rPr>
          <w:rtl w:val="0"/>
        </w:rPr>
        <w:t xml:space="preserve">Ismail, K., Huvenne, V.A. and Masson, D.G., (2015). Objective automated classification technique for marine landscape mapping in submarine canyons. Marine Geology, 362, pp.17-32.</w:t>
      </w:r>
    </w:p>
    <w:p w:rsidR="00000000" w:rsidDel="00000000" w:rsidP="00000000" w:rsidRDefault="00000000" w:rsidRPr="00000000" w14:paraId="00000067">
      <w:pPr>
        <w:spacing w:line="360" w:lineRule="auto"/>
        <w:rPr/>
      </w:pPr>
      <w:r w:rsidDel="00000000" w:rsidR="00000000" w:rsidRPr="00000000">
        <w:rPr>
          <w:rtl w:val="0"/>
        </w:rPr>
        <w:t xml:space="preserve">Lee, T.R., Wood, W.T., and Phrampus, B.J. (2019). A machine learning (kNN) approach to predicting global seafloor total organic carbon. Glob. Biogechem. Cycles 33, 37-46. doi:10.1029/2018GB005992.</w:t>
      </w:r>
    </w:p>
    <w:p w:rsidR="00000000" w:rsidDel="00000000" w:rsidP="00000000" w:rsidRDefault="00000000" w:rsidRPr="00000000" w14:paraId="00000068">
      <w:pPr>
        <w:spacing w:line="360" w:lineRule="auto"/>
        <w:rPr/>
      </w:pPr>
      <w:r w:rsidDel="00000000" w:rsidR="00000000" w:rsidRPr="00000000">
        <w:rPr>
          <w:rtl w:val="0"/>
        </w:rPr>
      </w:r>
    </w:p>
    <w:p w:rsidR="00000000" w:rsidDel="00000000" w:rsidP="00000000" w:rsidRDefault="00000000" w:rsidRPr="00000000" w14:paraId="00000069">
      <w:pPr>
        <w:spacing w:line="360" w:lineRule="auto"/>
        <w:rPr/>
      </w:pPr>
      <w:r w:rsidDel="00000000" w:rsidR="00000000" w:rsidRPr="00000000">
        <w:rPr>
          <w:rtl w:val="0"/>
        </w:rPr>
        <w:t xml:space="preserve">Lecours, V., Devillers, R., Schneider, D.C., Lucieer, V.L., Brown, C.J. and Edinger, E.N., (2015). Spatial scale and geographic context in benthic habitat mapping: review and future directions. Marine Ecology Progress Series, 535, pp.259-284.</w:t>
      </w:r>
    </w:p>
    <w:p w:rsidR="00000000" w:rsidDel="00000000" w:rsidP="00000000" w:rsidRDefault="00000000" w:rsidRPr="00000000" w14:paraId="0000006A">
      <w:pPr>
        <w:spacing w:line="360" w:lineRule="auto"/>
        <w:rPr/>
      </w:pPr>
      <w:r w:rsidDel="00000000" w:rsidR="00000000" w:rsidRPr="00000000">
        <w:rPr>
          <w:rtl w:val="0"/>
        </w:rPr>
      </w:r>
    </w:p>
    <w:p w:rsidR="00000000" w:rsidDel="00000000" w:rsidP="00000000" w:rsidRDefault="00000000" w:rsidRPr="00000000" w14:paraId="0000006B">
      <w:pPr>
        <w:spacing w:line="360" w:lineRule="auto"/>
        <w:rPr/>
      </w:pPr>
      <w:r w:rsidDel="00000000" w:rsidR="00000000" w:rsidRPr="00000000">
        <w:rPr>
          <w:rtl w:val="0"/>
        </w:rPr>
        <w:t xml:space="preserve">Miyamoto, M., Kiyota, M., Murase, H., Nakamura, T. and Hayashibara, T., 2017. Effects of bathymetric grid-cell sizes on habitat suitability analysis of cold-water Gorgonian corals on seamounts. Marine Geodesy, 40(4), pp.205-223.</w:t>
      </w:r>
    </w:p>
    <w:p w:rsidR="00000000" w:rsidDel="00000000" w:rsidP="00000000" w:rsidRDefault="00000000" w:rsidRPr="00000000" w14:paraId="0000006C">
      <w:pPr>
        <w:spacing w:line="360" w:lineRule="auto"/>
        <w:rPr/>
      </w:pPr>
      <w:r w:rsidDel="00000000" w:rsidR="00000000" w:rsidRPr="00000000">
        <w:rPr>
          <w:rtl w:val="0"/>
        </w:rPr>
      </w:r>
    </w:p>
    <w:p w:rsidR="00000000" w:rsidDel="00000000" w:rsidP="00000000" w:rsidRDefault="00000000" w:rsidRPr="00000000" w14:paraId="0000006D">
      <w:pPr>
        <w:spacing w:line="360" w:lineRule="auto"/>
        <w:rPr/>
      </w:pPr>
      <w:r w:rsidDel="00000000" w:rsidR="00000000" w:rsidRPr="00000000">
        <w:rPr>
          <w:rtl w:val="0"/>
        </w:rPr>
        <w:t xml:space="preserve">Pearman T, 2021 Habitats and Benthos Report. Marine Stewardship Council Audit.</w:t>
      </w:r>
    </w:p>
    <w:p w:rsidR="00000000" w:rsidDel="00000000" w:rsidP="00000000" w:rsidRDefault="00000000" w:rsidRPr="00000000" w14:paraId="0000006E">
      <w:pPr>
        <w:spacing w:line="360" w:lineRule="auto"/>
        <w:rPr/>
      </w:pPr>
      <w:r w:rsidDel="00000000" w:rsidR="00000000" w:rsidRPr="00000000">
        <w:rPr>
          <w:rtl w:val="0"/>
        </w:rPr>
      </w:r>
    </w:p>
    <w:p w:rsidR="00000000" w:rsidDel="00000000" w:rsidP="00000000" w:rsidRDefault="00000000" w:rsidRPr="00000000" w14:paraId="0000006F">
      <w:pPr>
        <w:spacing w:line="360" w:lineRule="auto"/>
        <w:rPr/>
      </w:pPr>
      <w:r w:rsidDel="00000000" w:rsidR="00000000" w:rsidRPr="00000000">
        <w:rPr>
          <w:rtl w:val="0"/>
        </w:rPr>
        <w:t xml:space="preserve">Porskamp, P., Rattray, A., Young, M. and Ierodiaconou, D., 2018. Multiscale and hierarchical classification for benthic habitat mapping. Geosciences, 8(4), p.119.</w:t>
      </w:r>
    </w:p>
    <w:p w:rsidR="00000000" w:rsidDel="00000000" w:rsidP="00000000" w:rsidRDefault="00000000" w:rsidRPr="00000000" w14:paraId="00000070">
      <w:pPr>
        <w:spacing w:line="360" w:lineRule="auto"/>
        <w:rPr/>
      </w:pPr>
      <w:r w:rsidDel="00000000" w:rsidR="00000000" w:rsidRPr="00000000">
        <w:rPr>
          <w:rtl w:val="0"/>
        </w:rPr>
      </w:r>
    </w:p>
    <w:p w:rsidR="00000000" w:rsidDel="00000000" w:rsidP="00000000" w:rsidRDefault="00000000" w:rsidRPr="00000000" w14:paraId="00000071">
      <w:pPr>
        <w:spacing w:line="360" w:lineRule="auto"/>
        <w:rPr/>
      </w:pPr>
      <w:r w:rsidDel="00000000" w:rsidR="00000000" w:rsidRPr="00000000">
        <w:rPr>
          <w:rtl w:val="0"/>
        </w:rPr>
        <w:t xml:space="preserve">Ross, L.K., Ross, R.E., Stewart, H.A., and Howell, K.L. (2015). The influence of data resolution on predicted distribution and estimates of extent of current protection of three ‘listed’ deep-sea habitats. PLoS ONE 10(10), e0140061. doi:10.1371/journal.pone.014006.</w:t>
      </w:r>
    </w:p>
    <w:p w:rsidR="00000000" w:rsidDel="00000000" w:rsidP="00000000" w:rsidRDefault="00000000" w:rsidRPr="00000000" w14:paraId="00000072">
      <w:pPr>
        <w:spacing w:line="360" w:lineRule="auto"/>
        <w:rPr/>
      </w:pPr>
      <w:r w:rsidDel="00000000" w:rsidR="00000000" w:rsidRPr="00000000">
        <w:rPr>
          <w:rtl w:val="0"/>
        </w:rPr>
      </w:r>
    </w:p>
    <w:p w:rsidR="00000000" w:rsidDel="00000000" w:rsidP="00000000" w:rsidRDefault="00000000" w:rsidRPr="00000000" w14:paraId="00000073">
      <w:pPr>
        <w:spacing w:line="360" w:lineRule="auto"/>
        <w:rPr/>
      </w:pPr>
      <w:r w:rsidDel="00000000" w:rsidR="00000000" w:rsidRPr="00000000">
        <w:rPr>
          <w:rtl w:val="0"/>
        </w:rPr>
      </w:r>
    </w:p>
    <w:p w:rsidR="00000000" w:rsidDel="00000000" w:rsidP="00000000" w:rsidRDefault="00000000" w:rsidRPr="00000000" w14:paraId="00000074">
      <w:pPr>
        <w:spacing w:line="360" w:lineRule="auto"/>
        <w:rPr/>
      </w:pPr>
      <w:r w:rsidDel="00000000" w:rsidR="00000000" w:rsidRPr="00000000">
        <w:rPr>
          <w:rtl w:val="0"/>
        </w:rPr>
      </w:r>
    </w:p>
    <w:p w:rsidR="00000000" w:rsidDel="00000000" w:rsidP="00000000" w:rsidRDefault="00000000" w:rsidRPr="00000000" w14:paraId="00000075">
      <w:pPr>
        <w:spacing w:line="360" w:lineRule="auto"/>
        <w:rPr/>
      </w:pPr>
      <w:r w:rsidDel="00000000" w:rsidR="00000000" w:rsidRPr="00000000">
        <w:rPr>
          <w:rtl w:val="0"/>
        </w:rPr>
      </w:r>
    </w:p>
    <w:sectPr>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