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6D33A" w14:textId="627D61E5" w:rsidR="0027379E" w:rsidRPr="00F712E3" w:rsidRDefault="0027379E" w:rsidP="0027379E">
      <w:pPr>
        <w:jc w:val="center"/>
        <w:rPr>
          <w:color w:val="auto"/>
        </w:rPr>
      </w:pPr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 xml:space="preserve">Supplementary Table </w:t>
      </w:r>
      <w:r w:rsidRPr="00F712E3">
        <w:rPr>
          <w:rFonts w:ascii="Times New Roman" w:eastAsia="PMingLiU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1</w:t>
      </w:r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Baseline clinical and laboratory characteristics of patients with different response</w:t>
      </w:r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vertAlign w:val="superscript"/>
        </w:rPr>
        <w:t>*</w:t>
      </w:r>
    </w:p>
    <w:tbl>
      <w:tblPr>
        <w:tblStyle w:val="TableNormal1"/>
        <w:tblW w:w="8364" w:type="dxa"/>
        <w:jc w:val="center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5"/>
        <w:gridCol w:w="2125"/>
        <w:gridCol w:w="1276"/>
      </w:tblGrid>
      <w:tr w:rsidR="00F712E3" w:rsidRPr="00F712E3" w14:paraId="79CC0E0B" w14:textId="77777777" w:rsidTr="00E81556">
        <w:trPr>
          <w:trHeight w:val="78"/>
          <w:jc w:val="center"/>
        </w:trPr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23A86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Characteristics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5F9FD" w14:textId="05943216" w:rsidR="00E81556" w:rsidRPr="00F712E3" w:rsidRDefault="003B260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R</w:t>
            </w:r>
            <w:r w:rsidR="003E5247" w:rsidRPr="00F712E3">
              <w:rPr>
                <w:rFonts w:ascii="Times New Roman" w:hAnsi="Times New Roman" w:cs="Times New Roman"/>
                <w:b/>
                <w:bCs/>
                <w:color w:val="auto"/>
              </w:rPr>
              <w:t>e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sponders</w:t>
            </w:r>
          </w:p>
          <w:p w14:paraId="2D3F5351" w14:textId="0119650B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(n=44)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6C2469" w14:textId="32045931" w:rsidR="0027379E" w:rsidRPr="00F712E3" w:rsidRDefault="003B260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Non-responders</w:t>
            </w:r>
            <w:r w:rsidR="0027379E"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 xml:space="preserve"> </w:t>
            </w:r>
            <w:r w:rsidR="0027379E" w:rsidRPr="00F712E3">
              <w:rPr>
                <w:rFonts w:ascii="Times New Roman" w:hAnsi="Times New Roman" w:cs="Times New Roman"/>
                <w:b/>
                <w:bCs/>
                <w:color w:val="auto"/>
              </w:rPr>
              <w:t>(n=14)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DD61D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i/>
                <w:iCs/>
                <w:color w:val="auto"/>
              </w:rPr>
              <w:t>Value P</w:t>
            </w:r>
          </w:p>
        </w:tc>
      </w:tr>
      <w:tr w:rsidR="00F712E3" w:rsidRPr="00F712E3" w14:paraId="17466D87" w14:textId="77777777" w:rsidTr="00E81556">
        <w:trPr>
          <w:trHeight w:val="20"/>
          <w:jc w:val="center"/>
        </w:trPr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43B156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Age, years</w:t>
            </w:r>
          </w:p>
        </w:tc>
        <w:tc>
          <w:tcPr>
            <w:tcW w:w="26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5BD83" w14:textId="64538D15" w:rsidR="0027379E" w:rsidRPr="00F712E3" w:rsidRDefault="00A05D3F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38 (18-71)</w:t>
            </w:r>
          </w:p>
        </w:tc>
        <w:tc>
          <w:tcPr>
            <w:tcW w:w="212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E426F9" w14:textId="147B96C4" w:rsidR="0027379E" w:rsidRPr="00F712E3" w:rsidRDefault="00A05D3F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50.5 (24-74)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B81D3D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0.068</w:t>
            </w:r>
          </w:p>
        </w:tc>
      </w:tr>
      <w:tr w:rsidR="00F712E3" w:rsidRPr="00F712E3" w14:paraId="6AD702BA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E488A6" w14:textId="77777777" w:rsidR="0027379E" w:rsidRPr="00F712E3" w:rsidRDefault="0027379E" w:rsidP="003470D1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Male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 sex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AB59A9" w14:textId="63B4518F" w:rsidR="0027379E" w:rsidRPr="00F712E3" w:rsidRDefault="0027379E" w:rsidP="003470D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2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4 (55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%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B7C3E" w14:textId="17A9C952" w:rsidR="0027379E" w:rsidRPr="00F712E3" w:rsidRDefault="0027379E" w:rsidP="003470D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4 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(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29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%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FA13D0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0.090</w:t>
            </w:r>
          </w:p>
        </w:tc>
      </w:tr>
      <w:tr w:rsidR="00F712E3" w:rsidRPr="00F712E3" w14:paraId="668E7C55" w14:textId="77777777" w:rsidTr="00E81556">
        <w:trPr>
          <w:trHeight w:val="44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968D" w14:textId="77777777" w:rsidR="0027379E" w:rsidRPr="00F712E3" w:rsidRDefault="0027379E" w:rsidP="003470D1">
            <w:pPr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Severity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: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SAA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AAE09" w14:textId="679D179E" w:rsidR="0027379E" w:rsidRPr="00F712E3" w:rsidRDefault="0027379E" w:rsidP="00347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34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(77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%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373BF" w14:textId="109FF785" w:rsidR="0027379E" w:rsidRPr="00F712E3" w:rsidRDefault="0027379E" w:rsidP="003470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6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 (43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%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C567B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  <w:u w:color="FF0000"/>
              </w:rPr>
              <w:t>0.036</w:t>
            </w:r>
          </w:p>
        </w:tc>
      </w:tr>
      <w:tr w:rsidR="00F712E3" w:rsidRPr="00F712E3" w14:paraId="725A5CA6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4A5F2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Time from diagnosis to treatment, d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5F0A5" w14:textId="0FC4DBE6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16</w:t>
            </w:r>
            <w:r w:rsidR="00B645D0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(1-741)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1DB8FD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18 (3-1161)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EB3F3" w14:textId="77777777" w:rsidR="0027379E" w:rsidRPr="00F712E3" w:rsidRDefault="0027379E" w:rsidP="001C06A4">
            <w:pPr>
              <w:jc w:val="center"/>
              <w:rPr>
                <w:rFonts w:ascii="Times New Roman" w:eastAsiaTheme="minorEastAsia" w:hAnsi="Times New Roman" w:cs="Times New Roman"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0.84</w:t>
            </w:r>
          </w:p>
        </w:tc>
      </w:tr>
      <w:tr w:rsidR="00F712E3" w:rsidRPr="00F712E3" w14:paraId="72417C97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13163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RBC, ×10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12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64BC6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1.9 (1.2-4.1)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9C4AA2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2.0 (1.0-2.5)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7D774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0.74</w:t>
            </w:r>
          </w:p>
        </w:tc>
      </w:tr>
      <w:tr w:rsidR="00F712E3" w:rsidRPr="00F712E3" w14:paraId="49023E71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55AC02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Hb, g/L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7960D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63 (44-128)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845BF3" w14:textId="25F6EA32" w:rsidR="0027379E" w:rsidRPr="00F712E3" w:rsidRDefault="003D10AA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60</w:t>
            </w:r>
            <w:r w:rsidR="0027379E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(37-85)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82A0D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0.37</w:t>
            </w:r>
          </w:p>
        </w:tc>
      </w:tr>
      <w:tr w:rsidR="00F712E3" w:rsidRPr="00F712E3" w14:paraId="19DC3D3A" w14:textId="77777777" w:rsidTr="00E81556">
        <w:trPr>
          <w:trHeight w:val="286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2497E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PLT, ×10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9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5109EA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9 (2-40)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F61732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6 (4-19)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4B40E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0.26</w:t>
            </w:r>
          </w:p>
        </w:tc>
      </w:tr>
      <w:tr w:rsidR="00F712E3" w:rsidRPr="00F712E3" w14:paraId="554BA069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5A021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ANC, ×10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9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BA0AE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0.4 (0-4.0)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11A0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0.1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(0-0.7)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0D581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0.050</w:t>
            </w:r>
          </w:p>
        </w:tc>
      </w:tr>
      <w:tr w:rsidR="00F712E3" w:rsidRPr="00F712E3" w14:paraId="348DB345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5C139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ALC, ×10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9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C1875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1.1 (0.1-2.8)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71A7F0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0.8 (0.1-2.0)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4476C8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  <w:u w:color="FF0000"/>
              </w:rPr>
              <w:t>0.043</w:t>
            </w:r>
          </w:p>
        </w:tc>
      </w:tr>
      <w:tr w:rsidR="00F712E3" w:rsidRPr="00F712E3" w14:paraId="1D0B3A5E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232506" w14:textId="77777777" w:rsidR="0027379E" w:rsidRPr="00F712E3" w:rsidRDefault="0027379E" w:rsidP="003470D1">
            <w:pPr>
              <w:jc w:val="left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A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RC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, ×10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  <w:vertAlign w:val="superscript"/>
              </w:rPr>
              <w:t>9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/L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97D94" w14:textId="3F6D6CE8" w:rsidR="0027379E" w:rsidRPr="00F712E3" w:rsidRDefault="0027379E" w:rsidP="003470D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1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7.74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(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0.92-97.92)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3A009" w14:textId="63F7DC37" w:rsidR="0027379E" w:rsidRPr="00F712E3" w:rsidRDefault="0027379E" w:rsidP="003470D1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5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.80</w:t>
            </w:r>
            <w:r w:rsidR="00726B74"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>(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lang w:eastAsia="zh-CN"/>
              </w:rPr>
              <w:t>0.45-30.35)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3F4A1E" w14:textId="77777777" w:rsidR="0027379E" w:rsidRPr="00F712E3" w:rsidRDefault="0027379E" w:rsidP="001C06A4">
            <w:pPr>
              <w:jc w:val="center"/>
              <w:rPr>
                <w:rFonts w:ascii="Times New Roman" w:eastAsiaTheme="minorEastAsia" w:hAnsi="Times New Roman" w:cs="Times New Roman"/>
                <w:b/>
                <w:bCs/>
                <w:color w:val="auto"/>
                <w:u w:color="FF0000"/>
                <w:lang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u w:color="FF0000"/>
                <w:lang w:eastAsia="zh-CN"/>
              </w:rPr>
              <w:t>0</w:t>
            </w:r>
            <w:r w:rsidRPr="00F712E3">
              <w:rPr>
                <w:rFonts w:ascii="Times New Roman" w:eastAsiaTheme="minorEastAsia" w:hAnsi="Times New Roman" w:cs="Times New Roman"/>
                <w:b/>
                <w:bCs/>
                <w:color w:val="auto"/>
                <w:u w:color="FF0000"/>
                <w:lang w:eastAsia="zh-CN"/>
              </w:rPr>
              <w:t>.001</w:t>
            </w:r>
          </w:p>
        </w:tc>
      </w:tr>
      <w:tr w:rsidR="00F712E3" w:rsidRPr="00F712E3" w14:paraId="5A6E93EE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D6FA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Reticulocyte,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927847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0.95 (0.06-5.73)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1D1928" w14:textId="24C95A59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OLE_LINK2"/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</w:t>
            </w:r>
            <w:r w:rsidR="00A15963" w:rsidRPr="00F712E3">
              <w:rPr>
                <w:rFonts w:ascii="Times New Roman" w:hAnsi="Times New Roman" w:cs="Times New Roman"/>
                <w:b/>
                <w:bCs/>
                <w:color w:val="auto"/>
              </w:rPr>
              <w:t>39</w:t>
            </w:r>
            <w:bookmarkEnd w:id="0"/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(0.02-1.51)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D371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  <w:u w:color="FF0000"/>
              </w:rPr>
              <w:t>0.002</w:t>
            </w:r>
          </w:p>
        </w:tc>
      </w:tr>
      <w:tr w:rsidR="00F712E3" w:rsidRPr="00F712E3" w14:paraId="50B0EBE3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2DF14B" w14:textId="77777777" w:rsidR="0027379E" w:rsidRPr="00F712E3" w:rsidRDefault="0027379E" w:rsidP="003470D1">
            <w:pPr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RDW-CV,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0E3C9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14.8 (11.2-23.4)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70C54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12.6 (10.8-19.9)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E0BC9F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0.134</w:t>
            </w:r>
          </w:p>
        </w:tc>
      </w:tr>
      <w:tr w:rsidR="00F712E3" w:rsidRPr="00F712E3" w14:paraId="41152C05" w14:textId="77777777" w:rsidTr="00E81556">
        <w:trPr>
          <w:trHeight w:val="8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565249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CD3,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031680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81.0 (27.6-93.3)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8316E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84.2 (67.0-89.9)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124CB3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0.57</w:t>
            </w:r>
          </w:p>
        </w:tc>
      </w:tr>
      <w:tr w:rsidR="00F712E3" w:rsidRPr="00F712E3" w14:paraId="7EAF02C1" w14:textId="77777777" w:rsidTr="00E81556">
        <w:trPr>
          <w:trHeight w:val="109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6901C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CD4,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BA79DF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43.0</w:t>
            </w:r>
            <w:r w:rsidRPr="00F712E3">
              <w:rPr>
                <w:rFonts w:ascii="Times New Roman" w:eastAsiaTheme="minorEastAsia" w:hAnsi="Times New Roman" w:cs="Times New Roman" w:hint="eastAsia"/>
                <w:b/>
                <w:bCs/>
                <w:color w:val="auto"/>
                <w:lang w:eastAsia="zh-CN"/>
              </w:rPr>
              <w:t xml:space="preserve"> </w:t>
            </w: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(11.4-74.9)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238E1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49.5 (34.8-67.5)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ACEA8D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0.24</w:t>
            </w:r>
          </w:p>
        </w:tc>
      </w:tr>
      <w:tr w:rsidR="00F712E3" w:rsidRPr="00F712E3" w14:paraId="0941794A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996A8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CD8,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A3C10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27.3 (8.9-65.6) 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F1C9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21.7 (14.8-41.0)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087A1D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0.39</w:t>
            </w:r>
          </w:p>
        </w:tc>
      </w:tr>
      <w:tr w:rsidR="00F712E3" w:rsidRPr="00F712E3" w14:paraId="6CA7DEE9" w14:textId="77777777" w:rsidTr="00E81556">
        <w:trPr>
          <w:trHeight w:val="30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6BBB0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Treg, %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17377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1.9 (0-11.7)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177E75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1.0 (0-5.6)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5B53BB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0.67</w:t>
            </w:r>
          </w:p>
        </w:tc>
      </w:tr>
      <w:tr w:rsidR="00F712E3" w:rsidRPr="00F712E3" w14:paraId="4A06A358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F7066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proofErr w:type="spellStart"/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Ferr</w:t>
            </w:r>
            <w:proofErr w:type="spellEnd"/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, ng/ml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BA3C4" w14:textId="7C7B876B" w:rsidR="0027379E" w:rsidRPr="00F712E3" w:rsidRDefault="00491C2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579.2</w:t>
            </w:r>
            <w:r w:rsidR="0027379E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</w:t>
            </w:r>
          </w:p>
          <w:p w14:paraId="3AD68240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(47.0-2377.0)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4FA83E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1015.0 </w:t>
            </w:r>
          </w:p>
          <w:p w14:paraId="54F627F1" w14:textId="77777777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(156.8-5597.5)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72517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0.070</w:t>
            </w:r>
          </w:p>
        </w:tc>
      </w:tr>
      <w:tr w:rsidR="00F712E3" w:rsidRPr="00F712E3" w14:paraId="08AC2D38" w14:textId="77777777" w:rsidTr="00E81556">
        <w:trPr>
          <w:trHeight w:val="2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B54574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PNH clone</w:t>
            </w: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E5FFE" w14:textId="63E76B1A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</w:t>
            </w:r>
            <w:r w:rsidR="00E8155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5</w:t>
            </w:r>
            <w:r w:rsidR="00726B74" w:rsidRPr="00F712E3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E58099" w14:textId="4004B0B8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</w:t>
            </w:r>
            <w:r w:rsidR="00E8155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14</w:t>
            </w:r>
            <w:r w:rsidR="00726B74" w:rsidRPr="00F712E3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32194" w14:textId="77777777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0.52</w:t>
            </w:r>
          </w:p>
        </w:tc>
      </w:tr>
      <w:tr w:rsidR="00F712E3" w:rsidRPr="00F712E3" w14:paraId="0F398202" w14:textId="77777777" w:rsidTr="00C51795">
        <w:trPr>
          <w:trHeight w:val="247"/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4F79F6" w14:textId="77777777" w:rsidR="0027379E" w:rsidRPr="00F712E3" w:rsidRDefault="0027379E" w:rsidP="003470D1">
            <w:pPr>
              <w:jc w:val="left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Infection before IST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BA26A" w14:textId="2D80B736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1</w:t>
            </w:r>
            <w:r w:rsidR="00917229" w:rsidRPr="00F712E3">
              <w:rPr>
                <w:rFonts w:ascii="Times New Roman" w:hAnsi="Times New Roman" w:cs="Times New Roman"/>
                <w:b/>
                <w:bCs/>
                <w:color w:val="auto"/>
              </w:rPr>
              <w:t>4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</w:t>
            </w:r>
            <w:r w:rsidR="00E8155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3</w:t>
            </w:r>
            <w:r w:rsidR="00572140" w:rsidRPr="00F712E3">
              <w:rPr>
                <w:rFonts w:ascii="Times New Roman" w:hAnsi="Times New Roman" w:cs="Times New Roman"/>
                <w:b/>
                <w:bCs/>
                <w:color w:val="auto"/>
              </w:rPr>
              <w:t>2</w:t>
            </w:r>
            <w:r w:rsidR="00726B74" w:rsidRPr="00F712E3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2B870" w14:textId="0EFC4861" w:rsidR="0027379E" w:rsidRPr="00F712E3" w:rsidRDefault="0027379E" w:rsidP="003470D1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9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(</w:t>
            </w:r>
            <w:r w:rsidR="00E8155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64</w:t>
            </w:r>
            <w:r w:rsidR="00726B74" w:rsidRPr="00F712E3">
              <w:rPr>
                <w:rFonts w:ascii="Times New Roman" w:hAnsi="Times New Roman" w:cs="Times New Roman"/>
                <w:b/>
                <w:bCs/>
                <w:color w:val="auto"/>
              </w:rPr>
              <w:t>%</w:t>
            </w:r>
            <w:r w:rsidR="00916696" w:rsidRPr="00F712E3">
              <w:rPr>
                <w:rFonts w:ascii="Times New Roman" w:hAnsi="Times New Roman" w:cs="Times New Roman"/>
                <w:b/>
                <w:bCs/>
                <w:color w:val="auto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A8B2A" w14:textId="3F6C0ED9" w:rsidR="0027379E" w:rsidRPr="00F712E3" w:rsidRDefault="0027379E" w:rsidP="001C06A4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F712E3">
              <w:rPr>
                <w:rFonts w:ascii="Times New Roman" w:hAnsi="Times New Roman" w:cs="Times New Roman"/>
                <w:b/>
                <w:bCs/>
                <w:color w:val="auto"/>
              </w:rPr>
              <w:t>0.0</w:t>
            </w:r>
            <w:r w:rsidR="001B24A8" w:rsidRPr="00F712E3">
              <w:rPr>
                <w:rFonts w:ascii="Times New Roman" w:hAnsi="Times New Roman" w:cs="Times New Roman"/>
                <w:b/>
                <w:bCs/>
                <w:color w:val="auto"/>
              </w:rPr>
              <w:t>31</w:t>
            </w:r>
          </w:p>
        </w:tc>
      </w:tr>
    </w:tbl>
    <w:p w14:paraId="2C3D3F99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eastAsia="zh-TW"/>
        </w:rPr>
      </w:pPr>
      <w:r w:rsidRPr="00F712E3">
        <w:rPr>
          <w:rFonts w:ascii="Times New Roman" w:eastAsia="PMingLiU" w:hAnsi="Times New Roman" w:cs="Times New Roman"/>
          <w:noProof/>
          <w:color w:val="auto"/>
          <w:sz w:val="24"/>
          <w:szCs w:val="24"/>
          <w:lang w:val="zh-TW" w:eastAsia="zh-TW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A61E0" wp14:editId="6CF63B42">
                <wp:simplePos x="0" y="0"/>
                <wp:positionH relativeFrom="margin">
                  <wp:posOffset>-123825</wp:posOffset>
                </wp:positionH>
                <wp:positionV relativeFrom="paragraph">
                  <wp:posOffset>64135</wp:posOffset>
                </wp:positionV>
                <wp:extent cx="5686425" cy="1404620"/>
                <wp:effectExtent l="0" t="0" r="9525" b="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64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16B3E" w14:textId="2FB8271F" w:rsidR="0027379E" w:rsidRPr="00BA471D" w:rsidRDefault="00E81556" w:rsidP="0027379E">
                            <w:pPr>
                              <w:widowControl/>
                              <w:jc w:val="left"/>
                              <w:rPr>
                                <w:rFonts w:ascii="SimSun" w:eastAsia="SimSun" w:hAnsi="SimSun" w:cs="SimSun"/>
                                <w:color w:val="auto"/>
                                <w:kern w:val="0"/>
                                <w:sz w:val="24"/>
                                <w:szCs w:val="24"/>
                                <w:lang w:eastAsia="zh-CN"/>
                              </w:rPr>
                            </w:pPr>
                            <w:r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vertAlign w:val="superscript"/>
                                <w:lang w:val="zh-TW" w:eastAsia="zh-TW"/>
                              </w:rPr>
                              <w:t>*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Data represent</w:t>
                            </w:r>
                            <w:r w:rsidR="0027379E"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ed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 xml:space="preserve"> the number (%) or median (range).</w:t>
                            </w:r>
                            <w:r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 xml:space="preserve"> 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SAA: severe aplastic anemia; RBC: red blood cell; Hb: hemoglobin; PLT: platelet; ANC: absolute neutrophil</w:t>
                            </w:r>
                            <w:r w:rsidR="00216E70"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 xml:space="preserve"> count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; ALC: absolute lymphocyte count; ARC</w:t>
                            </w:r>
                            <w:r w:rsidR="0027379E"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 xml:space="preserve">: 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absolute reticulocyte count</w:t>
                            </w:r>
                            <w:r w:rsidR="0027379E" w:rsidRPr="00BA471D">
                              <w:rPr>
                                <w:rFonts w:ascii="Times New Roman" w:eastAsia="PMingLiU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 xml:space="preserve">; </w:t>
                            </w:r>
                            <w:r w:rsidR="0027379E" w:rsidRPr="00BA471D">
                              <w:rPr>
                                <w:rFonts w:ascii="Times New Roman" w:hAnsi="Times New Roman" w:cs="Times New Roman"/>
                                <w:color w:val="auto"/>
                                <w:sz w:val="24"/>
                                <w:szCs w:val="24"/>
                                <w:lang w:val="zh-TW" w:eastAsia="zh-TW"/>
                              </w:rPr>
                              <w:t>RDW-CV: red cell distribution width - coefficient of variation; Treg: regulatory T cell; Ferr: ferritin; PNH: paroxysmal nocturnal hemoglobinuria; IST: immunosuppressive therapy.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5A61E0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margin-left:-9.75pt;margin-top:5.05pt;width:44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" stroked="f">
                <v:textbox style="mso-fit-shape-to-text:t">
                  <w:txbxContent>
                    <w:p w14:paraId="30416B3E" w14:textId="2FB8271F" w:rsidR="0027379E" w:rsidRPr="00BA471D" w:rsidRDefault="00E81556" w:rsidP="0027379E">
                      <w:pPr>
                        <w:widowControl/>
                        <w:jc w:val="left"/>
                        <w:rPr>
                          <w:rFonts w:ascii="SimSun" w:eastAsia="SimSun" w:hAnsi="SimSun" w:cs="SimSun"/>
                          <w:color w:val="auto"/>
                          <w:kern w:val="0"/>
                          <w:sz w:val="24"/>
                          <w:szCs w:val="24"/>
                          <w:lang w:eastAsia="zh-CN"/>
                        </w:rPr>
                      </w:pPr>
                      <w:r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vertAlign w:val="superscript"/>
                          <w:lang w:val="zh-TW" w:eastAsia="zh-TW"/>
                        </w:rPr>
                        <w:t>*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Data represent</w:t>
                      </w:r>
                      <w:r w:rsidR="0027379E"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ed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 xml:space="preserve"> the number (%) or median (range).</w:t>
                      </w:r>
                      <w:r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 xml:space="preserve"> 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SAA: severe aplastic anemia; RBC: red blood cell; Hb: hemoglobin; PLT: platelet; ANC: absolute neutrophil</w:t>
                      </w:r>
                      <w:r w:rsidR="00216E70"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 xml:space="preserve"> count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; ALC: absolute lymphocyte count; ARC</w:t>
                      </w:r>
                      <w:r w:rsidR="0027379E"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 xml:space="preserve">: 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absolute reticulocyte count</w:t>
                      </w:r>
                      <w:r w:rsidR="0027379E" w:rsidRPr="00BA471D">
                        <w:rPr>
                          <w:rFonts w:ascii="Times New Roman" w:eastAsia="PMingLiU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 xml:space="preserve">; </w:t>
                      </w:r>
                      <w:r w:rsidR="0027379E" w:rsidRPr="00BA471D">
                        <w:rPr>
                          <w:rFonts w:ascii="Times New Roman" w:hAnsi="Times New Roman" w:cs="Times New Roman"/>
                          <w:color w:val="auto"/>
                          <w:sz w:val="24"/>
                          <w:szCs w:val="24"/>
                          <w:lang w:val="zh-TW" w:eastAsia="zh-TW"/>
                        </w:rPr>
                        <w:t>RDW-CV: red cell distribution width - coefficient of variation; Treg: regulatory T cell; Ferr: ferritin; PNH: paroxysmal nocturnal hemoglobinuria; IST: immunosuppressive therapy.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4BDA540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3A796BD5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5F2A8D37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7E7851B7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68E3D868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07F20299" w14:textId="77777777" w:rsidR="0027379E" w:rsidRPr="00F712E3" w:rsidRDefault="0027379E" w:rsidP="0027379E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5F9166B5" w14:textId="77777777" w:rsidR="00DB5455" w:rsidRPr="00F712E3" w:rsidRDefault="00DB5455">
      <w:pPr>
        <w:widowControl/>
        <w:jc w:val="left"/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2B8D7E13" w14:textId="53D50297" w:rsidR="00DB5455" w:rsidRPr="00F712E3" w:rsidRDefault="00DB5455">
      <w:pPr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2DD14B19" w14:textId="513ADBAB" w:rsidR="00773BBB" w:rsidRPr="00F712E3" w:rsidRDefault="00773BBB">
      <w:pPr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5A0A03F0" w14:textId="4D45FFB4" w:rsidR="00773BBB" w:rsidRPr="00F712E3" w:rsidRDefault="00773BBB">
      <w:pPr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19C83BD0" w14:textId="77777777" w:rsidR="00773BBB" w:rsidRPr="00F712E3" w:rsidRDefault="00773BBB">
      <w:pPr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</w:p>
    <w:p w14:paraId="10E2ACF5" w14:textId="77777777" w:rsidR="00B8162C" w:rsidRPr="00F712E3" w:rsidRDefault="00B8162C">
      <w:pP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</w:pPr>
      <w:bookmarkStart w:id="1" w:name="_Hlk100944174"/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br w:type="page"/>
      </w:r>
    </w:p>
    <w:p w14:paraId="2A32D3AE" w14:textId="5AD0F47E" w:rsidR="003E25EE" w:rsidRPr="00F712E3" w:rsidRDefault="003E25EE">
      <w:pPr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</w:pPr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lastRenderedPageBreak/>
        <w:t xml:space="preserve">Supplementary Table </w:t>
      </w:r>
      <w:r w:rsidRPr="00F712E3">
        <w:rPr>
          <w:rFonts w:ascii="Times New Roman" w:eastAsia="PMingLiU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2</w:t>
      </w:r>
      <w:r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</w:rPr>
        <w:t xml:space="preserve"> </w:t>
      </w:r>
      <w:r w:rsidR="005D5933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C</w:t>
      </w:r>
      <w:r w:rsidR="00020A2F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linical results</w:t>
      </w:r>
      <w:r w:rsidR="005D5933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 xml:space="preserve"> of patients w</w:t>
      </w:r>
      <w:r w:rsidR="00020A2F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it</w:t>
      </w:r>
      <w:r w:rsidR="005D5933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 xml:space="preserve">h </w:t>
      </w:r>
      <w:r w:rsidR="00020A2F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>detectable somatic mutations</w:t>
      </w:r>
      <w:r w:rsidR="00302C0E" w:rsidRPr="00F712E3">
        <w:rPr>
          <w:rFonts w:ascii="Times New Roman" w:hAnsi="Times New Roman" w:cs="Times New Roman"/>
          <w:b/>
          <w:bCs/>
          <w:color w:val="auto"/>
          <w:kern w:val="0"/>
          <w:sz w:val="24"/>
          <w:szCs w:val="24"/>
          <w:lang w:val="zh-TW" w:eastAsia="zh-TW"/>
        </w:rPr>
        <w:t xml:space="preserve"> at baseline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1"/>
        <w:gridCol w:w="1441"/>
        <w:gridCol w:w="1266"/>
        <w:gridCol w:w="1083"/>
        <w:gridCol w:w="1083"/>
        <w:gridCol w:w="1083"/>
        <w:gridCol w:w="1263"/>
      </w:tblGrid>
      <w:tr w:rsidR="00F712E3" w:rsidRPr="00F712E3" w14:paraId="18C86614" w14:textId="77777777" w:rsidTr="005D5933">
        <w:tc>
          <w:tcPr>
            <w:tcW w:w="1082" w:type="dxa"/>
          </w:tcPr>
          <w:p w14:paraId="4C29F456" w14:textId="3FED3F84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Age (years)</w:t>
            </w:r>
          </w:p>
        </w:tc>
        <w:tc>
          <w:tcPr>
            <w:tcW w:w="1456" w:type="dxa"/>
          </w:tcPr>
          <w:p w14:paraId="11890200" w14:textId="34AFB115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hAnsi="Times New Roman" w:cs="Times New Roman"/>
                <w:color w:val="auto"/>
                <w:kern w:val="0"/>
                <w:sz w:val="24"/>
                <w:szCs w:val="24"/>
              </w:rPr>
              <w:t>Gene mutations</w:t>
            </w:r>
          </w:p>
        </w:tc>
        <w:tc>
          <w:tcPr>
            <w:tcW w:w="1271" w:type="dxa"/>
          </w:tcPr>
          <w:p w14:paraId="25B02502" w14:textId="524EFA77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variant allele frequency</w:t>
            </w:r>
          </w:p>
        </w:tc>
        <w:tc>
          <w:tcPr>
            <w:tcW w:w="1052" w:type="dxa"/>
          </w:tcPr>
          <w:p w14:paraId="32EF4663" w14:textId="2663C5C7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 xml:space="preserve">Time to </w:t>
            </w: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P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R (month</w:t>
            </w:r>
            <w:r w:rsidR="009E56BA"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s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)</w:t>
            </w:r>
          </w:p>
        </w:tc>
        <w:tc>
          <w:tcPr>
            <w:tcW w:w="1074" w:type="dxa"/>
          </w:tcPr>
          <w:p w14:paraId="171CCA1C" w14:textId="5CA720CF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  <w:t>T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ime to CR (month</w:t>
            </w:r>
            <w:r w:rsidR="009E56BA"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s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)</w:t>
            </w:r>
          </w:p>
        </w:tc>
        <w:tc>
          <w:tcPr>
            <w:tcW w:w="1083" w:type="dxa"/>
          </w:tcPr>
          <w:p w14:paraId="32AA102C" w14:textId="477F58D9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 xml:space="preserve">Follow-up </w:t>
            </w: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(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months)</w:t>
            </w:r>
          </w:p>
        </w:tc>
        <w:tc>
          <w:tcPr>
            <w:tcW w:w="1272" w:type="dxa"/>
          </w:tcPr>
          <w:p w14:paraId="008F6954" w14:textId="04C5C884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Outcome</w:t>
            </w:r>
          </w:p>
        </w:tc>
      </w:tr>
      <w:tr w:rsidR="00F712E3" w:rsidRPr="00F712E3" w14:paraId="4567CA8B" w14:textId="77777777" w:rsidTr="005D5933">
        <w:tc>
          <w:tcPr>
            <w:tcW w:w="1082" w:type="dxa"/>
          </w:tcPr>
          <w:p w14:paraId="5B00C756" w14:textId="706C93B3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2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456" w:type="dxa"/>
          </w:tcPr>
          <w:p w14:paraId="3D90CE01" w14:textId="75270A90" w:rsidR="005D5933" w:rsidRPr="00F712E3" w:rsidRDefault="005D5933">
            <w:pPr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  <w:t>DNMT3A</w:t>
            </w:r>
          </w:p>
        </w:tc>
        <w:tc>
          <w:tcPr>
            <w:tcW w:w="1271" w:type="dxa"/>
          </w:tcPr>
          <w:p w14:paraId="1B0402B6" w14:textId="4B8087B1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5.1%</w:t>
            </w:r>
          </w:p>
        </w:tc>
        <w:tc>
          <w:tcPr>
            <w:tcW w:w="1052" w:type="dxa"/>
          </w:tcPr>
          <w:p w14:paraId="6AE925BC" w14:textId="6F960812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</w:p>
        </w:tc>
        <w:tc>
          <w:tcPr>
            <w:tcW w:w="1074" w:type="dxa"/>
          </w:tcPr>
          <w:p w14:paraId="10F1E6BC" w14:textId="0066C545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3</w:t>
            </w:r>
          </w:p>
        </w:tc>
        <w:tc>
          <w:tcPr>
            <w:tcW w:w="1083" w:type="dxa"/>
          </w:tcPr>
          <w:p w14:paraId="19F44658" w14:textId="60C58AA5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3</w:t>
            </w:r>
            <w:r w:rsidR="00AD6FEF"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272" w:type="dxa"/>
          </w:tcPr>
          <w:p w14:paraId="47EC0AD1" w14:textId="17D60546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  <w:t>R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elapse</w:t>
            </w:r>
          </w:p>
        </w:tc>
      </w:tr>
      <w:tr w:rsidR="00F712E3" w:rsidRPr="00F712E3" w14:paraId="0D2FE718" w14:textId="77777777" w:rsidTr="005D5933">
        <w:tc>
          <w:tcPr>
            <w:tcW w:w="1082" w:type="dxa"/>
          </w:tcPr>
          <w:p w14:paraId="7EBC964E" w14:textId="17B7C0DB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6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5</w:t>
            </w:r>
          </w:p>
        </w:tc>
        <w:tc>
          <w:tcPr>
            <w:tcW w:w="1456" w:type="dxa"/>
          </w:tcPr>
          <w:p w14:paraId="23DF24F3" w14:textId="1AB232E6" w:rsidR="005D5933" w:rsidRPr="00F712E3" w:rsidRDefault="005D5933">
            <w:pPr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  <w:t>DNMT3A</w:t>
            </w:r>
          </w:p>
        </w:tc>
        <w:tc>
          <w:tcPr>
            <w:tcW w:w="1271" w:type="dxa"/>
          </w:tcPr>
          <w:p w14:paraId="12F38C3C" w14:textId="42A04CE1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4.9%</w:t>
            </w:r>
          </w:p>
        </w:tc>
        <w:tc>
          <w:tcPr>
            <w:tcW w:w="1052" w:type="dxa"/>
          </w:tcPr>
          <w:p w14:paraId="40699B5A" w14:textId="01AA855E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</w:p>
        </w:tc>
        <w:tc>
          <w:tcPr>
            <w:tcW w:w="1074" w:type="dxa"/>
          </w:tcPr>
          <w:p w14:paraId="0BCA34B9" w14:textId="05CB1B74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-</w:t>
            </w:r>
          </w:p>
        </w:tc>
        <w:tc>
          <w:tcPr>
            <w:tcW w:w="1083" w:type="dxa"/>
          </w:tcPr>
          <w:p w14:paraId="3EC447AC" w14:textId="22620098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72" w:type="dxa"/>
          </w:tcPr>
          <w:p w14:paraId="4299466F" w14:textId="4B3B58A3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P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R</w:t>
            </w:r>
          </w:p>
        </w:tc>
      </w:tr>
      <w:tr w:rsidR="00F712E3" w:rsidRPr="00F712E3" w14:paraId="347D19D2" w14:textId="77777777" w:rsidTr="005D5933">
        <w:tc>
          <w:tcPr>
            <w:tcW w:w="1082" w:type="dxa"/>
          </w:tcPr>
          <w:p w14:paraId="6B58FAD8" w14:textId="28F42EB8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2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456" w:type="dxa"/>
          </w:tcPr>
          <w:p w14:paraId="271D65EF" w14:textId="017E54F1" w:rsidR="005D5933" w:rsidRPr="00F712E3" w:rsidRDefault="005D5933">
            <w:pPr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  <w:t>DNMT3A</w:t>
            </w:r>
          </w:p>
        </w:tc>
        <w:tc>
          <w:tcPr>
            <w:tcW w:w="1271" w:type="dxa"/>
          </w:tcPr>
          <w:p w14:paraId="05B59282" w14:textId="2A6E8079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2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.9%</w:t>
            </w:r>
          </w:p>
        </w:tc>
        <w:tc>
          <w:tcPr>
            <w:tcW w:w="1052" w:type="dxa"/>
          </w:tcPr>
          <w:p w14:paraId="04B104FA" w14:textId="1CE267C6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</w:p>
        </w:tc>
        <w:tc>
          <w:tcPr>
            <w:tcW w:w="1074" w:type="dxa"/>
          </w:tcPr>
          <w:p w14:paraId="2E4476CC" w14:textId="34B3C709" w:rsidR="005D5933" w:rsidRPr="00F712E3" w:rsidRDefault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3</w:t>
            </w:r>
          </w:p>
        </w:tc>
        <w:tc>
          <w:tcPr>
            <w:tcW w:w="1083" w:type="dxa"/>
          </w:tcPr>
          <w:p w14:paraId="06EB2A91" w14:textId="4AE24BA3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72" w:type="dxa"/>
          </w:tcPr>
          <w:p w14:paraId="4F9C267B" w14:textId="084A167A" w:rsidR="005D5933" w:rsidRPr="00F712E3" w:rsidRDefault="005D5933">
            <w:pPr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C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R</w:t>
            </w:r>
          </w:p>
        </w:tc>
      </w:tr>
      <w:tr w:rsidR="00F712E3" w:rsidRPr="00F712E3" w14:paraId="6C1D4060" w14:textId="77777777" w:rsidTr="005D5933">
        <w:tc>
          <w:tcPr>
            <w:tcW w:w="1082" w:type="dxa"/>
          </w:tcPr>
          <w:p w14:paraId="6764EE7F" w14:textId="26AAA0B3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3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456" w:type="dxa"/>
          </w:tcPr>
          <w:p w14:paraId="261E775F" w14:textId="7AE3B376" w:rsidR="005D5933" w:rsidRPr="00F712E3" w:rsidRDefault="005D5933" w:rsidP="005D5933">
            <w:pPr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</w:pPr>
            <w:r w:rsidRPr="00F712E3">
              <w:rPr>
                <w:rFonts w:ascii="Times New Roman" w:eastAsia="PMingLiU" w:hAnsi="Times New Roman" w:cs="Times New Roman"/>
                <w:i/>
                <w:iCs/>
                <w:color w:val="auto"/>
                <w:sz w:val="24"/>
                <w:szCs w:val="24"/>
                <w:lang w:val="zh-TW" w:eastAsia="zh-TW"/>
              </w:rPr>
              <w:t>MPL</w:t>
            </w:r>
          </w:p>
        </w:tc>
        <w:tc>
          <w:tcPr>
            <w:tcW w:w="1271" w:type="dxa"/>
          </w:tcPr>
          <w:p w14:paraId="79D64D4D" w14:textId="0C68BE2A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5.9%</w:t>
            </w:r>
          </w:p>
        </w:tc>
        <w:tc>
          <w:tcPr>
            <w:tcW w:w="1052" w:type="dxa"/>
          </w:tcPr>
          <w:p w14:paraId="2D60825A" w14:textId="29541452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1</w:t>
            </w:r>
          </w:p>
        </w:tc>
        <w:tc>
          <w:tcPr>
            <w:tcW w:w="1074" w:type="dxa"/>
          </w:tcPr>
          <w:p w14:paraId="6A758871" w14:textId="199C5712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2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083" w:type="dxa"/>
          </w:tcPr>
          <w:p w14:paraId="3A003769" w14:textId="1DC519BE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2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72" w:type="dxa"/>
          </w:tcPr>
          <w:p w14:paraId="355A8140" w14:textId="2D795D73" w:rsidR="005D5933" w:rsidRPr="00F712E3" w:rsidRDefault="005D5933" w:rsidP="005D5933">
            <w:pPr>
              <w:rPr>
                <w:rFonts w:ascii="Times New Roman" w:eastAsiaTheme="minorEastAsia" w:hAnsi="Times New Roman" w:cs="Times New Roman"/>
                <w:color w:val="auto"/>
                <w:sz w:val="24"/>
                <w:szCs w:val="24"/>
                <w:lang w:val="zh-TW" w:eastAsia="zh-CN"/>
              </w:rPr>
            </w:pPr>
            <w:r w:rsidRPr="00F712E3">
              <w:rPr>
                <w:rFonts w:ascii="Times New Roman" w:eastAsiaTheme="minorEastAsia" w:hAnsi="Times New Roman" w:cs="Times New Roman" w:hint="eastAsia"/>
                <w:color w:val="auto"/>
                <w:sz w:val="24"/>
                <w:szCs w:val="24"/>
                <w:lang w:val="zh-TW" w:eastAsia="zh-CN"/>
              </w:rPr>
              <w:t>C</w:t>
            </w:r>
            <w:r w:rsidRPr="00F712E3">
              <w:rPr>
                <w:rFonts w:ascii="Times New Roman" w:eastAsia="PMingLiU" w:hAnsi="Times New Roman" w:cs="Times New Roman"/>
                <w:color w:val="auto"/>
                <w:sz w:val="24"/>
                <w:szCs w:val="24"/>
                <w:lang w:val="zh-TW" w:eastAsia="zh-TW"/>
              </w:rPr>
              <w:t>R</w:t>
            </w:r>
          </w:p>
        </w:tc>
      </w:tr>
    </w:tbl>
    <w:p w14:paraId="536504D5" w14:textId="304703F3" w:rsidR="003E25EE" w:rsidRPr="00F712E3" w:rsidRDefault="004071D9">
      <w:pPr>
        <w:rPr>
          <w:rFonts w:ascii="Times New Roman" w:eastAsia="PMingLiU" w:hAnsi="Times New Roman" w:cs="Times New Roman"/>
          <w:color w:val="auto"/>
          <w:sz w:val="24"/>
          <w:szCs w:val="24"/>
          <w:lang w:val="zh-TW" w:eastAsia="zh-TW"/>
        </w:rPr>
      </w:pPr>
      <w:r w:rsidRPr="00F712E3">
        <w:rPr>
          <w:rFonts w:ascii="Times New Roman" w:hAnsi="Times New Roman" w:cs="Times New Roman"/>
          <w:color w:val="auto"/>
          <w:sz w:val="24"/>
          <w:szCs w:val="24"/>
        </w:rPr>
        <w:t>PR: Partial remission; CR: Complete remission.</w:t>
      </w:r>
      <w:bookmarkEnd w:id="1"/>
    </w:p>
    <w:sectPr w:rsidR="003E25EE" w:rsidRPr="00F712E3">
      <w:pgSz w:w="11900" w:h="16840"/>
      <w:pgMar w:top="1440" w:right="1800" w:bottom="1440" w:left="1800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BFDF1" w14:textId="77777777" w:rsidR="00664761" w:rsidRDefault="00664761" w:rsidP="00B96FD8">
      <w:r>
        <w:separator/>
      </w:r>
    </w:p>
  </w:endnote>
  <w:endnote w:type="continuationSeparator" w:id="0">
    <w:p w14:paraId="17E8F2CE" w14:textId="77777777" w:rsidR="00664761" w:rsidRDefault="00664761" w:rsidP="00B96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4E7AF" w14:textId="77777777" w:rsidR="00664761" w:rsidRDefault="00664761" w:rsidP="00B96FD8">
      <w:r>
        <w:separator/>
      </w:r>
    </w:p>
  </w:footnote>
  <w:footnote w:type="continuationSeparator" w:id="0">
    <w:p w14:paraId="6D4B3C73" w14:textId="77777777" w:rsidR="00664761" w:rsidRDefault="00664761" w:rsidP="00B96F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B28"/>
    <w:rsid w:val="00010A85"/>
    <w:rsid w:val="00011345"/>
    <w:rsid w:val="0001467A"/>
    <w:rsid w:val="00017444"/>
    <w:rsid w:val="00020A2F"/>
    <w:rsid w:val="0002489A"/>
    <w:rsid w:val="000262A4"/>
    <w:rsid w:val="00027628"/>
    <w:rsid w:val="00040F67"/>
    <w:rsid w:val="00045991"/>
    <w:rsid w:val="00046223"/>
    <w:rsid w:val="00052BBF"/>
    <w:rsid w:val="00054D7D"/>
    <w:rsid w:val="000646BB"/>
    <w:rsid w:val="00067D0E"/>
    <w:rsid w:val="00074A7F"/>
    <w:rsid w:val="00087C46"/>
    <w:rsid w:val="00092773"/>
    <w:rsid w:val="000B52CE"/>
    <w:rsid w:val="000C3E55"/>
    <w:rsid w:val="000D53E7"/>
    <w:rsid w:val="000D7A3B"/>
    <w:rsid w:val="000E6CA8"/>
    <w:rsid w:val="000F5531"/>
    <w:rsid w:val="0011149C"/>
    <w:rsid w:val="00112454"/>
    <w:rsid w:val="00114284"/>
    <w:rsid w:val="001144F2"/>
    <w:rsid w:val="001232EF"/>
    <w:rsid w:val="0013475C"/>
    <w:rsid w:val="00144539"/>
    <w:rsid w:val="001474BC"/>
    <w:rsid w:val="00155700"/>
    <w:rsid w:val="00164420"/>
    <w:rsid w:val="001722FF"/>
    <w:rsid w:val="00176AF3"/>
    <w:rsid w:val="00182AC1"/>
    <w:rsid w:val="00190918"/>
    <w:rsid w:val="00194B5C"/>
    <w:rsid w:val="001B166A"/>
    <w:rsid w:val="001B1CF2"/>
    <w:rsid w:val="001B24A8"/>
    <w:rsid w:val="001B6189"/>
    <w:rsid w:val="001C06A4"/>
    <w:rsid w:val="001C36ED"/>
    <w:rsid w:val="001D10AD"/>
    <w:rsid w:val="001E161D"/>
    <w:rsid w:val="001F0C5D"/>
    <w:rsid w:val="001F1309"/>
    <w:rsid w:val="00202F0C"/>
    <w:rsid w:val="002103CB"/>
    <w:rsid w:val="00210419"/>
    <w:rsid w:val="0021449F"/>
    <w:rsid w:val="00216E70"/>
    <w:rsid w:val="00224BBF"/>
    <w:rsid w:val="00236E0F"/>
    <w:rsid w:val="00242794"/>
    <w:rsid w:val="00243E1E"/>
    <w:rsid w:val="0025587A"/>
    <w:rsid w:val="00262C70"/>
    <w:rsid w:val="002723F8"/>
    <w:rsid w:val="0027379E"/>
    <w:rsid w:val="0028221D"/>
    <w:rsid w:val="00293237"/>
    <w:rsid w:val="002B0FBC"/>
    <w:rsid w:val="002B22F7"/>
    <w:rsid w:val="002B3E23"/>
    <w:rsid w:val="002B6B69"/>
    <w:rsid w:val="002B7785"/>
    <w:rsid w:val="002B7D04"/>
    <w:rsid w:val="002C3F4D"/>
    <w:rsid w:val="002D0BCE"/>
    <w:rsid w:val="002D5A25"/>
    <w:rsid w:val="002F2ABA"/>
    <w:rsid w:val="002F658A"/>
    <w:rsid w:val="002F789C"/>
    <w:rsid w:val="0030017D"/>
    <w:rsid w:val="00302C0E"/>
    <w:rsid w:val="00304846"/>
    <w:rsid w:val="003247F0"/>
    <w:rsid w:val="00334108"/>
    <w:rsid w:val="00335A90"/>
    <w:rsid w:val="0034389D"/>
    <w:rsid w:val="00361D68"/>
    <w:rsid w:val="003655CA"/>
    <w:rsid w:val="003656A3"/>
    <w:rsid w:val="00370E42"/>
    <w:rsid w:val="00371466"/>
    <w:rsid w:val="00377F8C"/>
    <w:rsid w:val="00383A4E"/>
    <w:rsid w:val="00392D8D"/>
    <w:rsid w:val="0039415D"/>
    <w:rsid w:val="00394A61"/>
    <w:rsid w:val="003A05D0"/>
    <w:rsid w:val="003A1537"/>
    <w:rsid w:val="003A4C6E"/>
    <w:rsid w:val="003B260E"/>
    <w:rsid w:val="003C056B"/>
    <w:rsid w:val="003C4F51"/>
    <w:rsid w:val="003C61C2"/>
    <w:rsid w:val="003D10AA"/>
    <w:rsid w:val="003D339C"/>
    <w:rsid w:val="003D6EE8"/>
    <w:rsid w:val="003D7AD7"/>
    <w:rsid w:val="003E0A70"/>
    <w:rsid w:val="003E25EE"/>
    <w:rsid w:val="003E46AD"/>
    <w:rsid w:val="003E5247"/>
    <w:rsid w:val="003E557A"/>
    <w:rsid w:val="003E57B8"/>
    <w:rsid w:val="003E5800"/>
    <w:rsid w:val="003E7F9E"/>
    <w:rsid w:val="003F018B"/>
    <w:rsid w:val="004071D9"/>
    <w:rsid w:val="00416C5E"/>
    <w:rsid w:val="00417873"/>
    <w:rsid w:val="0042455E"/>
    <w:rsid w:val="0043372B"/>
    <w:rsid w:val="00436B78"/>
    <w:rsid w:val="00454B75"/>
    <w:rsid w:val="00456F1A"/>
    <w:rsid w:val="00457DE2"/>
    <w:rsid w:val="00460581"/>
    <w:rsid w:val="00461F30"/>
    <w:rsid w:val="0046528F"/>
    <w:rsid w:val="00474ABA"/>
    <w:rsid w:val="00474B89"/>
    <w:rsid w:val="004867D3"/>
    <w:rsid w:val="00491B18"/>
    <w:rsid w:val="00491C2E"/>
    <w:rsid w:val="004931FB"/>
    <w:rsid w:val="004B0632"/>
    <w:rsid w:val="004D0C64"/>
    <w:rsid w:val="004D4AB6"/>
    <w:rsid w:val="004D6464"/>
    <w:rsid w:val="004E2C13"/>
    <w:rsid w:val="0050233C"/>
    <w:rsid w:val="00506F4C"/>
    <w:rsid w:val="005135E7"/>
    <w:rsid w:val="00543500"/>
    <w:rsid w:val="00546F15"/>
    <w:rsid w:val="00547C15"/>
    <w:rsid w:val="00560CF5"/>
    <w:rsid w:val="00572140"/>
    <w:rsid w:val="005771AF"/>
    <w:rsid w:val="00580BAB"/>
    <w:rsid w:val="00580D9E"/>
    <w:rsid w:val="005826E4"/>
    <w:rsid w:val="00592B49"/>
    <w:rsid w:val="005A5B75"/>
    <w:rsid w:val="005D5933"/>
    <w:rsid w:val="005D5DBF"/>
    <w:rsid w:val="005E208A"/>
    <w:rsid w:val="005F44BA"/>
    <w:rsid w:val="00603E37"/>
    <w:rsid w:val="00616314"/>
    <w:rsid w:val="00617838"/>
    <w:rsid w:val="00617BDE"/>
    <w:rsid w:val="00640BB8"/>
    <w:rsid w:val="006436D8"/>
    <w:rsid w:val="0065574A"/>
    <w:rsid w:val="00657BF9"/>
    <w:rsid w:val="00664761"/>
    <w:rsid w:val="00684CAB"/>
    <w:rsid w:val="006905A3"/>
    <w:rsid w:val="0069099B"/>
    <w:rsid w:val="006B03AA"/>
    <w:rsid w:val="006B3DD9"/>
    <w:rsid w:val="006B41F3"/>
    <w:rsid w:val="006B5EA6"/>
    <w:rsid w:val="006C3F5C"/>
    <w:rsid w:val="006D515D"/>
    <w:rsid w:val="006D6700"/>
    <w:rsid w:val="006D6CB5"/>
    <w:rsid w:val="006E06A1"/>
    <w:rsid w:val="00714AE5"/>
    <w:rsid w:val="00726B74"/>
    <w:rsid w:val="00727EF0"/>
    <w:rsid w:val="0073186A"/>
    <w:rsid w:val="00733BB1"/>
    <w:rsid w:val="00762323"/>
    <w:rsid w:val="00773BBB"/>
    <w:rsid w:val="00775538"/>
    <w:rsid w:val="00776BD8"/>
    <w:rsid w:val="00777024"/>
    <w:rsid w:val="00780918"/>
    <w:rsid w:val="007819D5"/>
    <w:rsid w:val="00786FC7"/>
    <w:rsid w:val="0079045A"/>
    <w:rsid w:val="007A0C39"/>
    <w:rsid w:val="007B1B59"/>
    <w:rsid w:val="007C17D6"/>
    <w:rsid w:val="007D74C2"/>
    <w:rsid w:val="007D7EB8"/>
    <w:rsid w:val="007E04CD"/>
    <w:rsid w:val="007F41FE"/>
    <w:rsid w:val="007F6970"/>
    <w:rsid w:val="0080414E"/>
    <w:rsid w:val="008045E9"/>
    <w:rsid w:val="00804918"/>
    <w:rsid w:val="0082280B"/>
    <w:rsid w:val="00825378"/>
    <w:rsid w:val="008263C0"/>
    <w:rsid w:val="008274BA"/>
    <w:rsid w:val="00843105"/>
    <w:rsid w:val="008477F5"/>
    <w:rsid w:val="00855F5A"/>
    <w:rsid w:val="00877499"/>
    <w:rsid w:val="00880F3C"/>
    <w:rsid w:val="008835C4"/>
    <w:rsid w:val="008A06E2"/>
    <w:rsid w:val="008A0C3F"/>
    <w:rsid w:val="008B4ACF"/>
    <w:rsid w:val="008C45D3"/>
    <w:rsid w:val="008D1247"/>
    <w:rsid w:val="008D55EF"/>
    <w:rsid w:val="008D6E89"/>
    <w:rsid w:val="008D77D2"/>
    <w:rsid w:val="008E62E7"/>
    <w:rsid w:val="008F18D9"/>
    <w:rsid w:val="008F3527"/>
    <w:rsid w:val="00911C5B"/>
    <w:rsid w:val="00913822"/>
    <w:rsid w:val="00916696"/>
    <w:rsid w:val="00917229"/>
    <w:rsid w:val="0092074F"/>
    <w:rsid w:val="00941E78"/>
    <w:rsid w:val="009434D3"/>
    <w:rsid w:val="0094475F"/>
    <w:rsid w:val="0096540C"/>
    <w:rsid w:val="00967600"/>
    <w:rsid w:val="00973702"/>
    <w:rsid w:val="00984222"/>
    <w:rsid w:val="009879ED"/>
    <w:rsid w:val="0099204A"/>
    <w:rsid w:val="00995092"/>
    <w:rsid w:val="009B7123"/>
    <w:rsid w:val="009C4D09"/>
    <w:rsid w:val="009C4D66"/>
    <w:rsid w:val="009D3C4C"/>
    <w:rsid w:val="009D6EEF"/>
    <w:rsid w:val="009E0BE3"/>
    <w:rsid w:val="009E36F8"/>
    <w:rsid w:val="009E56BA"/>
    <w:rsid w:val="009F0571"/>
    <w:rsid w:val="00A04C30"/>
    <w:rsid w:val="00A05D3F"/>
    <w:rsid w:val="00A15963"/>
    <w:rsid w:val="00A2423B"/>
    <w:rsid w:val="00A3046F"/>
    <w:rsid w:val="00A40D5E"/>
    <w:rsid w:val="00A41C01"/>
    <w:rsid w:val="00A423F8"/>
    <w:rsid w:val="00A46B70"/>
    <w:rsid w:val="00A473E4"/>
    <w:rsid w:val="00A5353E"/>
    <w:rsid w:val="00A56D6F"/>
    <w:rsid w:val="00A57FBF"/>
    <w:rsid w:val="00A72C41"/>
    <w:rsid w:val="00A74CBC"/>
    <w:rsid w:val="00A8255D"/>
    <w:rsid w:val="00A8289F"/>
    <w:rsid w:val="00A8793B"/>
    <w:rsid w:val="00A943D1"/>
    <w:rsid w:val="00A954EF"/>
    <w:rsid w:val="00AA0008"/>
    <w:rsid w:val="00AA0A75"/>
    <w:rsid w:val="00AB522A"/>
    <w:rsid w:val="00AB6628"/>
    <w:rsid w:val="00AB7CC6"/>
    <w:rsid w:val="00AD6FEF"/>
    <w:rsid w:val="00AE1986"/>
    <w:rsid w:val="00AE20DA"/>
    <w:rsid w:val="00AE56F2"/>
    <w:rsid w:val="00AE5D90"/>
    <w:rsid w:val="00AF30E6"/>
    <w:rsid w:val="00AF4C34"/>
    <w:rsid w:val="00AF6D6C"/>
    <w:rsid w:val="00AF7397"/>
    <w:rsid w:val="00B01389"/>
    <w:rsid w:val="00B1499C"/>
    <w:rsid w:val="00B20C89"/>
    <w:rsid w:val="00B2198A"/>
    <w:rsid w:val="00B21F21"/>
    <w:rsid w:val="00B27390"/>
    <w:rsid w:val="00B46A1E"/>
    <w:rsid w:val="00B645D0"/>
    <w:rsid w:val="00B66C0D"/>
    <w:rsid w:val="00B7496A"/>
    <w:rsid w:val="00B8162C"/>
    <w:rsid w:val="00B83B28"/>
    <w:rsid w:val="00B850FA"/>
    <w:rsid w:val="00B91FB2"/>
    <w:rsid w:val="00B96FD8"/>
    <w:rsid w:val="00BA471D"/>
    <w:rsid w:val="00BB149C"/>
    <w:rsid w:val="00BB3FBD"/>
    <w:rsid w:val="00BB5E2F"/>
    <w:rsid w:val="00BC169C"/>
    <w:rsid w:val="00BC1C01"/>
    <w:rsid w:val="00BC2D0B"/>
    <w:rsid w:val="00BC70FC"/>
    <w:rsid w:val="00BD1764"/>
    <w:rsid w:val="00BF106B"/>
    <w:rsid w:val="00C01898"/>
    <w:rsid w:val="00C053A9"/>
    <w:rsid w:val="00C103C1"/>
    <w:rsid w:val="00C1379D"/>
    <w:rsid w:val="00C13D98"/>
    <w:rsid w:val="00C2680B"/>
    <w:rsid w:val="00C33FB3"/>
    <w:rsid w:val="00C47BDC"/>
    <w:rsid w:val="00C51795"/>
    <w:rsid w:val="00C52F9B"/>
    <w:rsid w:val="00C65351"/>
    <w:rsid w:val="00C6553D"/>
    <w:rsid w:val="00C67099"/>
    <w:rsid w:val="00C721CA"/>
    <w:rsid w:val="00C84A06"/>
    <w:rsid w:val="00C9684E"/>
    <w:rsid w:val="00CB4A8C"/>
    <w:rsid w:val="00CC1842"/>
    <w:rsid w:val="00CD1DA7"/>
    <w:rsid w:val="00CE10D0"/>
    <w:rsid w:val="00CE3032"/>
    <w:rsid w:val="00CF0561"/>
    <w:rsid w:val="00CF2005"/>
    <w:rsid w:val="00CF34FE"/>
    <w:rsid w:val="00CF38C9"/>
    <w:rsid w:val="00D16165"/>
    <w:rsid w:val="00D217D2"/>
    <w:rsid w:val="00D5409F"/>
    <w:rsid w:val="00D555DD"/>
    <w:rsid w:val="00D55B1E"/>
    <w:rsid w:val="00D6183D"/>
    <w:rsid w:val="00D64266"/>
    <w:rsid w:val="00D70C38"/>
    <w:rsid w:val="00D74CE1"/>
    <w:rsid w:val="00D82450"/>
    <w:rsid w:val="00D84983"/>
    <w:rsid w:val="00D85DC2"/>
    <w:rsid w:val="00DB5455"/>
    <w:rsid w:val="00DD580D"/>
    <w:rsid w:val="00DE5B24"/>
    <w:rsid w:val="00DF5282"/>
    <w:rsid w:val="00E039BF"/>
    <w:rsid w:val="00E04351"/>
    <w:rsid w:val="00E07C56"/>
    <w:rsid w:val="00E228C5"/>
    <w:rsid w:val="00E23D4A"/>
    <w:rsid w:val="00E35560"/>
    <w:rsid w:val="00E41CC1"/>
    <w:rsid w:val="00E44911"/>
    <w:rsid w:val="00E56585"/>
    <w:rsid w:val="00E56A77"/>
    <w:rsid w:val="00E6772B"/>
    <w:rsid w:val="00E80BCF"/>
    <w:rsid w:val="00E81556"/>
    <w:rsid w:val="00E84E84"/>
    <w:rsid w:val="00E92C49"/>
    <w:rsid w:val="00E94D7B"/>
    <w:rsid w:val="00EB38A0"/>
    <w:rsid w:val="00EC1C02"/>
    <w:rsid w:val="00EC33D1"/>
    <w:rsid w:val="00ED596B"/>
    <w:rsid w:val="00EE27B4"/>
    <w:rsid w:val="00EE3D3B"/>
    <w:rsid w:val="00F01F5B"/>
    <w:rsid w:val="00F02037"/>
    <w:rsid w:val="00F116C2"/>
    <w:rsid w:val="00F21289"/>
    <w:rsid w:val="00F24F36"/>
    <w:rsid w:val="00F26839"/>
    <w:rsid w:val="00F62E96"/>
    <w:rsid w:val="00F712E3"/>
    <w:rsid w:val="00F754EA"/>
    <w:rsid w:val="00F8599B"/>
    <w:rsid w:val="00F85CEB"/>
    <w:rsid w:val="00F86B30"/>
    <w:rsid w:val="00F96ACD"/>
    <w:rsid w:val="00FA1CFB"/>
    <w:rsid w:val="00FA387F"/>
    <w:rsid w:val="00FA515C"/>
    <w:rsid w:val="00FB561A"/>
    <w:rsid w:val="00FB6FD1"/>
    <w:rsid w:val="00FC1759"/>
    <w:rsid w:val="00FE2FE5"/>
    <w:rsid w:val="00FF1846"/>
    <w:rsid w:val="208E6316"/>
    <w:rsid w:val="25261DC9"/>
    <w:rsid w:val="2EA01283"/>
    <w:rsid w:val="49EE50C8"/>
    <w:rsid w:val="52647A5C"/>
    <w:rsid w:val="5A83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7182D3"/>
  <w15:docId w15:val="{4EA4F89C-0F53-4696-A74E-83EE789E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jc w:val="left"/>
    </w:p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Hyperlink">
    <w:name w:val="Hyperlink"/>
    <w:qFormat/>
    <w:rPr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1"/>
      <w:szCs w:val="21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页眉与页脚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1">
    <w:name w:val="修订1"/>
    <w:hidden/>
    <w:uiPriority w:val="99"/>
    <w:semiHidden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Calibri" w:hAnsi="Calibri" w:cs="Calibri"/>
      <w:color w:val="000000"/>
      <w:kern w:val="2"/>
      <w:sz w:val="18"/>
      <w:szCs w:val="18"/>
      <w:u w:color="00000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Calibri" w:eastAsia="Calibri" w:hAnsi="Calibri" w:cs="Calibri"/>
      <w:color w:val="000000"/>
      <w:kern w:val="2"/>
      <w:sz w:val="21"/>
      <w:szCs w:val="21"/>
      <w:u w:color="000000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rFonts w:ascii="Calibri" w:eastAsia="Calibri" w:hAnsi="Calibri" w:cs="Calibri"/>
      <w:b/>
      <w:bCs/>
      <w:color w:val="000000"/>
      <w:kern w:val="2"/>
      <w:sz w:val="21"/>
      <w:szCs w:val="21"/>
      <w:u w:color="000000"/>
      <w:lang w:eastAsia="en-US"/>
    </w:rPr>
  </w:style>
  <w:style w:type="character" w:customStyle="1" w:styleId="10">
    <w:name w:val="明显强调1"/>
    <w:basedOn w:val="DefaultParagraphFont"/>
    <w:uiPriority w:val="21"/>
    <w:qFormat/>
    <w:rPr>
      <w:i/>
      <w:iCs/>
      <w:color w:val="499BC9" w:themeColor="accent1"/>
    </w:rPr>
  </w:style>
  <w:style w:type="paragraph" w:customStyle="1" w:styleId="A0">
    <w:name w:val="正文 A"/>
    <w:basedOn w:val="Normal"/>
    <w:rPr>
      <w:rFonts w:ascii="DengXian" w:eastAsia="DengXian" w:hAnsi="DengXian" w:cs="SimSun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754E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E2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黑体"/>
        <a:cs typeface="Helvetica"/>
      </a:majorFont>
      <a:minorFont>
        <a:latin typeface="Helvetica"/>
        <a:ea typeface="宋体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A50C967-AC39-47A7-999B-E35A938F89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2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ruixin li</dc:creator>
  <cp:lastModifiedBy>Eleanor Masterman</cp:lastModifiedBy>
  <cp:revision>75</cp:revision>
  <dcterms:created xsi:type="dcterms:W3CDTF">2022-02-25T13:07:00Z</dcterms:created>
  <dcterms:modified xsi:type="dcterms:W3CDTF">2022-05-18T15:52:00Z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6DBECF7DB0B047BEB95C00D6C6F83E7C</vt:lpwstr>
  </property>
</Properties>
</file>