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0A927030" w:rsidR="00654E8F" w:rsidRPr="001549D3" w:rsidRDefault="00EF7CB9" w:rsidP="00EF7CB9">
      <w:pPr>
        <w:pStyle w:val="SupplementaryMaterial"/>
        <w:tabs>
          <w:tab w:val="center" w:pos="4888"/>
        </w:tabs>
        <w:jc w:val="left"/>
        <w:rPr>
          <w:b w:val="0"/>
        </w:rPr>
      </w:pPr>
      <w:r>
        <w:tab/>
      </w:r>
      <w:r w:rsidR="00654E8F" w:rsidRPr="001549D3">
        <w:t>Supplementary Material</w:t>
      </w:r>
    </w:p>
    <w:p w14:paraId="02A35146" w14:textId="0974D3D8" w:rsidR="00EF7CB9" w:rsidRDefault="00EF7CB9" w:rsidP="00EF7CB9">
      <w:pPr>
        <w:pStyle w:val="2"/>
        <w:numPr>
          <w:ilvl w:val="0"/>
          <w:numId w:val="0"/>
        </w:numPr>
        <w:ind w:left="567"/>
        <w:jc w:val="center"/>
      </w:pPr>
      <w:r>
        <w:rPr>
          <w:noProof/>
        </w:rPr>
        <w:drawing>
          <wp:inline distT="0" distB="0" distL="0" distR="0" wp14:anchorId="36097100" wp14:editId="61EFC468">
            <wp:extent cx="3206950" cy="3329353"/>
            <wp:effectExtent l="0" t="0" r="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 P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41" cy="333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48D98" w14:textId="77777777" w:rsidR="00EF7CB9" w:rsidRDefault="00994A3D" w:rsidP="00EF7CB9">
      <w:pPr>
        <w:pStyle w:val="2"/>
        <w:numPr>
          <w:ilvl w:val="0"/>
          <w:numId w:val="0"/>
        </w:numPr>
        <w:jc w:val="both"/>
        <w:rPr>
          <w:b w:val="0"/>
        </w:rPr>
      </w:pPr>
      <w:r w:rsidRPr="0001436A">
        <w:t xml:space="preserve">Supplementary Figure </w:t>
      </w:r>
      <w:fldSimple w:instr=" SEQ Figure \* ARABIC ">
        <w:r w:rsidR="00ED20B5">
          <w:rPr>
            <w:noProof/>
          </w:rPr>
          <w:t>1</w:t>
        </w:r>
      </w:fldSimple>
      <w:r w:rsidRPr="0001436A">
        <w:t>.</w:t>
      </w:r>
      <w:r w:rsidRPr="00EF7CB9">
        <w:rPr>
          <w:b w:val="0"/>
        </w:rPr>
        <w:t xml:space="preserve"> </w:t>
      </w:r>
      <w:r w:rsidR="00EF7CB9" w:rsidRPr="00EF7CB9">
        <w:rPr>
          <w:b w:val="0"/>
        </w:rPr>
        <w:t xml:space="preserve">Surface photosynthetically active radiation (PAR) intensity measured during </w:t>
      </w:r>
      <w:bookmarkStart w:id="0" w:name="_Hlk95138285"/>
      <w:r w:rsidR="00EF7CB9" w:rsidRPr="00EF7CB9">
        <w:rPr>
          <w:b w:val="0"/>
        </w:rPr>
        <w:t>conductivity-temperature-depth (</w:t>
      </w:r>
      <w:bookmarkEnd w:id="0"/>
      <w:r w:rsidR="00EF7CB9" w:rsidRPr="00EF7CB9">
        <w:rPr>
          <w:b w:val="0"/>
        </w:rPr>
        <w:t>CTD) cast in ANA04 and ANA06 in the ASP.</w:t>
      </w:r>
    </w:p>
    <w:p w14:paraId="21BFBA46" w14:textId="7FA18F82" w:rsidR="00EF7CB9" w:rsidRDefault="00EF7CB9">
      <w:pPr>
        <w:spacing w:before="0" w:after="200" w:line="276" w:lineRule="auto"/>
        <w:rPr>
          <w:rFonts w:eastAsia="Cambria" w:cs="Times New Roman"/>
          <w:szCs w:val="24"/>
        </w:rPr>
      </w:pPr>
      <w:r>
        <w:rPr>
          <w:b/>
        </w:rPr>
        <w:br w:type="page"/>
      </w:r>
    </w:p>
    <w:p w14:paraId="73875B80" w14:textId="4C513BFD" w:rsidR="00EF7CB9" w:rsidRDefault="00EF7CB9" w:rsidP="00EF7CB9">
      <w:pPr>
        <w:pStyle w:val="2"/>
        <w:numPr>
          <w:ilvl w:val="0"/>
          <w:numId w:val="0"/>
        </w:numPr>
        <w:ind w:left="567"/>
        <w:jc w:val="center"/>
      </w:pPr>
      <w:r>
        <w:rPr>
          <w:noProof/>
        </w:rPr>
        <w:lastRenderedPageBreak/>
        <w:drawing>
          <wp:inline distT="0" distB="0" distL="0" distR="0" wp14:anchorId="63773D63" wp14:editId="707AEF0E">
            <wp:extent cx="4106173" cy="4142551"/>
            <wp:effectExtent l="0" t="0" r="889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5 spearman correlation ANA04,06 100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612" cy="415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E3B4E" w14:textId="3F81695F" w:rsidR="00EF7CB9" w:rsidRDefault="00EF7CB9" w:rsidP="00EF7CB9">
      <w:pPr>
        <w:pStyle w:val="2"/>
        <w:numPr>
          <w:ilvl w:val="0"/>
          <w:numId w:val="0"/>
        </w:numPr>
        <w:jc w:val="both"/>
        <w:rPr>
          <w:b w:val="0"/>
        </w:rPr>
      </w:pPr>
      <w:r w:rsidRPr="0001436A">
        <w:t xml:space="preserve">Supplementary Figure </w:t>
      </w:r>
      <w:r>
        <w:t>2</w:t>
      </w:r>
      <w:r w:rsidRPr="0001436A">
        <w:t>.</w:t>
      </w:r>
      <w:r w:rsidRPr="00EF7CB9">
        <w:rPr>
          <w:b w:val="0"/>
        </w:rPr>
        <w:t xml:space="preserve"> </w:t>
      </w:r>
      <w:r w:rsidRPr="00EF7CB9">
        <w:rPr>
          <w:rFonts w:hint="eastAsia"/>
          <w:b w:val="0"/>
        </w:rPr>
        <w:t>Spearman</w:t>
      </w:r>
      <w:r w:rsidRPr="00EF7CB9">
        <w:rPr>
          <w:b w:val="0"/>
        </w:rPr>
        <w:t xml:space="preserve">’s rank </w:t>
      </w:r>
      <w:r w:rsidRPr="00EF7CB9">
        <w:rPr>
          <w:rFonts w:hint="eastAsia"/>
          <w:b w:val="0"/>
        </w:rPr>
        <w:t>correlation</w:t>
      </w:r>
      <w:r w:rsidRPr="00EF7CB9">
        <w:rPr>
          <w:b w:val="0"/>
        </w:rPr>
        <w:t xml:space="preserve"> matrix between bacterial parameters and environmental parameters during the ANA04 and ANA06 periods. The colors of the scale bar denote the nature of the correlation (Spearman’s rho) with 1 indicating a perfect positive correlation (dark blue) and -1 indicating a perfect negative correlation (dark red) between parameters. Statistical significance is indicated by circle size, with a larger size indicating a stronger correlation. PAR, </w:t>
      </w:r>
      <w:r w:rsidRPr="00EF7CB9">
        <w:rPr>
          <w:rFonts w:hint="eastAsia"/>
          <w:b w:val="0"/>
        </w:rPr>
        <w:t>photosynthetically active radiation</w:t>
      </w:r>
      <w:r w:rsidRPr="00EF7CB9">
        <w:rPr>
          <w:b w:val="0"/>
        </w:rPr>
        <w:t>; NO</w:t>
      </w:r>
      <w:r w:rsidRPr="00EF7CB9">
        <w:rPr>
          <w:b w:val="0"/>
          <w:vertAlign w:val="subscript"/>
        </w:rPr>
        <w:t>X</w:t>
      </w:r>
      <w:r w:rsidRPr="00EF7CB9">
        <w:rPr>
          <w:b w:val="0"/>
        </w:rPr>
        <w:t>, nitrate + nitrite; PO</w:t>
      </w:r>
      <w:r w:rsidRPr="00EF7CB9">
        <w:rPr>
          <w:b w:val="0"/>
          <w:vertAlign w:val="subscript"/>
        </w:rPr>
        <w:t>4</w:t>
      </w:r>
      <w:r w:rsidRPr="00EF7CB9">
        <w:rPr>
          <w:b w:val="0"/>
          <w:vertAlign w:val="superscript"/>
        </w:rPr>
        <w:t>3-</w:t>
      </w:r>
      <w:r w:rsidRPr="00EF7CB9">
        <w:rPr>
          <w:b w:val="0"/>
        </w:rPr>
        <w:t xml:space="preserve">, phosphate; </w:t>
      </w:r>
      <w:proofErr w:type="gramStart"/>
      <w:r w:rsidRPr="00EF7CB9">
        <w:rPr>
          <w:b w:val="0"/>
        </w:rPr>
        <w:t>Si(</w:t>
      </w:r>
      <w:proofErr w:type="gramEnd"/>
      <w:r w:rsidRPr="00EF7CB9">
        <w:rPr>
          <w:rFonts w:hint="eastAsia"/>
          <w:b w:val="0"/>
        </w:rPr>
        <w:t>O</w:t>
      </w:r>
      <w:r w:rsidRPr="00EF7CB9">
        <w:rPr>
          <w:b w:val="0"/>
        </w:rPr>
        <w:t>H)</w:t>
      </w:r>
      <w:r w:rsidRPr="00EF7CB9">
        <w:rPr>
          <w:b w:val="0"/>
          <w:vertAlign w:val="subscript"/>
        </w:rPr>
        <w:t>4</w:t>
      </w:r>
      <w:r w:rsidRPr="00EF7CB9">
        <w:rPr>
          <w:b w:val="0"/>
        </w:rPr>
        <w:t xml:space="preserve">, silicate; </w:t>
      </w:r>
      <w:proofErr w:type="spellStart"/>
      <w:r w:rsidRPr="00EF7CB9">
        <w:rPr>
          <w:b w:val="0"/>
        </w:rPr>
        <w:t>Chl</w:t>
      </w:r>
      <w:proofErr w:type="spellEnd"/>
      <w:r w:rsidRPr="00EF7CB9">
        <w:rPr>
          <w:b w:val="0"/>
        </w:rPr>
        <w:t xml:space="preserve">-a, chlorophyll-a; DOC, dissolved organic carbon; DON, dissolved organic nitrogen; CDOM, </w:t>
      </w:r>
      <w:proofErr w:type="spellStart"/>
      <w:r w:rsidRPr="00EF7CB9">
        <w:rPr>
          <w:b w:val="0"/>
        </w:rPr>
        <w:t>chromophoric</w:t>
      </w:r>
      <w:proofErr w:type="spellEnd"/>
      <w:r w:rsidRPr="00EF7CB9">
        <w:rPr>
          <w:b w:val="0"/>
        </w:rPr>
        <w:t xml:space="preserve"> dissolved organic matter; BP, bacterial production; BA, bacterial abundance.</w:t>
      </w:r>
    </w:p>
    <w:p w14:paraId="740B60A4" w14:textId="092F8E4C" w:rsidR="00EF7CB9" w:rsidRDefault="00EF7CB9">
      <w:pPr>
        <w:spacing w:before="0" w:after="200" w:line="276" w:lineRule="auto"/>
        <w:rPr>
          <w:rFonts w:eastAsia="Cambria" w:cs="Times New Roman"/>
          <w:szCs w:val="24"/>
        </w:rPr>
      </w:pPr>
      <w:r>
        <w:rPr>
          <w:b/>
        </w:rPr>
        <w:br w:type="page"/>
      </w:r>
    </w:p>
    <w:p w14:paraId="4972A1A8" w14:textId="242472D4" w:rsidR="00EF7CB9" w:rsidRDefault="00EF7CB9" w:rsidP="00EF7CB9">
      <w:pPr>
        <w:pStyle w:val="2"/>
        <w:numPr>
          <w:ilvl w:val="0"/>
          <w:numId w:val="0"/>
        </w:numPr>
        <w:jc w:val="both"/>
        <w:rPr>
          <w:b w:val="0"/>
        </w:rPr>
      </w:pPr>
      <w:r w:rsidRPr="0001436A">
        <w:lastRenderedPageBreak/>
        <w:t xml:space="preserve">Supplementary </w:t>
      </w:r>
      <w:r>
        <w:t>Table</w:t>
      </w:r>
      <w:r w:rsidRPr="0001436A">
        <w:t xml:space="preserve"> </w:t>
      </w:r>
      <w:r w:rsidRPr="0001436A">
        <w:rPr>
          <w:b w:val="0"/>
        </w:rPr>
        <w:fldChar w:fldCharType="begin"/>
      </w:r>
      <w:r w:rsidRPr="0001436A">
        <w:instrText xml:space="preserve"> SEQ Figure \* ARABIC </w:instrText>
      </w:r>
      <w:r w:rsidRPr="0001436A">
        <w:rPr>
          <w:b w:val="0"/>
        </w:rPr>
        <w:fldChar w:fldCharType="separate"/>
      </w:r>
      <w:r>
        <w:rPr>
          <w:noProof/>
        </w:rPr>
        <w:t>1</w:t>
      </w:r>
      <w:r w:rsidRPr="0001436A">
        <w:rPr>
          <w:b w:val="0"/>
        </w:rPr>
        <w:fldChar w:fldCharType="end"/>
      </w:r>
      <w:r w:rsidRPr="0001436A">
        <w:t>.</w:t>
      </w:r>
      <w:r w:rsidRPr="00EF7CB9">
        <w:rPr>
          <w:b w:val="0"/>
        </w:rPr>
        <w:t xml:space="preserve"> Comparison of respiration rate between O</w:t>
      </w:r>
      <w:r w:rsidRPr="00EF7CB9">
        <w:rPr>
          <w:b w:val="0"/>
          <w:vertAlign w:val="subscript"/>
        </w:rPr>
        <w:t>2</w:t>
      </w:r>
      <w:r w:rsidRPr="00EF7CB9">
        <w:rPr>
          <w:b w:val="0"/>
        </w:rPr>
        <w:t>-optode and Winkler titration methods in the Amundsen Sea polynya during ANA06 using paired t-tests. The respiration rates obtained from the two methods were not significantly different (</w:t>
      </w:r>
      <w:r w:rsidRPr="00EF7CB9">
        <w:rPr>
          <w:b w:val="0"/>
          <w:i/>
          <w:iCs/>
        </w:rPr>
        <w:t>p</w:t>
      </w:r>
      <w:r w:rsidRPr="00EF7CB9">
        <w:rPr>
          <w:b w:val="0"/>
        </w:rPr>
        <w:t xml:space="preserve"> = 0.209).</w:t>
      </w:r>
    </w:p>
    <w:tbl>
      <w:tblPr>
        <w:tblStyle w:val="afc"/>
        <w:tblpPr w:leftFromText="142" w:rightFromText="142" w:vertAnchor="page" w:horzAnchor="margin" w:tblpY="227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1215"/>
        <w:gridCol w:w="1367"/>
        <w:gridCol w:w="1367"/>
        <w:gridCol w:w="910"/>
        <w:gridCol w:w="1035"/>
        <w:gridCol w:w="180"/>
        <w:gridCol w:w="670"/>
      </w:tblGrid>
      <w:tr w:rsidR="00EF7CB9" w:rsidRPr="007B14BA" w14:paraId="5C3CBF98" w14:textId="77777777" w:rsidTr="00EF7CB9">
        <w:trPr>
          <w:trHeight w:val="206"/>
        </w:trPr>
        <w:tc>
          <w:tcPr>
            <w:tcW w:w="3037" w:type="dxa"/>
            <w:vMerge w:val="restart"/>
            <w:tcBorders>
              <w:top w:val="single" w:sz="4" w:space="0" w:color="auto"/>
            </w:tcBorders>
            <w:vAlign w:val="center"/>
          </w:tcPr>
          <w:p w14:paraId="7AEC12B4" w14:textId="77777777" w:rsidR="00EF7CB9" w:rsidRPr="007B14BA" w:rsidRDefault="00EF7CB9" w:rsidP="00EF7CB9">
            <w:pPr>
              <w:spacing w:before="0"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Method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</w:tcBorders>
            <w:vAlign w:val="center"/>
          </w:tcPr>
          <w:p w14:paraId="4D9678F4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Difference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14:paraId="20AB0255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t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vAlign w:val="bottom"/>
          </w:tcPr>
          <w:p w14:paraId="5B853A9D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degrees of </w:t>
            </w:r>
            <w:r>
              <w:rPr>
                <w:rFonts w:cs="Times New Roman" w:hint="eastAsia"/>
                <w:sz w:val="22"/>
              </w:rPr>
              <w:t>freedom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bottom"/>
          </w:tcPr>
          <w:p w14:paraId="21267AAB" w14:textId="77777777" w:rsidR="00EF7CB9" w:rsidRPr="0001463B" w:rsidRDefault="00EF7CB9" w:rsidP="00EF7CB9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01463B">
              <w:rPr>
                <w:rFonts w:cs="Times New Roman"/>
                <w:i/>
                <w:sz w:val="22"/>
              </w:rPr>
              <w:t>p</w:t>
            </w:r>
          </w:p>
        </w:tc>
      </w:tr>
      <w:tr w:rsidR="00EF7CB9" w:rsidRPr="007B14BA" w14:paraId="2DC35E46" w14:textId="77777777" w:rsidTr="00EF7CB9">
        <w:trPr>
          <w:trHeight w:val="216"/>
        </w:trPr>
        <w:tc>
          <w:tcPr>
            <w:tcW w:w="3037" w:type="dxa"/>
            <w:vMerge/>
            <w:vAlign w:val="center"/>
          </w:tcPr>
          <w:p w14:paraId="218F2361" w14:textId="77777777" w:rsidR="00EF7CB9" w:rsidRDefault="00EF7CB9" w:rsidP="00EF7CB9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vAlign w:val="center"/>
          </w:tcPr>
          <w:p w14:paraId="0B4D0F11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Mean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 w:hint="eastAsia"/>
                <w:sz w:val="22"/>
              </w:rPr>
              <w:t>(</w:t>
            </w:r>
            <w:r>
              <w:rPr>
                <w:rFonts w:cs="Times New Roman"/>
                <w:sz w:val="22"/>
              </w:rPr>
              <w:sym w:font="Symbol" w:char="F0B1"/>
            </w:r>
            <w:r>
              <w:rPr>
                <w:rFonts w:cs="Times New Roman"/>
                <w:sz w:val="22"/>
              </w:rPr>
              <w:t xml:space="preserve"> 1S.D.)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7B5F3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95% confidence interval</w:t>
            </w:r>
          </w:p>
        </w:tc>
        <w:tc>
          <w:tcPr>
            <w:tcW w:w="910" w:type="dxa"/>
            <w:vMerge w:val="restart"/>
          </w:tcPr>
          <w:p w14:paraId="281BFCA7" w14:textId="77777777" w:rsidR="00EF7CB9" w:rsidRDefault="00EF7CB9" w:rsidP="00EF7CB9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1035" w:type="dxa"/>
            <w:vMerge w:val="restart"/>
          </w:tcPr>
          <w:p w14:paraId="54B8502F" w14:textId="77777777" w:rsidR="00EF7CB9" w:rsidRDefault="00EF7CB9" w:rsidP="00EF7CB9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3DE8F9C9" w14:textId="77777777" w:rsidR="00EF7CB9" w:rsidRDefault="00EF7CB9" w:rsidP="00EF7CB9">
            <w:pPr>
              <w:spacing w:before="0" w:after="0"/>
              <w:rPr>
                <w:rFonts w:cs="Times New Roman"/>
                <w:sz w:val="22"/>
              </w:rPr>
            </w:pPr>
          </w:p>
        </w:tc>
      </w:tr>
      <w:tr w:rsidR="00EF7CB9" w:rsidRPr="007B14BA" w14:paraId="24A8A5B5" w14:textId="77777777" w:rsidTr="00EF7CB9">
        <w:trPr>
          <w:trHeight w:val="216"/>
        </w:trPr>
        <w:tc>
          <w:tcPr>
            <w:tcW w:w="3037" w:type="dxa"/>
            <w:vMerge/>
            <w:tcBorders>
              <w:bottom w:val="single" w:sz="4" w:space="0" w:color="auto"/>
            </w:tcBorders>
            <w:vAlign w:val="center"/>
          </w:tcPr>
          <w:p w14:paraId="3B047D7E" w14:textId="77777777" w:rsidR="00EF7CB9" w:rsidRDefault="00EF7CB9" w:rsidP="00EF7CB9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14:paraId="364F315A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516B9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low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5868F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high</w:t>
            </w: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14:paraId="7467DD22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14:paraId="4F9B629A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14:paraId="17229486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EF7CB9" w14:paraId="48BF4874" w14:textId="77777777" w:rsidTr="00EF7CB9">
        <w:trPr>
          <w:trHeight w:val="93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9E01A" w14:textId="77777777" w:rsidR="00EF7CB9" w:rsidRPr="00A16EDC" w:rsidRDefault="00EF7CB9" w:rsidP="00EF7CB9">
            <w:pPr>
              <w:spacing w:before="0"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</w:t>
            </w:r>
            <w:r w:rsidRPr="0010126D">
              <w:rPr>
                <w:rFonts w:cs="Times New Roman"/>
                <w:sz w:val="22"/>
                <w:vertAlign w:val="subscript"/>
              </w:rPr>
              <w:t>2</w:t>
            </w:r>
            <w:r>
              <w:rPr>
                <w:rFonts w:cs="Times New Roman"/>
                <w:sz w:val="22"/>
              </w:rPr>
              <w:t xml:space="preserve">-optode - </w:t>
            </w:r>
            <w:r>
              <w:rPr>
                <w:rFonts w:cs="Times New Roman" w:hint="eastAsia"/>
                <w:sz w:val="22"/>
              </w:rPr>
              <w:t>Winkler titratio</w:t>
            </w:r>
            <w:r>
              <w:rPr>
                <w:rFonts w:cs="Times New Roman"/>
                <w:sz w:val="22"/>
              </w:rPr>
              <w:t>n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72CFF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0.0339</w:t>
            </w: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 w:hint="eastAsia"/>
                <w:sz w:val="22"/>
              </w:rPr>
              <w:t>(</w:t>
            </w:r>
            <w:r>
              <w:rPr>
                <w:rFonts w:cs="Times New Roman"/>
                <w:sz w:val="22"/>
              </w:rPr>
              <w:t>0.0837)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60DAE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-0.0252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773ED" w14:textId="77777777" w:rsidR="00EF7CB9" w:rsidRPr="00A16EDC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0.902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708EA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1.343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DCD3A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0A34" w14:textId="77777777" w:rsidR="00EF7CB9" w:rsidRDefault="00EF7CB9" w:rsidP="00EF7CB9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0.209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  <w:bookmarkStart w:id="1" w:name="_GoBack"/>
      <w:bookmarkEnd w:id="1"/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8A45" w14:textId="77777777" w:rsidR="00B438C1" w:rsidRDefault="00B438C1" w:rsidP="00117666">
      <w:pPr>
        <w:spacing w:after="0"/>
      </w:pPr>
      <w:r>
        <w:separator/>
      </w:r>
    </w:p>
  </w:endnote>
  <w:endnote w:type="continuationSeparator" w:id="0">
    <w:p w14:paraId="3497885C" w14:textId="77777777" w:rsidR="00B438C1" w:rsidRDefault="00B438C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6F0A" w14:textId="77777777" w:rsidR="00B438C1" w:rsidRDefault="00B438C1" w:rsidP="00117666">
      <w:pPr>
        <w:spacing w:after="0"/>
      </w:pPr>
      <w:r>
        <w:separator/>
      </w:r>
    </w:p>
  </w:footnote>
  <w:footnote w:type="continuationSeparator" w:id="0">
    <w:p w14:paraId="096D9C4F" w14:textId="77777777" w:rsidR="00B438C1" w:rsidRDefault="00B438C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3MDA2MzQ3M7UwtDBX0lEKTi0uzszPAykwrAUAfaX7ly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438C1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F7CB9"/>
    <w:rsid w:val="00F46900"/>
    <w:rsid w:val="00F61D89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FC1188-3E5E-472D-B71A-E7FC2EC4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kopri</cp:lastModifiedBy>
  <cp:revision>2</cp:revision>
  <cp:lastPrinted>2013-10-03T12:51:00Z</cp:lastPrinted>
  <dcterms:created xsi:type="dcterms:W3CDTF">2022-02-08T08:36:00Z</dcterms:created>
  <dcterms:modified xsi:type="dcterms:W3CDTF">2022-02-08T08:36:00Z</dcterms:modified>
</cp:coreProperties>
</file>