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1C0" w:rsidRDefault="008471C0" w:rsidP="008471C0">
      <w:pPr>
        <w:spacing w:line="480" w:lineRule="auto"/>
        <w:rPr>
          <w:rFonts w:asciiTheme="majorBidi" w:hAnsiTheme="majorBidi" w:cstheme="majorBidi"/>
          <w:b/>
          <w:bCs/>
        </w:rPr>
      </w:pPr>
      <w:bookmarkStart w:id="0" w:name="_GoBack"/>
      <w:bookmarkEnd w:id="0"/>
      <w:r>
        <w:rPr>
          <w:rFonts w:asciiTheme="majorBidi" w:hAnsiTheme="majorBidi" w:cstheme="majorBidi"/>
          <w:b/>
          <w:bCs/>
        </w:rPr>
        <w:t xml:space="preserve">Title: Obesity accelerates Leukocyte Telomere length (LTL) shortening in apparently healthy adults: A meta-analysis </w:t>
      </w:r>
    </w:p>
    <w:p w:rsidR="008471C0" w:rsidRDefault="008471C0" w:rsidP="008471C0">
      <w:pPr>
        <w:spacing w:after="0" w:line="360" w:lineRule="auto"/>
        <w:rPr>
          <w:rFonts w:asciiTheme="majorBidi" w:eastAsia="Times New Roman" w:hAnsiTheme="majorBidi" w:cstheme="majorBidi"/>
        </w:rPr>
      </w:pPr>
      <w:r>
        <w:rPr>
          <w:rFonts w:asciiTheme="majorBidi" w:hAnsiTheme="majorBidi" w:cstheme="majorBidi"/>
        </w:rPr>
        <w:t>Authors: SheidaKhosravaniardakani</w:t>
      </w:r>
      <w:r>
        <w:rPr>
          <w:rFonts w:asciiTheme="majorBidi" w:hAnsiTheme="majorBidi" w:cstheme="majorBidi"/>
          <w:vertAlign w:val="superscript"/>
        </w:rPr>
        <w:t>1</w:t>
      </w:r>
      <w:r>
        <w:rPr>
          <w:rFonts w:asciiTheme="majorBidi" w:hAnsiTheme="majorBidi" w:cstheme="majorBidi"/>
        </w:rPr>
        <w:t xml:space="preserve">, </w:t>
      </w:r>
      <w:r>
        <w:rPr>
          <w:rFonts w:asciiTheme="majorBidi" w:eastAsia="Times New Roman" w:hAnsiTheme="majorBidi" w:cstheme="majorBidi"/>
        </w:rPr>
        <w:t>Dmitry OlegovichBokov</w:t>
      </w:r>
      <w:r>
        <w:rPr>
          <w:rFonts w:asciiTheme="majorBidi" w:eastAsia="Times New Roman" w:hAnsiTheme="majorBidi" w:cstheme="majorBidi"/>
          <w:vertAlign w:val="superscript"/>
        </w:rPr>
        <w:t>2, 3</w:t>
      </w:r>
      <w:r>
        <w:rPr>
          <w:rFonts w:asciiTheme="majorBidi" w:eastAsia="Times New Roman" w:hAnsiTheme="majorBidi" w:cstheme="majorBidi"/>
        </w:rPr>
        <w:t>, TriasMahmudiono</w:t>
      </w:r>
      <w:r>
        <w:rPr>
          <w:rFonts w:asciiTheme="majorBidi" w:eastAsia="Times New Roman" w:hAnsiTheme="majorBidi" w:cstheme="majorBidi"/>
          <w:vertAlign w:val="superscript"/>
        </w:rPr>
        <w:t>4</w:t>
      </w:r>
      <w:r>
        <w:rPr>
          <w:rFonts w:asciiTheme="majorBidi" w:eastAsia="Times New Roman" w:hAnsiTheme="majorBidi" w:cstheme="majorBidi"/>
        </w:rPr>
        <w:t>, SeyedehSedighehHashemi</w:t>
      </w:r>
      <w:r>
        <w:rPr>
          <w:rFonts w:asciiTheme="majorBidi" w:eastAsia="Times New Roman" w:hAnsiTheme="majorBidi" w:cstheme="majorBidi"/>
          <w:vertAlign w:val="superscript"/>
        </w:rPr>
        <w:t>5</w:t>
      </w:r>
      <w:r>
        <w:rPr>
          <w:rFonts w:asciiTheme="majorBidi" w:eastAsia="Times New Roman" w:hAnsiTheme="majorBidi" w:cstheme="majorBidi"/>
        </w:rPr>
        <w:t>, NeginNikrad</w:t>
      </w:r>
      <w:r>
        <w:rPr>
          <w:rFonts w:asciiTheme="majorBidi" w:eastAsia="Times New Roman" w:hAnsiTheme="majorBidi" w:cstheme="majorBidi"/>
          <w:vertAlign w:val="superscript"/>
        </w:rPr>
        <w:t>6</w:t>
      </w:r>
      <w:r>
        <w:rPr>
          <w:rFonts w:asciiTheme="majorBidi" w:eastAsia="Times New Roman" w:hAnsiTheme="majorBidi" w:cstheme="majorBidi"/>
        </w:rPr>
        <w:t>, ShadiRabieemotmaen</w:t>
      </w:r>
      <w:r>
        <w:rPr>
          <w:rFonts w:asciiTheme="majorBidi" w:eastAsia="Times New Roman" w:hAnsiTheme="majorBidi" w:cstheme="majorBidi"/>
          <w:vertAlign w:val="superscript"/>
        </w:rPr>
        <w:t>7</w:t>
      </w:r>
      <w:r>
        <w:rPr>
          <w:rFonts w:asciiTheme="majorBidi" w:eastAsia="Times New Roman" w:hAnsiTheme="majorBidi" w:cstheme="majorBidi"/>
        </w:rPr>
        <w:t xml:space="preserve">, </w:t>
      </w:r>
      <w:proofErr w:type="spellStart"/>
      <w:r>
        <w:rPr>
          <w:rFonts w:asciiTheme="majorBidi" w:eastAsia="Times New Roman" w:hAnsiTheme="majorBidi" w:cstheme="majorBidi"/>
        </w:rPr>
        <w:t>MahdiehAbbasalizad-Farhangi</w:t>
      </w:r>
      <w:proofErr w:type="spellEnd"/>
      <w:r>
        <w:rPr>
          <w:rFonts w:asciiTheme="majorBidi" w:eastAsia="Times New Roman" w:hAnsiTheme="majorBidi" w:cstheme="majorBidi"/>
        </w:rPr>
        <w:t xml:space="preserve"> *</w:t>
      </w:r>
      <w:r>
        <w:rPr>
          <w:rFonts w:asciiTheme="majorBidi" w:eastAsia="Times New Roman" w:hAnsiTheme="majorBidi" w:cstheme="majorBidi"/>
          <w:vertAlign w:val="superscript"/>
        </w:rPr>
        <w:t>8</w:t>
      </w:r>
    </w:p>
    <w:p w:rsidR="008471C0" w:rsidRDefault="008471C0" w:rsidP="008471C0">
      <w:pPr>
        <w:spacing w:after="0" w:line="360" w:lineRule="auto"/>
        <w:rPr>
          <w:rFonts w:asciiTheme="majorBidi" w:eastAsia="Times New Roman" w:hAnsiTheme="majorBidi" w:cstheme="majorBidi"/>
        </w:rPr>
      </w:pPr>
    </w:p>
    <w:p w:rsidR="008471C0" w:rsidRDefault="008471C0" w:rsidP="008471C0">
      <w:pPr>
        <w:spacing w:after="0" w:line="360" w:lineRule="auto"/>
        <w:rPr>
          <w:rFonts w:asciiTheme="majorBidi" w:eastAsia="Times New Roman" w:hAnsiTheme="majorBidi" w:cstheme="majorBidi"/>
        </w:rPr>
      </w:pPr>
      <w:r>
        <w:rPr>
          <w:rFonts w:asciiTheme="majorBidi" w:eastAsia="Times New Roman" w:hAnsiTheme="majorBidi" w:cstheme="majorBidi"/>
          <w:vertAlign w:val="superscript"/>
        </w:rPr>
        <w:t>1</w:t>
      </w:r>
      <w:r>
        <w:rPr>
          <w:rFonts w:asciiTheme="majorBidi" w:eastAsia="Times New Roman" w:hAnsiTheme="majorBidi" w:cstheme="majorBidi"/>
        </w:rPr>
        <w:t xml:space="preserve"> Student Research Committee, Shiraz University of Medical Sciences, Shiraz, Iran. </w:t>
      </w:r>
    </w:p>
    <w:p w:rsidR="008471C0" w:rsidRDefault="008471C0" w:rsidP="008471C0">
      <w:pPr>
        <w:spacing w:after="0" w:line="480" w:lineRule="auto"/>
        <w:jc w:val="both"/>
        <w:rPr>
          <w:rFonts w:asciiTheme="majorBidi" w:eastAsia="Calibri" w:hAnsiTheme="majorBidi" w:cstheme="majorBidi"/>
        </w:rPr>
      </w:pPr>
      <w:r>
        <w:rPr>
          <w:rFonts w:asciiTheme="majorBidi" w:eastAsia="Times New Roman" w:hAnsiTheme="majorBidi" w:cstheme="majorBidi"/>
          <w:vertAlign w:val="superscript"/>
        </w:rPr>
        <w:t>2</w:t>
      </w:r>
      <w:r>
        <w:rPr>
          <w:rFonts w:asciiTheme="majorBidi" w:eastAsia="Times New Roman" w:hAnsiTheme="majorBidi" w:cstheme="majorBidi"/>
        </w:rPr>
        <w:t xml:space="preserve"> Institute of Pharmacy, </w:t>
      </w:r>
      <w:proofErr w:type="spellStart"/>
      <w:r>
        <w:rPr>
          <w:rFonts w:asciiTheme="majorBidi" w:eastAsia="Times New Roman" w:hAnsiTheme="majorBidi" w:cstheme="majorBidi"/>
        </w:rPr>
        <w:t>Sechenov</w:t>
      </w:r>
      <w:proofErr w:type="spellEnd"/>
      <w:r>
        <w:rPr>
          <w:rFonts w:asciiTheme="majorBidi" w:eastAsia="Times New Roman" w:hAnsiTheme="majorBidi" w:cstheme="majorBidi"/>
        </w:rPr>
        <w:t xml:space="preserve"> First Moscow State Medical University, 8 </w:t>
      </w:r>
      <w:proofErr w:type="spellStart"/>
      <w:r>
        <w:rPr>
          <w:rFonts w:asciiTheme="majorBidi" w:eastAsia="Times New Roman" w:hAnsiTheme="majorBidi" w:cstheme="majorBidi"/>
        </w:rPr>
        <w:t>Trubetskaya</w:t>
      </w:r>
      <w:proofErr w:type="spellEnd"/>
      <w:r>
        <w:rPr>
          <w:rFonts w:asciiTheme="majorBidi" w:eastAsia="Times New Roman" w:hAnsiTheme="majorBidi" w:cstheme="majorBidi"/>
        </w:rPr>
        <w:t xml:space="preserve"> St., bldg. 2, Moscow, 119991, Russian Federation, Russia </w:t>
      </w:r>
    </w:p>
    <w:p w:rsidR="008471C0" w:rsidRDefault="008471C0" w:rsidP="008471C0">
      <w:pPr>
        <w:spacing w:after="0" w:line="480" w:lineRule="auto"/>
        <w:jc w:val="both"/>
        <w:rPr>
          <w:rFonts w:asciiTheme="majorBidi" w:eastAsia="Times New Roman" w:hAnsiTheme="majorBidi" w:cstheme="majorBidi"/>
        </w:rPr>
      </w:pPr>
      <w:r>
        <w:rPr>
          <w:rFonts w:asciiTheme="majorBidi" w:eastAsia="Times New Roman" w:hAnsiTheme="majorBidi" w:cstheme="majorBidi"/>
          <w:vertAlign w:val="superscript"/>
        </w:rPr>
        <w:t>3</w:t>
      </w:r>
      <w:r>
        <w:rPr>
          <w:rFonts w:asciiTheme="majorBidi" w:eastAsia="Times New Roman" w:hAnsiTheme="majorBidi" w:cstheme="majorBidi"/>
        </w:rPr>
        <w:t xml:space="preserve"> Laboratory of Food Chemistry, Federal Research Center of Nutrition, Biotechnology and Food Safety, 2/14 </w:t>
      </w:r>
      <w:proofErr w:type="spellStart"/>
      <w:r>
        <w:rPr>
          <w:rFonts w:asciiTheme="majorBidi" w:eastAsia="Times New Roman" w:hAnsiTheme="majorBidi" w:cstheme="majorBidi"/>
        </w:rPr>
        <w:t>Ustyinsky</w:t>
      </w:r>
      <w:proofErr w:type="spellEnd"/>
      <w:r>
        <w:rPr>
          <w:rFonts w:asciiTheme="majorBidi" w:eastAsia="Times New Roman" w:hAnsiTheme="majorBidi" w:cstheme="majorBidi"/>
        </w:rPr>
        <w:t xml:space="preserve"> pr., Moscow, 109240, Russian Federation, Russia</w:t>
      </w:r>
    </w:p>
    <w:p w:rsidR="008471C0" w:rsidRPr="00CD34E4" w:rsidRDefault="008471C0" w:rsidP="008471C0">
      <w:pPr>
        <w:spacing w:after="0" w:line="360" w:lineRule="auto"/>
        <w:rPr>
          <w:rFonts w:asciiTheme="majorBidi" w:eastAsia="Times New Roman" w:hAnsiTheme="majorBidi" w:cstheme="majorBidi"/>
        </w:rPr>
      </w:pPr>
      <w:r w:rsidRPr="00CD34E4">
        <w:rPr>
          <w:rFonts w:asciiTheme="majorBidi" w:eastAsia="Times New Roman" w:hAnsiTheme="majorBidi" w:cstheme="majorBidi"/>
          <w:vertAlign w:val="superscript"/>
        </w:rPr>
        <w:t>4</w:t>
      </w:r>
      <w:r w:rsidRPr="00CD34E4">
        <w:rPr>
          <w:rFonts w:asciiTheme="majorBidi" w:eastAsia="Times New Roman" w:hAnsiTheme="majorBidi" w:cstheme="majorBidi"/>
        </w:rPr>
        <w:t xml:space="preserve"> Department of Nutrition, Faculty of Public Health, </w:t>
      </w:r>
      <w:proofErr w:type="spellStart"/>
      <w:r w:rsidRPr="00CD34E4">
        <w:rPr>
          <w:rFonts w:asciiTheme="majorBidi" w:eastAsia="Times New Roman" w:hAnsiTheme="majorBidi" w:cstheme="majorBidi"/>
        </w:rPr>
        <w:t>UniversitasAirlangga</w:t>
      </w:r>
      <w:proofErr w:type="spellEnd"/>
      <w:r w:rsidRPr="00CD34E4">
        <w:rPr>
          <w:rFonts w:asciiTheme="majorBidi" w:eastAsia="Times New Roman" w:hAnsiTheme="majorBidi" w:cstheme="majorBidi"/>
        </w:rPr>
        <w:t xml:space="preserve">, </w:t>
      </w:r>
      <w:r w:rsidR="00CD34E4" w:rsidRPr="00CD34E4">
        <w:rPr>
          <w:rFonts w:asciiTheme="majorBidi" w:hAnsiTheme="majorBidi" w:cstheme="majorBidi"/>
        </w:rPr>
        <w:t xml:space="preserve">Surabaya, </w:t>
      </w:r>
      <w:r w:rsidRPr="00CD34E4">
        <w:rPr>
          <w:rFonts w:asciiTheme="majorBidi" w:eastAsia="Times New Roman" w:hAnsiTheme="majorBidi" w:cstheme="majorBidi"/>
        </w:rPr>
        <w:t xml:space="preserve">Indonesia </w:t>
      </w:r>
    </w:p>
    <w:p w:rsidR="008471C0" w:rsidRDefault="008471C0" w:rsidP="008471C0">
      <w:pPr>
        <w:spacing w:after="0" w:line="360" w:lineRule="auto"/>
        <w:rPr>
          <w:rFonts w:asciiTheme="majorBidi" w:eastAsia="Times New Roman" w:hAnsiTheme="majorBidi" w:cstheme="majorBidi"/>
        </w:rPr>
      </w:pPr>
      <w:r>
        <w:rPr>
          <w:rFonts w:asciiTheme="majorBidi" w:eastAsia="Times New Roman" w:hAnsiTheme="majorBidi" w:cstheme="majorBidi"/>
          <w:vertAlign w:val="superscript"/>
        </w:rPr>
        <w:t xml:space="preserve">5 </w:t>
      </w:r>
      <w:r>
        <w:rPr>
          <w:rFonts w:asciiTheme="majorBidi" w:eastAsia="Times New Roman" w:hAnsiTheme="majorBidi" w:cstheme="majorBidi"/>
        </w:rPr>
        <w:t>Department of Nutrition, School of Health and Nutrition, Bushehr University of Medical Sciences, Bushehr, Iran.</w:t>
      </w:r>
    </w:p>
    <w:p w:rsidR="008471C0" w:rsidRDefault="008471C0" w:rsidP="008471C0">
      <w:pPr>
        <w:spacing w:after="0" w:line="360" w:lineRule="auto"/>
        <w:rPr>
          <w:rFonts w:asciiTheme="majorBidi" w:eastAsia="Times New Roman" w:hAnsiTheme="majorBidi" w:cstheme="majorBidi"/>
        </w:rPr>
      </w:pPr>
      <w:r>
        <w:rPr>
          <w:rFonts w:asciiTheme="majorBidi" w:eastAsia="Times New Roman" w:hAnsiTheme="majorBidi" w:cstheme="majorBidi"/>
          <w:vertAlign w:val="superscript"/>
        </w:rPr>
        <w:t>6</w:t>
      </w:r>
      <w:r>
        <w:rPr>
          <w:rFonts w:asciiTheme="majorBidi" w:eastAsia="Times New Roman" w:hAnsiTheme="majorBidi" w:cstheme="majorBidi"/>
        </w:rPr>
        <w:t xml:space="preserve"> Student Research Committee, Tabriz University of Medical Sciences, Tabriz, Iran. </w:t>
      </w:r>
    </w:p>
    <w:p w:rsidR="008471C0" w:rsidRDefault="008471C0" w:rsidP="008471C0">
      <w:pPr>
        <w:spacing w:after="0" w:line="360" w:lineRule="auto"/>
        <w:rPr>
          <w:rFonts w:asciiTheme="majorBidi" w:eastAsia="Times New Roman" w:hAnsiTheme="majorBidi" w:cstheme="majorBidi"/>
        </w:rPr>
      </w:pPr>
      <w:r>
        <w:rPr>
          <w:rFonts w:asciiTheme="majorBidi" w:eastAsia="Times New Roman" w:hAnsiTheme="majorBidi" w:cstheme="majorBidi"/>
          <w:vertAlign w:val="superscript"/>
        </w:rPr>
        <w:t>7</w:t>
      </w:r>
      <w:r>
        <w:rPr>
          <w:rFonts w:asciiTheme="majorBidi" w:eastAsia="Times New Roman" w:hAnsiTheme="majorBidi" w:cstheme="majorBidi"/>
        </w:rPr>
        <w:t xml:space="preserve"> Department of Biology, East Tehran Branch, Islamic Azad University, Tehran, Iran.</w:t>
      </w:r>
    </w:p>
    <w:p w:rsidR="008471C0" w:rsidRDefault="008471C0" w:rsidP="008471C0">
      <w:pPr>
        <w:spacing w:after="0" w:line="480" w:lineRule="auto"/>
        <w:jc w:val="both"/>
        <w:rPr>
          <w:rFonts w:asciiTheme="majorBidi" w:eastAsia="Calibri" w:hAnsiTheme="majorBidi" w:cstheme="majorBidi"/>
        </w:rPr>
      </w:pPr>
      <w:r>
        <w:rPr>
          <w:rFonts w:asciiTheme="majorBidi" w:eastAsia="Calibri" w:hAnsiTheme="majorBidi" w:cstheme="majorBidi"/>
          <w:vertAlign w:val="superscript"/>
        </w:rPr>
        <w:t>8</w:t>
      </w:r>
      <w:r>
        <w:rPr>
          <w:rFonts w:asciiTheme="majorBidi" w:eastAsia="Calibri" w:hAnsiTheme="majorBidi" w:cstheme="majorBidi"/>
        </w:rPr>
        <w:t xml:space="preserve"> Department of Community Nutrition, Faculty of Nutrition, Tabriz University of Medical Sciences, Tabriz, Iran. </w:t>
      </w:r>
    </w:p>
    <w:p w:rsidR="008471C0" w:rsidRDefault="008471C0" w:rsidP="008471C0">
      <w:pPr>
        <w:spacing w:after="0" w:line="480" w:lineRule="auto"/>
        <w:jc w:val="both"/>
        <w:rPr>
          <w:rFonts w:asciiTheme="majorBidi" w:eastAsia="Calibri" w:hAnsiTheme="majorBidi" w:cstheme="majorBidi"/>
        </w:rPr>
      </w:pPr>
      <w:r>
        <w:rPr>
          <w:rFonts w:asciiTheme="majorBidi" w:eastAsia="Calibri" w:hAnsiTheme="majorBidi" w:cstheme="majorBidi"/>
        </w:rPr>
        <w:t xml:space="preserve">Address of correspondence: Professor </w:t>
      </w:r>
      <w:proofErr w:type="spellStart"/>
      <w:r>
        <w:rPr>
          <w:rFonts w:asciiTheme="majorBidi" w:eastAsia="Calibri" w:hAnsiTheme="majorBidi" w:cstheme="majorBidi"/>
        </w:rPr>
        <w:t>MahdiehAbbasalizad-Farhangi</w:t>
      </w:r>
      <w:proofErr w:type="spellEnd"/>
      <w:r>
        <w:rPr>
          <w:rFonts w:asciiTheme="majorBidi" w:eastAsia="Calibri" w:hAnsiTheme="majorBidi" w:cstheme="majorBidi"/>
        </w:rPr>
        <w:t xml:space="preserve">; Department of Community Nutrition, Faculty of Nutrition, Tabriz University of Medical Sciences, Tabriz, Iran; Email: </w:t>
      </w:r>
      <w:hyperlink r:id="rId6" w:history="1">
        <w:r w:rsidRPr="006E227A">
          <w:rPr>
            <w:rStyle w:val="Hyperlink"/>
            <w:rFonts w:asciiTheme="majorBidi" w:eastAsia="Calibri" w:hAnsiTheme="majorBidi" w:cstheme="majorBidi"/>
          </w:rPr>
          <w:t>abbasalizad_m@yahoo.com</w:t>
        </w:r>
      </w:hyperlink>
      <w:r>
        <w:rPr>
          <w:rFonts w:asciiTheme="majorBidi" w:eastAsia="Calibri" w:hAnsiTheme="majorBidi" w:cstheme="majorBidi"/>
        </w:rPr>
        <w:t xml:space="preserve"> ; </w:t>
      </w:r>
      <w:hyperlink r:id="rId7" w:history="1">
        <w:r w:rsidRPr="006E227A">
          <w:rPr>
            <w:rStyle w:val="Hyperlink"/>
            <w:rFonts w:asciiTheme="majorBidi" w:eastAsia="Calibri" w:hAnsiTheme="majorBidi" w:cstheme="majorBidi"/>
          </w:rPr>
          <w:t>abbasalizadm@tbzmmed.az.ir</w:t>
        </w:r>
      </w:hyperlink>
    </w:p>
    <w:p w:rsidR="00050EDB" w:rsidRPr="006A460C" w:rsidRDefault="00050EDB" w:rsidP="00F94201">
      <w:pPr>
        <w:rPr>
          <w:rFonts w:asciiTheme="majorBidi" w:hAnsiTheme="majorBidi" w:cstheme="majorBidi"/>
        </w:rPr>
      </w:pPr>
    </w:p>
    <w:p w:rsidR="00050EDB" w:rsidRPr="006A460C" w:rsidRDefault="00050EDB" w:rsidP="00F94201">
      <w:pPr>
        <w:rPr>
          <w:rFonts w:asciiTheme="majorBidi" w:hAnsiTheme="majorBidi" w:cstheme="majorBidi"/>
        </w:rPr>
      </w:pPr>
    </w:p>
    <w:p w:rsidR="009C6E19" w:rsidRDefault="009C6E19" w:rsidP="009C6E19">
      <w:pPr>
        <w:rPr>
          <w:rFonts w:asciiTheme="majorBidi" w:hAnsiTheme="majorBidi" w:cstheme="majorBidi"/>
          <w:b/>
          <w:sz w:val="36"/>
          <w:szCs w:val="36"/>
        </w:rPr>
      </w:pPr>
    </w:p>
    <w:p w:rsidR="009C6E19" w:rsidRPr="00A43739" w:rsidRDefault="009C6E19" w:rsidP="009C6E19">
      <w:pPr>
        <w:ind w:left="2160" w:firstLine="720"/>
        <w:rPr>
          <w:rFonts w:asciiTheme="majorBidi" w:hAnsiTheme="majorBidi" w:cstheme="majorBidi"/>
          <w:b/>
          <w:sz w:val="36"/>
          <w:szCs w:val="36"/>
        </w:rPr>
      </w:pPr>
      <w:r w:rsidRPr="00A43739">
        <w:rPr>
          <w:rFonts w:asciiTheme="majorBidi" w:hAnsiTheme="majorBidi" w:cstheme="majorBidi"/>
          <w:b/>
          <w:sz w:val="36"/>
          <w:szCs w:val="36"/>
        </w:rPr>
        <w:t>Supplementary Material</w:t>
      </w:r>
    </w:p>
    <w:p w:rsidR="00050EDB" w:rsidRPr="006A460C" w:rsidRDefault="00050EDB" w:rsidP="00F94201">
      <w:pPr>
        <w:tabs>
          <w:tab w:val="left" w:pos="3315"/>
        </w:tabs>
        <w:rPr>
          <w:rFonts w:asciiTheme="majorBidi" w:hAnsiTheme="majorBidi" w:cstheme="majorBidi"/>
        </w:rPr>
        <w:sectPr w:rsidR="00050EDB" w:rsidRPr="006A460C" w:rsidSect="00F94201">
          <w:pgSz w:w="12240" w:h="15840"/>
          <w:pgMar w:top="1440" w:right="1440" w:bottom="1440" w:left="1440" w:header="720" w:footer="720" w:gutter="0"/>
          <w:cols w:space="720"/>
          <w:docGrid w:linePitch="360"/>
        </w:sectPr>
      </w:pPr>
    </w:p>
    <w:p w:rsidR="00050EDB" w:rsidRPr="006A460C" w:rsidRDefault="00050EDB" w:rsidP="00F94201">
      <w:pPr>
        <w:rPr>
          <w:rFonts w:asciiTheme="majorBidi" w:hAnsiTheme="majorBidi" w:cstheme="majorBidi"/>
          <w:b/>
        </w:rPr>
      </w:pPr>
      <w:r w:rsidRPr="006A460C">
        <w:rPr>
          <w:rFonts w:asciiTheme="majorBidi" w:hAnsiTheme="majorBidi" w:cstheme="majorBidi"/>
          <w:b/>
        </w:rPr>
        <w:lastRenderedPageBreak/>
        <w:t xml:space="preserve">Sup. Table 1.  PRISMA Checklist </w:t>
      </w:r>
      <w:r>
        <w:rPr>
          <w:rFonts w:asciiTheme="majorBidi" w:hAnsiTheme="majorBidi" w:cstheme="majorBidi"/>
          <w:b/>
          <w:noProof/>
        </w:rPr>
        <w:t>[1]</w:t>
      </w:r>
    </w:p>
    <w:tbl>
      <w:tblPr>
        <w:tblStyle w:val="TableGrid"/>
        <w:tblW w:w="15385" w:type="dxa"/>
        <w:jc w:val="center"/>
        <w:tblLayout w:type="fixed"/>
        <w:tblLook w:val="0000"/>
      </w:tblPr>
      <w:tblGrid>
        <w:gridCol w:w="2688"/>
        <w:gridCol w:w="567"/>
        <w:gridCol w:w="18"/>
        <w:gridCol w:w="68"/>
        <w:gridCol w:w="10120"/>
        <w:gridCol w:w="1924"/>
      </w:tblGrid>
      <w:tr w:rsidR="00050EDB" w:rsidRPr="004159BF" w:rsidTr="00F94201">
        <w:trPr>
          <w:trHeight w:val="663"/>
          <w:jc w:val="center"/>
        </w:trPr>
        <w:tc>
          <w:tcPr>
            <w:tcW w:w="2688" w:type="dxa"/>
          </w:tcPr>
          <w:p w:rsidR="00050EDB" w:rsidRPr="004159BF" w:rsidRDefault="00050EDB" w:rsidP="00F94201">
            <w:pPr>
              <w:pStyle w:val="Default"/>
              <w:rPr>
                <w:rFonts w:asciiTheme="majorBidi" w:hAnsiTheme="majorBidi" w:cstheme="majorBidi"/>
                <w:color w:val="auto"/>
                <w:sz w:val="20"/>
                <w:szCs w:val="20"/>
              </w:rPr>
            </w:pPr>
            <w:r w:rsidRPr="004159BF">
              <w:rPr>
                <w:rFonts w:asciiTheme="majorBidi" w:hAnsiTheme="majorBidi" w:cstheme="majorBidi"/>
                <w:b/>
                <w:bCs/>
                <w:color w:val="auto"/>
                <w:sz w:val="20"/>
                <w:szCs w:val="20"/>
              </w:rPr>
              <w:t xml:space="preserve">Section/topic </w:t>
            </w:r>
          </w:p>
        </w:tc>
        <w:tc>
          <w:tcPr>
            <w:tcW w:w="653" w:type="dxa"/>
            <w:gridSpan w:val="3"/>
          </w:tcPr>
          <w:p w:rsidR="00050EDB" w:rsidRPr="004159BF" w:rsidRDefault="00050EDB" w:rsidP="00F94201">
            <w:pPr>
              <w:pStyle w:val="Default"/>
              <w:jc w:val="right"/>
              <w:rPr>
                <w:rFonts w:asciiTheme="majorBidi" w:hAnsiTheme="majorBidi" w:cstheme="majorBidi"/>
                <w:b/>
                <w:bCs/>
                <w:color w:val="auto"/>
                <w:sz w:val="20"/>
                <w:szCs w:val="20"/>
              </w:rPr>
            </w:pPr>
            <w:r w:rsidRPr="004159BF">
              <w:rPr>
                <w:rFonts w:asciiTheme="majorBidi" w:hAnsiTheme="majorBidi" w:cstheme="majorBidi"/>
                <w:b/>
                <w:bCs/>
                <w:color w:val="auto"/>
                <w:sz w:val="20"/>
                <w:szCs w:val="20"/>
              </w:rPr>
              <w:t>#</w:t>
            </w:r>
          </w:p>
        </w:tc>
        <w:tc>
          <w:tcPr>
            <w:tcW w:w="10120" w:type="dxa"/>
          </w:tcPr>
          <w:p w:rsidR="00050EDB" w:rsidRPr="004159BF" w:rsidRDefault="00050EDB" w:rsidP="00F94201">
            <w:pPr>
              <w:pStyle w:val="Default"/>
              <w:rPr>
                <w:rFonts w:asciiTheme="majorBidi" w:hAnsiTheme="majorBidi" w:cstheme="majorBidi"/>
                <w:color w:val="auto"/>
                <w:sz w:val="20"/>
                <w:szCs w:val="20"/>
              </w:rPr>
            </w:pPr>
            <w:r w:rsidRPr="004159BF">
              <w:rPr>
                <w:rFonts w:asciiTheme="majorBidi" w:hAnsiTheme="majorBidi" w:cstheme="majorBidi"/>
                <w:b/>
                <w:bCs/>
                <w:color w:val="auto"/>
                <w:sz w:val="20"/>
                <w:szCs w:val="20"/>
              </w:rPr>
              <w:t xml:space="preserve">Checklist item </w:t>
            </w:r>
          </w:p>
        </w:tc>
        <w:tc>
          <w:tcPr>
            <w:tcW w:w="1924" w:type="dxa"/>
          </w:tcPr>
          <w:p w:rsidR="00050EDB" w:rsidRPr="004159BF" w:rsidRDefault="00050EDB" w:rsidP="00F94201">
            <w:pPr>
              <w:pStyle w:val="Default"/>
              <w:rPr>
                <w:rFonts w:asciiTheme="majorBidi" w:hAnsiTheme="majorBidi" w:cstheme="majorBidi"/>
                <w:color w:val="auto"/>
                <w:sz w:val="20"/>
                <w:szCs w:val="20"/>
              </w:rPr>
            </w:pPr>
            <w:r w:rsidRPr="004159BF">
              <w:rPr>
                <w:rFonts w:asciiTheme="majorBidi" w:hAnsiTheme="majorBidi" w:cstheme="majorBidi"/>
                <w:b/>
                <w:bCs/>
                <w:color w:val="auto"/>
                <w:sz w:val="20"/>
                <w:szCs w:val="20"/>
              </w:rPr>
              <w:t xml:space="preserve">Reported on page # </w:t>
            </w:r>
          </w:p>
        </w:tc>
      </w:tr>
      <w:tr w:rsidR="00050EDB" w:rsidRPr="004159BF" w:rsidTr="00F94201">
        <w:trPr>
          <w:trHeight w:val="335"/>
          <w:jc w:val="center"/>
        </w:trPr>
        <w:tc>
          <w:tcPr>
            <w:tcW w:w="13461" w:type="dxa"/>
            <w:gridSpan w:val="5"/>
          </w:tcPr>
          <w:p w:rsidR="00050EDB" w:rsidRPr="004159BF" w:rsidRDefault="00050EDB" w:rsidP="00F94201">
            <w:pPr>
              <w:pStyle w:val="Default"/>
              <w:rPr>
                <w:rFonts w:asciiTheme="majorBidi" w:hAnsiTheme="majorBidi" w:cstheme="majorBidi"/>
                <w:color w:val="auto"/>
                <w:sz w:val="20"/>
                <w:szCs w:val="20"/>
              </w:rPr>
            </w:pPr>
            <w:r w:rsidRPr="004159BF">
              <w:rPr>
                <w:rFonts w:asciiTheme="majorBidi" w:hAnsiTheme="majorBidi" w:cstheme="majorBidi"/>
                <w:b/>
                <w:bCs/>
                <w:color w:val="auto"/>
                <w:sz w:val="20"/>
                <w:szCs w:val="20"/>
              </w:rPr>
              <w:t xml:space="preserve">TITLE </w:t>
            </w:r>
          </w:p>
        </w:tc>
        <w:tc>
          <w:tcPr>
            <w:tcW w:w="1924" w:type="dxa"/>
          </w:tcPr>
          <w:p w:rsidR="00050EDB" w:rsidRPr="004159BF" w:rsidRDefault="00050EDB" w:rsidP="00F94201">
            <w:pPr>
              <w:pStyle w:val="Default"/>
              <w:jc w:val="right"/>
              <w:rPr>
                <w:rFonts w:asciiTheme="majorBidi" w:hAnsiTheme="majorBidi" w:cstheme="majorBidi"/>
                <w:color w:val="auto"/>
                <w:sz w:val="20"/>
                <w:szCs w:val="20"/>
              </w:rPr>
            </w:pPr>
          </w:p>
        </w:tc>
      </w:tr>
      <w:tr w:rsidR="00050EDB" w:rsidRPr="004159BF" w:rsidTr="00F94201">
        <w:trPr>
          <w:trHeight w:val="323"/>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Title </w:t>
            </w:r>
          </w:p>
        </w:tc>
        <w:tc>
          <w:tcPr>
            <w:tcW w:w="653" w:type="dxa"/>
            <w:gridSpan w:val="3"/>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1</w:t>
            </w:r>
          </w:p>
        </w:tc>
        <w:tc>
          <w:tcPr>
            <w:tcW w:w="10120"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Identify the report as a systematic review, meta-analysis, or both.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Page 1; line 1-3</w:t>
            </w:r>
          </w:p>
        </w:tc>
      </w:tr>
      <w:tr w:rsidR="00050EDB" w:rsidRPr="004159BF" w:rsidTr="00F94201">
        <w:trPr>
          <w:trHeight w:val="335"/>
          <w:jc w:val="center"/>
        </w:trPr>
        <w:tc>
          <w:tcPr>
            <w:tcW w:w="13461" w:type="dxa"/>
            <w:gridSpan w:val="5"/>
          </w:tcPr>
          <w:p w:rsidR="00050EDB" w:rsidRPr="004159BF" w:rsidRDefault="00050EDB" w:rsidP="00F94201">
            <w:pPr>
              <w:pStyle w:val="Default"/>
              <w:rPr>
                <w:rFonts w:asciiTheme="majorBidi" w:hAnsiTheme="majorBidi" w:cstheme="majorBidi"/>
                <w:color w:val="auto"/>
                <w:sz w:val="20"/>
                <w:szCs w:val="20"/>
              </w:rPr>
            </w:pPr>
            <w:r w:rsidRPr="004159BF">
              <w:rPr>
                <w:rFonts w:asciiTheme="majorBidi" w:hAnsiTheme="majorBidi" w:cstheme="majorBidi"/>
                <w:b/>
                <w:bCs/>
                <w:color w:val="auto"/>
                <w:sz w:val="20"/>
                <w:szCs w:val="20"/>
              </w:rPr>
              <w:t xml:space="preserve">ABSTRACT </w:t>
            </w:r>
          </w:p>
        </w:tc>
        <w:tc>
          <w:tcPr>
            <w:tcW w:w="1924" w:type="dxa"/>
          </w:tcPr>
          <w:p w:rsidR="00050EDB" w:rsidRPr="004159BF" w:rsidRDefault="00050EDB" w:rsidP="00F94201">
            <w:pPr>
              <w:pStyle w:val="Default"/>
              <w:jc w:val="right"/>
              <w:rPr>
                <w:rFonts w:asciiTheme="majorBidi" w:hAnsiTheme="majorBidi" w:cstheme="majorBidi"/>
                <w:color w:val="auto"/>
                <w:sz w:val="20"/>
                <w:szCs w:val="20"/>
              </w:rPr>
            </w:pPr>
          </w:p>
        </w:tc>
      </w:tr>
      <w:tr w:rsidR="00050EDB" w:rsidRPr="004159BF" w:rsidTr="00F94201">
        <w:trPr>
          <w:trHeight w:val="810"/>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Structured summary </w:t>
            </w:r>
          </w:p>
        </w:tc>
        <w:tc>
          <w:tcPr>
            <w:tcW w:w="653" w:type="dxa"/>
            <w:gridSpan w:val="3"/>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2</w:t>
            </w:r>
          </w:p>
        </w:tc>
        <w:tc>
          <w:tcPr>
            <w:tcW w:w="10120"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Page 2; lines 1-28</w:t>
            </w:r>
          </w:p>
        </w:tc>
      </w:tr>
      <w:tr w:rsidR="00050EDB" w:rsidRPr="004159BF" w:rsidTr="00F94201">
        <w:trPr>
          <w:trHeight w:val="335"/>
          <w:jc w:val="center"/>
        </w:trPr>
        <w:tc>
          <w:tcPr>
            <w:tcW w:w="13461" w:type="dxa"/>
            <w:gridSpan w:val="5"/>
          </w:tcPr>
          <w:p w:rsidR="00050EDB" w:rsidRPr="004159BF" w:rsidRDefault="00050EDB" w:rsidP="00F94201">
            <w:pPr>
              <w:pStyle w:val="Default"/>
              <w:rPr>
                <w:rFonts w:asciiTheme="majorBidi" w:hAnsiTheme="majorBidi" w:cstheme="majorBidi"/>
                <w:color w:val="auto"/>
                <w:sz w:val="20"/>
                <w:szCs w:val="20"/>
              </w:rPr>
            </w:pPr>
            <w:r w:rsidRPr="004159BF">
              <w:rPr>
                <w:rFonts w:asciiTheme="majorBidi" w:hAnsiTheme="majorBidi" w:cstheme="majorBidi"/>
                <w:b/>
                <w:bCs/>
                <w:color w:val="auto"/>
                <w:sz w:val="20"/>
                <w:szCs w:val="20"/>
              </w:rPr>
              <w:t xml:space="preserve">INTRODUCTION </w:t>
            </w:r>
          </w:p>
        </w:tc>
        <w:tc>
          <w:tcPr>
            <w:tcW w:w="1924" w:type="dxa"/>
          </w:tcPr>
          <w:p w:rsidR="00050EDB" w:rsidRPr="004159BF" w:rsidRDefault="00050EDB" w:rsidP="00F94201">
            <w:pPr>
              <w:pStyle w:val="Default"/>
              <w:jc w:val="right"/>
              <w:rPr>
                <w:rFonts w:asciiTheme="majorBidi" w:hAnsiTheme="majorBidi" w:cstheme="majorBidi"/>
                <w:color w:val="auto"/>
                <w:sz w:val="20"/>
                <w:szCs w:val="20"/>
              </w:rPr>
            </w:pPr>
          </w:p>
        </w:tc>
      </w:tr>
      <w:tr w:rsidR="00050EDB" w:rsidRPr="004159BF" w:rsidTr="00F94201">
        <w:trPr>
          <w:trHeight w:val="333"/>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Rationale </w:t>
            </w:r>
          </w:p>
        </w:tc>
        <w:tc>
          <w:tcPr>
            <w:tcW w:w="653" w:type="dxa"/>
            <w:gridSpan w:val="3"/>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3</w:t>
            </w:r>
          </w:p>
        </w:tc>
        <w:tc>
          <w:tcPr>
            <w:tcW w:w="10120"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Describe the rationale for the review in the context of what is already known.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Page 3</w:t>
            </w:r>
          </w:p>
        </w:tc>
      </w:tr>
      <w:tr w:rsidR="00050EDB" w:rsidRPr="004159BF" w:rsidTr="00F94201">
        <w:trPr>
          <w:trHeight w:val="568"/>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Objectives </w:t>
            </w:r>
          </w:p>
        </w:tc>
        <w:tc>
          <w:tcPr>
            <w:tcW w:w="653" w:type="dxa"/>
            <w:gridSpan w:val="3"/>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4</w:t>
            </w:r>
          </w:p>
        </w:tc>
        <w:tc>
          <w:tcPr>
            <w:tcW w:w="10120"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Provide an explicit statement of questions being addressed with reference to participants, interventions, comparisons, outcomes, and study design (PICOS).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Page 4; lines </w:t>
            </w:r>
            <w:r>
              <w:rPr>
                <w:rFonts w:asciiTheme="majorBidi" w:hAnsiTheme="majorBidi" w:cstheme="majorBidi"/>
                <w:color w:val="auto"/>
                <w:sz w:val="20"/>
                <w:szCs w:val="20"/>
              </w:rPr>
              <w:t>22-24</w:t>
            </w:r>
          </w:p>
        </w:tc>
      </w:tr>
      <w:tr w:rsidR="00050EDB" w:rsidRPr="004159BF" w:rsidTr="00F94201">
        <w:trPr>
          <w:trHeight w:val="335"/>
          <w:jc w:val="center"/>
        </w:trPr>
        <w:tc>
          <w:tcPr>
            <w:tcW w:w="13461" w:type="dxa"/>
            <w:gridSpan w:val="5"/>
          </w:tcPr>
          <w:p w:rsidR="00050EDB" w:rsidRPr="004159BF" w:rsidRDefault="00050EDB" w:rsidP="00F94201">
            <w:pPr>
              <w:pStyle w:val="Default"/>
              <w:rPr>
                <w:rFonts w:asciiTheme="majorBidi" w:hAnsiTheme="majorBidi" w:cstheme="majorBidi"/>
                <w:color w:val="auto"/>
                <w:sz w:val="20"/>
                <w:szCs w:val="20"/>
              </w:rPr>
            </w:pPr>
            <w:r w:rsidRPr="004159BF">
              <w:rPr>
                <w:rFonts w:asciiTheme="majorBidi" w:hAnsiTheme="majorBidi" w:cstheme="majorBidi"/>
                <w:b/>
                <w:bCs/>
                <w:color w:val="auto"/>
                <w:sz w:val="20"/>
                <w:szCs w:val="20"/>
              </w:rPr>
              <w:t xml:space="preserve">METHODS </w:t>
            </w:r>
          </w:p>
        </w:tc>
        <w:tc>
          <w:tcPr>
            <w:tcW w:w="1924" w:type="dxa"/>
          </w:tcPr>
          <w:p w:rsidR="00050EDB" w:rsidRPr="004159BF" w:rsidRDefault="00050EDB" w:rsidP="00F94201">
            <w:pPr>
              <w:pStyle w:val="Default"/>
              <w:jc w:val="right"/>
              <w:rPr>
                <w:rFonts w:asciiTheme="majorBidi" w:hAnsiTheme="majorBidi" w:cstheme="majorBidi"/>
                <w:color w:val="auto"/>
                <w:sz w:val="20"/>
                <w:szCs w:val="20"/>
              </w:rPr>
            </w:pPr>
          </w:p>
        </w:tc>
      </w:tr>
      <w:tr w:rsidR="00050EDB" w:rsidRPr="004159BF" w:rsidTr="00F94201">
        <w:trPr>
          <w:trHeight w:val="578"/>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Protocol and registration </w:t>
            </w:r>
          </w:p>
        </w:tc>
        <w:tc>
          <w:tcPr>
            <w:tcW w:w="567" w:type="dxa"/>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5</w:t>
            </w:r>
          </w:p>
        </w:tc>
        <w:tc>
          <w:tcPr>
            <w:tcW w:w="10206" w:type="dxa"/>
            <w:gridSpan w:val="3"/>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Indicate if a review protocol exists, if and where it can be accessed (e.g., Web address), and, if available, provide registration information including registration number.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Page 4 lines </w:t>
            </w:r>
            <w:r>
              <w:rPr>
                <w:rFonts w:asciiTheme="majorBidi" w:hAnsiTheme="majorBidi" w:cstheme="majorBidi"/>
                <w:color w:val="auto"/>
                <w:sz w:val="20"/>
                <w:szCs w:val="20"/>
              </w:rPr>
              <w:t>1-4</w:t>
            </w:r>
          </w:p>
        </w:tc>
      </w:tr>
      <w:tr w:rsidR="00050EDB" w:rsidRPr="004159BF" w:rsidTr="00F94201">
        <w:trPr>
          <w:trHeight w:val="578"/>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Eligibility criteria </w:t>
            </w:r>
          </w:p>
        </w:tc>
        <w:tc>
          <w:tcPr>
            <w:tcW w:w="567" w:type="dxa"/>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6</w:t>
            </w:r>
          </w:p>
        </w:tc>
        <w:tc>
          <w:tcPr>
            <w:tcW w:w="10206" w:type="dxa"/>
            <w:gridSpan w:val="3"/>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Specify study characteristics (e.g., PICOS, length of follow-up) and report characteristics (e.g., years considered, language, publication status) used as criteria for eligibility, giving rationale.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Page </w:t>
            </w:r>
            <w:r>
              <w:rPr>
                <w:rFonts w:asciiTheme="majorBidi" w:hAnsiTheme="majorBidi" w:cstheme="majorBidi"/>
                <w:color w:val="auto"/>
                <w:sz w:val="20"/>
                <w:szCs w:val="20"/>
              </w:rPr>
              <w:t>4</w:t>
            </w:r>
            <w:r w:rsidRPr="004159BF">
              <w:rPr>
                <w:rFonts w:asciiTheme="majorBidi" w:hAnsiTheme="majorBidi" w:cstheme="majorBidi"/>
                <w:color w:val="auto"/>
                <w:sz w:val="20"/>
                <w:szCs w:val="20"/>
              </w:rPr>
              <w:t xml:space="preserve">; lines </w:t>
            </w:r>
            <w:r>
              <w:rPr>
                <w:rFonts w:asciiTheme="majorBidi" w:hAnsiTheme="majorBidi" w:cstheme="majorBidi"/>
                <w:color w:val="auto"/>
                <w:sz w:val="20"/>
                <w:szCs w:val="20"/>
              </w:rPr>
              <w:t>13-21</w:t>
            </w:r>
          </w:p>
        </w:tc>
      </w:tr>
      <w:tr w:rsidR="00050EDB" w:rsidRPr="004159BF" w:rsidTr="00F94201">
        <w:trPr>
          <w:trHeight w:val="578"/>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Information sources </w:t>
            </w:r>
          </w:p>
        </w:tc>
        <w:tc>
          <w:tcPr>
            <w:tcW w:w="567" w:type="dxa"/>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7</w:t>
            </w:r>
          </w:p>
        </w:tc>
        <w:tc>
          <w:tcPr>
            <w:tcW w:w="10206" w:type="dxa"/>
            <w:gridSpan w:val="3"/>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Describe all information sources (e.g., databases with dates of coverage, contact with study authors to identify additional studies) in the search and date last searched.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Page </w:t>
            </w:r>
            <w:r>
              <w:rPr>
                <w:rFonts w:asciiTheme="majorBidi" w:hAnsiTheme="majorBidi" w:cstheme="majorBidi"/>
                <w:color w:val="auto"/>
                <w:sz w:val="20"/>
                <w:szCs w:val="20"/>
              </w:rPr>
              <w:t>4</w:t>
            </w:r>
            <w:r w:rsidRPr="004159BF">
              <w:rPr>
                <w:rFonts w:asciiTheme="majorBidi" w:hAnsiTheme="majorBidi" w:cstheme="majorBidi"/>
                <w:color w:val="auto"/>
                <w:sz w:val="20"/>
                <w:szCs w:val="20"/>
              </w:rPr>
              <w:t xml:space="preserve">; lines </w:t>
            </w:r>
            <w:r>
              <w:rPr>
                <w:rFonts w:asciiTheme="majorBidi" w:hAnsiTheme="majorBidi" w:cstheme="majorBidi"/>
                <w:color w:val="auto"/>
                <w:sz w:val="20"/>
                <w:szCs w:val="20"/>
              </w:rPr>
              <w:t>13-21</w:t>
            </w:r>
          </w:p>
        </w:tc>
      </w:tr>
      <w:tr w:rsidR="00050EDB" w:rsidRPr="004159BF" w:rsidTr="00F94201">
        <w:trPr>
          <w:trHeight w:val="463"/>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Search </w:t>
            </w:r>
          </w:p>
        </w:tc>
        <w:tc>
          <w:tcPr>
            <w:tcW w:w="567" w:type="dxa"/>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8</w:t>
            </w:r>
          </w:p>
        </w:tc>
        <w:tc>
          <w:tcPr>
            <w:tcW w:w="10206" w:type="dxa"/>
            <w:gridSpan w:val="3"/>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Present full electronic search strategy for at least one database, including any limits used, such that it could be repeated.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Page 4, line 17-28</w:t>
            </w:r>
          </w:p>
        </w:tc>
      </w:tr>
      <w:tr w:rsidR="00050EDB" w:rsidRPr="004159BF" w:rsidTr="00F94201">
        <w:trPr>
          <w:trHeight w:val="578"/>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Study selection </w:t>
            </w:r>
          </w:p>
        </w:tc>
        <w:tc>
          <w:tcPr>
            <w:tcW w:w="567" w:type="dxa"/>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9</w:t>
            </w:r>
          </w:p>
        </w:tc>
        <w:tc>
          <w:tcPr>
            <w:tcW w:w="10206" w:type="dxa"/>
            <w:gridSpan w:val="3"/>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State the process for selecting studies (i.e., screening, eligibility, included in systematic review, and, if applicable, included in the meta-analysis).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Pr>
                <w:rFonts w:asciiTheme="majorBidi" w:hAnsiTheme="majorBidi" w:cstheme="majorBidi"/>
                <w:color w:val="auto"/>
                <w:sz w:val="20"/>
                <w:szCs w:val="20"/>
              </w:rPr>
              <w:t>Supplementary material Table 2</w:t>
            </w:r>
          </w:p>
        </w:tc>
      </w:tr>
      <w:tr w:rsidR="00050EDB" w:rsidRPr="004159BF" w:rsidTr="00F94201">
        <w:trPr>
          <w:trHeight w:val="578"/>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Data collection process </w:t>
            </w:r>
          </w:p>
        </w:tc>
        <w:tc>
          <w:tcPr>
            <w:tcW w:w="567" w:type="dxa"/>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10</w:t>
            </w:r>
          </w:p>
        </w:tc>
        <w:tc>
          <w:tcPr>
            <w:tcW w:w="10206" w:type="dxa"/>
            <w:gridSpan w:val="3"/>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Describe method of data extraction from reports (e.g., piloted forms, independently, in duplicate) and any processes for obtaining and confirming data from investigators.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Page 5; lines </w:t>
            </w:r>
            <w:r>
              <w:rPr>
                <w:rFonts w:asciiTheme="majorBidi" w:hAnsiTheme="majorBidi" w:cstheme="majorBidi"/>
                <w:color w:val="auto"/>
                <w:sz w:val="20"/>
                <w:szCs w:val="20"/>
              </w:rPr>
              <w:t>6</w:t>
            </w:r>
            <w:r w:rsidRPr="004159BF">
              <w:rPr>
                <w:rFonts w:asciiTheme="majorBidi" w:hAnsiTheme="majorBidi" w:cstheme="majorBidi"/>
                <w:color w:val="auto"/>
                <w:sz w:val="20"/>
                <w:szCs w:val="20"/>
              </w:rPr>
              <w:t>-</w:t>
            </w:r>
            <w:r>
              <w:rPr>
                <w:rFonts w:asciiTheme="majorBidi" w:hAnsiTheme="majorBidi" w:cstheme="majorBidi"/>
                <w:color w:val="auto"/>
                <w:sz w:val="20"/>
                <w:szCs w:val="20"/>
              </w:rPr>
              <w:t>15</w:t>
            </w:r>
          </w:p>
          <w:p w:rsidR="00050EDB" w:rsidRPr="004159BF" w:rsidRDefault="00050EDB" w:rsidP="00F94201">
            <w:pPr>
              <w:pStyle w:val="Default"/>
              <w:spacing w:before="40" w:after="40"/>
              <w:rPr>
                <w:rFonts w:asciiTheme="majorBidi" w:hAnsiTheme="majorBidi" w:cstheme="majorBidi"/>
                <w:color w:val="auto"/>
                <w:sz w:val="20"/>
                <w:szCs w:val="20"/>
              </w:rPr>
            </w:pPr>
          </w:p>
        </w:tc>
      </w:tr>
      <w:tr w:rsidR="00050EDB" w:rsidRPr="004159BF" w:rsidTr="00F94201">
        <w:trPr>
          <w:trHeight w:val="578"/>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Data items </w:t>
            </w:r>
          </w:p>
        </w:tc>
        <w:tc>
          <w:tcPr>
            <w:tcW w:w="567" w:type="dxa"/>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11</w:t>
            </w:r>
          </w:p>
        </w:tc>
        <w:tc>
          <w:tcPr>
            <w:tcW w:w="10206" w:type="dxa"/>
            <w:gridSpan w:val="3"/>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List and define all variables for which data were sought (e.g., PICOS, funding sources) and any assumptions and simplifications made.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Page 5; lines </w:t>
            </w:r>
            <w:r>
              <w:rPr>
                <w:rFonts w:asciiTheme="majorBidi" w:hAnsiTheme="majorBidi" w:cstheme="majorBidi"/>
                <w:color w:val="auto"/>
                <w:sz w:val="20"/>
                <w:szCs w:val="20"/>
              </w:rPr>
              <w:t>6</w:t>
            </w:r>
            <w:r w:rsidRPr="004159BF">
              <w:rPr>
                <w:rFonts w:asciiTheme="majorBidi" w:hAnsiTheme="majorBidi" w:cstheme="majorBidi"/>
                <w:color w:val="auto"/>
                <w:sz w:val="20"/>
                <w:szCs w:val="20"/>
              </w:rPr>
              <w:t>-</w:t>
            </w:r>
            <w:r>
              <w:rPr>
                <w:rFonts w:asciiTheme="majorBidi" w:hAnsiTheme="majorBidi" w:cstheme="majorBidi"/>
                <w:color w:val="auto"/>
                <w:sz w:val="20"/>
                <w:szCs w:val="20"/>
              </w:rPr>
              <w:t>15</w:t>
            </w:r>
          </w:p>
          <w:p w:rsidR="00050EDB" w:rsidRPr="004159BF" w:rsidRDefault="00050EDB" w:rsidP="00F94201">
            <w:pPr>
              <w:pStyle w:val="Default"/>
              <w:spacing w:before="40" w:after="40"/>
              <w:rPr>
                <w:rFonts w:asciiTheme="majorBidi" w:hAnsiTheme="majorBidi" w:cstheme="majorBidi"/>
                <w:color w:val="auto"/>
                <w:sz w:val="20"/>
                <w:szCs w:val="20"/>
              </w:rPr>
            </w:pPr>
          </w:p>
        </w:tc>
      </w:tr>
      <w:tr w:rsidR="00050EDB" w:rsidRPr="004159BF" w:rsidTr="00F94201">
        <w:trPr>
          <w:trHeight w:val="578"/>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Risk of bias in individual studies </w:t>
            </w:r>
          </w:p>
        </w:tc>
        <w:tc>
          <w:tcPr>
            <w:tcW w:w="567" w:type="dxa"/>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12</w:t>
            </w:r>
          </w:p>
        </w:tc>
        <w:tc>
          <w:tcPr>
            <w:tcW w:w="10206" w:type="dxa"/>
            <w:gridSpan w:val="3"/>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Describe methods used for assessing risk of bias of individual studies (including specification of whether this was done at the study or outcome level), and how this information is to be used in any data synthesis.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Page 5; lines </w:t>
            </w:r>
            <w:r>
              <w:rPr>
                <w:rFonts w:asciiTheme="majorBidi" w:hAnsiTheme="majorBidi" w:cstheme="majorBidi"/>
                <w:color w:val="auto"/>
                <w:sz w:val="20"/>
                <w:szCs w:val="20"/>
              </w:rPr>
              <w:t>6</w:t>
            </w:r>
            <w:r w:rsidRPr="004159BF">
              <w:rPr>
                <w:rFonts w:asciiTheme="majorBidi" w:hAnsiTheme="majorBidi" w:cstheme="majorBidi"/>
                <w:color w:val="auto"/>
                <w:sz w:val="20"/>
                <w:szCs w:val="20"/>
              </w:rPr>
              <w:t>-</w:t>
            </w:r>
            <w:r>
              <w:rPr>
                <w:rFonts w:asciiTheme="majorBidi" w:hAnsiTheme="majorBidi" w:cstheme="majorBidi"/>
                <w:color w:val="auto"/>
                <w:sz w:val="20"/>
                <w:szCs w:val="20"/>
              </w:rPr>
              <w:t>15</w:t>
            </w:r>
          </w:p>
          <w:p w:rsidR="00050EDB" w:rsidRPr="004159BF" w:rsidRDefault="00050EDB" w:rsidP="00F94201">
            <w:pPr>
              <w:pStyle w:val="Default"/>
              <w:spacing w:before="40" w:after="40"/>
              <w:rPr>
                <w:rFonts w:asciiTheme="majorBidi" w:hAnsiTheme="majorBidi" w:cstheme="majorBidi"/>
                <w:color w:val="auto"/>
                <w:sz w:val="20"/>
                <w:szCs w:val="20"/>
              </w:rPr>
            </w:pPr>
          </w:p>
        </w:tc>
      </w:tr>
      <w:tr w:rsidR="00050EDB" w:rsidRPr="004159BF" w:rsidTr="00F94201">
        <w:trPr>
          <w:trHeight w:val="333"/>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Summary measures </w:t>
            </w:r>
          </w:p>
        </w:tc>
        <w:tc>
          <w:tcPr>
            <w:tcW w:w="567" w:type="dxa"/>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13</w:t>
            </w:r>
          </w:p>
        </w:tc>
        <w:tc>
          <w:tcPr>
            <w:tcW w:w="10206" w:type="dxa"/>
            <w:gridSpan w:val="3"/>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State the principal summary measures (e.g., risk ratio, difference in means).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Page </w:t>
            </w:r>
            <w:r>
              <w:rPr>
                <w:rFonts w:asciiTheme="majorBidi" w:hAnsiTheme="majorBidi" w:cstheme="majorBidi"/>
                <w:color w:val="auto"/>
                <w:sz w:val="20"/>
                <w:szCs w:val="20"/>
              </w:rPr>
              <w:t>5</w:t>
            </w:r>
            <w:r w:rsidRPr="004159BF">
              <w:rPr>
                <w:rFonts w:asciiTheme="majorBidi" w:hAnsiTheme="majorBidi" w:cstheme="majorBidi"/>
                <w:color w:val="auto"/>
                <w:sz w:val="20"/>
                <w:szCs w:val="20"/>
              </w:rPr>
              <w:t xml:space="preserve">; lines </w:t>
            </w:r>
            <w:r>
              <w:rPr>
                <w:rFonts w:asciiTheme="majorBidi" w:hAnsiTheme="majorBidi" w:cstheme="majorBidi"/>
                <w:color w:val="auto"/>
                <w:sz w:val="20"/>
                <w:szCs w:val="20"/>
              </w:rPr>
              <w:t>16-25</w:t>
            </w:r>
          </w:p>
        </w:tc>
      </w:tr>
      <w:tr w:rsidR="00050EDB" w:rsidRPr="004159BF" w:rsidTr="00F94201">
        <w:trPr>
          <w:trHeight w:val="580"/>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lastRenderedPageBreak/>
              <w:t xml:space="preserve">Synthesis of results </w:t>
            </w:r>
          </w:p>
        </w:tc>
        <w:tc>
          <w:tcPr>
            <w:tcW w:w="567" w:type="dxa"/>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14</w:t>
            </w:r>
          </w:p>
        </w:tc>
        <w:tc>
          <w:tcPr>
            <w:tcW w:w="10206" w:type="dxa"/>
            <w:gridSpan w:val="3"/>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Describe the methods of handling data and combining results of studies, if done, including measures of consistency (e.g., I</w:t>
            </w:r>
            <w:r w:rsidRPr="004159BF">
              <w:rPr>
                <w:rFonts w:asciiTheme="majorBidi" w:hAnsiTheme="majorBidi" w:cstheme="majorBidi"/>
                <w:color w:val="auto"/>
                <w:sz w:val="20"/>
                <w:szCs w:val="20"/>
                <w:vertAlign w:val="superscript"/>
              </w:rPr>
              <w:t>2</w:t>
            </w:r>
            <w:r w:rsidRPr="004159BF">
              <w:rPr>
                <w:rFonts w:asciiTheme="majorBidi" w:hAnsiTheme="majorBidi" w:cstheme="majorBidi"/>
                <w:color w:val="auto"/>
                <w:sz w:val="20"/>
                <w:szCs w:val="20"/>
              </w:rPr>
              <w:t xml:space="preserve">) for each meta-analysis.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Page 6; lines </w:t>
            </w:r>
            <w:r>
              <w:rPr>
                <w:rFonts w:asciiTheme="majorBidi" w:hAnsiTheme="majorBidi" w:cstheme="majorBidi"/>
                <w:color w:val="auto"/>
                <w:sz w:val="20"/>
                <w:szCs w:val="20"/>
              </w:rPr>
              <w:t>1-13</w:t>
            </w:r>
          </w:p>
        </w:tc>
      </w:tr>
      <w:tr w:rsidR="00050EDB" w:rsidRPr="004159BF" w:rsidTr="00F94201">
        <w:trPr>
          <w:trHeight w:val="575"/>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Risk of bias across studies </w:t>
            </w:r>
          </w:p>
        </w:tc>
        <w:tc>
          <w:tcPr>
            <w:tcW w:w="585" w:type="dxa"/>
            <w:gridSpan w:val="2"/>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15</w:t>
            </w:r>
          </w:p>
        </w:tc>
        <w:tc>
          <w:tcPr>
            <w:tcW w:w="10188" w:type="dxa"/>
            <w:gridSpan w:val="2"/>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Specify any assessment of risk of bias that may affect the cumulative evidence (e.g., publication bias, selective reporting within studies).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Page 6; lines </w:t>
            </w:r>
            <w:r>
              <w:rPr>
                <w:rFonts w:asciiTheme="majorBidi" w:hAnsiTheme="majorBidi" w:cstheme="majorBidi"/>
                <w:color w:val="auto"/>
                <w:sz w:val="20"/>
                <w:szCs w:val="20"/>
              </w:rPr>
              <w:t>1-13</w:t>
            </w:r>
          </w:p>
        </w:tc>
      </w:tr>
      <w:tr w:rsidR="00050EDB" w:rsidRPr="004159BF" w:rsidTr="00F94201">
        <w:trPr>
          <w:trHeight w:val="568"/>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Additional analyses </w:t>
            </w:r>
          </w:p>
        </w:tc>
        <w:tc>
          <w:tcPr>
            <w:tcW w:w="585" w:type="dxa"/>
            <w:gridSpan w:val="2"/>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16</w:t>
            </w:r>
          </w:p>
        </w:tc>
        <w:tc>
          <w:tcPr>
            <w:tcW w:w="10188" w:type="dxa"/>
            <w:gridSpan w:val="2"/>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Describe methods of additional analyses (e.g., sensitivity or subgroup analyses, meta-regression), if done, indicating which were pre-specified.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Page 6; lines </w:t>
            </w:r>
            <w:r>
              <w:rPr>
                <w:rFonts w:asciiTheme="majorBidi" w:hAnsiTheme="majorBidi" w:cstheme="majorBidi"/>
                <w:color w:val="auto"/>
                <w:sz w:val="20"/>
                <w:szCs w:val="20"/>
              </w:rPr>
              <w:t>1-13</w:t>
            </w:r>
          </w:p>
        </w:tc>
      </w:tr>
      <w:tr w:rsidR="00050EDB" w:rsidRPr="004159BF" w:rsidTr="00F94201">
        <w:trPr>
          <w:trHeight w:val="335"/>
          <w:jc w:val="center"/>
        </w:trPr>
        <w:tc>
          <w:tcPr>
            <w:tcW w:w="13461" w:type="dxa"/>
            <w:gridSpan w:val="5"/>
          </w:tcPr>
          <w:p w:rsidR="00050EDB" w:rsidRPr="004159BF" w:rsidRDefault="00050EDB" w:rsidP="00F94201">
            <w:pPr>
              <w:pStyle w:val="Default"/>
              <w:rPr>
                <w:rFonts w:asciiTheme="majorBidi" w:hAnsiTheme="majorBidi" w:cstheme="majorBidi"/>
                <w:color w:val="auto"/>
                <w:sz w:val="20"/>
                <w:szCs w:val="20"/>
              </w:rPr>
            </w:pPr>
            <w:r w:rsidRPr="004159BF">
              <w:rPr>
                <w:rFonts w:asciiTheme="majorBidi" w:hAnsiTheme="majorBidi" w:cstheme="majorBidi"/>
                <w:b/>
                <w:bCs/>
                <w:color w:val="auto"/>
                <w:sz w:val="20"/>
                <w:szCs w:val="20"/>
              </w:rPr>
              <w:t xml:space="preserve">RESULTS </w:t>
            </w:r>
          </w:p>
        </w:tc>
        <w:tc>
          <w:tcPr>
            <w:tcW w:w="1924" w:type="dxa"/>
          </w:tcPr>
          <w:p w:rsidR="00050EDB" w:rsidRPr="004159BF" w:rsidRDefault="00050EDB" w:rsidP="00F94201">
            <w:pPr>
              <w:pStyle w:val="Default"/>
              <w:jc w:val="center"/>
              <w:rPr>
                <w:rFonts w:asciiTheme="majorBidi" w:hAnsiTheme="majorBidi" w:cstheme="majorBidi"/>
                <w:color w:val="auto"/>
                <w:sz w:val="20"/>
                <w:szCs w:val="20"/>
              </w:rPr>
            </w:pPr>
          </w:p>
        </w:tc>
      </w:tr>
      <w:tr w:rsidR="00050EDB" w:rsidRPr="004159BF" w:rsidTr="00F94201">
        <w:trPr>
          <w:trHeight w:val="578"/>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Study selection </w:t>
            </w:r>
          </w:p>
        </w:tc>
        <w:tc>
          <w:tcPr>
            <w:tcW w:w="585" w:type="dxa"/>
            <w:gridSpan w:val="2"/>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17</w:t>
            </w:r>
          </w:p>
        </w:tc>
        <w:tc>
          <w:tcPr>
            <w:tcW w:w="10188" w:type="dxa"/>
            <w:gridSpan w:val="2"/>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Give numbers of studies screened, assessed for eligibility, and included in the review, with reasons for exclusions at each stage, ideally with a flow diagram. </w:t>
            </w:r>
          </w:p>
        </w:tc>
        <w:tc>
          <w:tcPr>
            <w:tcW w:w="1924" w:type="dxa"/>
          </w:tcPr>
          <w:p w:rsidR="00050EDB"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Page </w:t>
            </w:r>
            <w:r>
              <w:rPr>
                <w:rFonts w:asciiTheme="majorBidi" w:hAnsiTheme="majorBidi" w:cstheme="majorBidi"/>
                <w:color w:val="auto"/>
                <w:sz w:val="20"/>
                <w:szCs w:val="20"/>
              </w:rPr>
              <w:t>6</w:t>
            </w:r>
            <w:r w:rsidRPr="004159BF">
              <w:rPr>
                <w:rFonts w:asciiTheme="majorBidi" w:hAnsiTheme="majorBidi" w:cstheme="majorBidi"/>
                <w:color w:val="auto"/>
                <w:sz w:val="20"/>
                <w:szCs w:val="20"/>
              </w:rPr>
              <w:t xml:space="preserve">,  line </w:t>
            </w:r>
            <w:r>
              <w:rPr>
                <w:rFonts w:asciiTheme="majorBidi" w:hAnsiTheme="majorBidi" w:cstheme="majorBidi"/>
                <w:color w:val="auto"/>
                <w:sz w:val="20"/>
                <w:szCs w:val="20"/>
              </w:rPr>
              <w:t>16-25</w:t>
            </w:r>
          </w:p>
          <w:p w:rsidR="00050EDB" w:rsidRPr="004159BF" w:rsidRDefault="00050EDB" w:rsidP="00F94201">
            <w:pPr>
              <w:pStyle w:val="Default"/>
              <w:spacing w:before="40" w:after="40"/>
              <w:rPr>
                <w:rFonts w:asciiTheme="majorBidi" w:hAnsiTheme="majorBidi" w:cstheme="majorBidi"/>
                <w:color w:val="auto"/>
                <w:sz w:val="20"/>
                <w:szCs w:val="20"/>
              </w:rPr>
            </w:pPr>
            <w:r>
              <w:rPr>
                <w:rFonts w:asciiTheme="majorBidi" w:hAnsiTheme="majorBidi" w:cstheme="majorBidi"/>
                <w:color w:val="auto"/>
                <w:sz w:val="20"/>
                <w:szCs w:val="20"/>
              </w:rPr>
              <w:t>Page 7, line 1-19</w:t>
            </w:r>
          </w:p>
        </w:tc>
      </w:tr>
      <w:tr w:rsidR="00050EDB" w:rsidRPr="004159BF" w:rsidTr="00F94201">
        <w:trPr>
          <w:trHeight w:val="578"/>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Study characteristics </w:t>
            </w:r>
          </w:p>
        </w:tc>
        <w:tc>
          <w:tcPr>
            <w:tcW w:w="585" w:type="dxa"/>
            <w:gridSpan w:val="2"/>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18</w:t>
            </w:r>
          </w:p>
        </w:tc>
        <w:tc>
          <w:tcPr>
            <w:tcW w:w="10188" w:type="dxa"/>
            <w:gridSpan w:val="2"/>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For each study, present characteristics for which data were extracted (e.g., study size, PICOS, follow-up period) and provide the citations. </w:t>
            </w:r>
          </w:p>
        </w:tc>
        <w:tc>
          <w:tcPr>
            <w:tcW w:w="1924" w:type="dxa"/>
          </w:tcPr>
          <w:p w:rsidR="00050EDB"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Page </w:t>
            </w:r>
            <w:r>
              <w:rPr>
                <w:rFonts w:asciiTheme="majorBidi" w:hAnsiTheme="majorBidi" w:cstheme="majorBidi"/>
                <w:color w:val="auto"/>
                <w:sz w:val="20"/>
                <w:szCs w:val="20"/>
              </w:rPr>
              <w:t>6</w:t>
            </w:r>
            <w:r w:rsidRPr="004159BF">
              <w:rPr>
                <w:rFonts w:asciiTheme="majorBidi" w:hAnsiTheme="majorBidi" w:cstheme="majorBidi"/>
                <w:color w:val="auto"/>
                <w:sz w:val="20"/>
                <w:szCs w:val="20"/>
              </w:rPr>
              <w:t xml:space="preserve">,  line </w:t>
            </w:r>
            <w:r>
              <w:rPr>
                <w:rFonts w:asciiTheme="majorBidi" w:hAnsiTheme="majorBidi" w:cstheme="majorBidi"/>
                <w:color w:val="auto"/>
                <w:sz w:val="20"/>
                <w:szCs w:val="20"/>
              </w:rPr>
              <w:t>16-25</w:t>
            </w:r>
          </w:p>
          <w:p w:rsidR="00050EDB" w:rsidRDefault="00050EDB" w:rsidP="00F94201">
            <w:pPr>
              <w:pStyle w:val="Default"/>
              <w:spacing w:before="40" w:after="40"/>
              <w:rPr>
                <w:rFonts w:asciiTheme="majorBidi" w:hAnsiTheme="majorBidi" w:cstheme="majorBidi"/>
                <w:color w:val="auto"/>
                <w:sz w:val="20"/>
                <w:szCs w:val="20"/>
              </w:rPr>
            </w:pPr>
            <w:r>
              <w:rPr>
                <w:rFonts w:asciiTheme="majorBidi" w:hAnsiTheme="majorBidi" w:cstheme="majorBidi"/>
                <w:color w:val="auto"/>
                <w:sz w:val="20"/>
                <w:szCs w:val="20"/>
              </w:rPr>
              <w:t>Page 7, line 1-19</w:t>
            </w:r>
          </w:p>
          <w:p w:rsidR="00050EDB" w:rsidRPr="004159BF" w:rsidRDefault="00050EDB" w:rsidP="00F94201">
            <w:pPr>
              <w:pStyle w:val="Default"/>
              <w:spacing w:before="40" w:after="40"/>
              <w:rPr>
                <w:rFonts w:asciiTheme="majorBidi" w:hAnsiTheme="majorBidi" w:cstheme="majorBidi"/>
                <w:color w:val="auto"/>
                <w:sz w:val="20"/>
                <w:szCs w:val="20"/>
              </w:rPr>
            </w:pPr>
            <w:r>
              <w:rPr>
                <w:rFonts w:asciiTheme="majorBidi" w:hAnsiTheme="majorBidi" w:cstheme="majorBidi"/>
                <w:color w:val="auto"/>
                <w:sz w:val="20"/>
                <w:szCs w:val="20"/>
              </w:rPr>
              <w:t>Table 1, 2</w:t>
            </w:r>
          </w:p>
        </w:tc>
      </w:tr>
      <w:tr w:rsidR="00050EDB" w:rsidRPr="004159BF" w:rsidTr="00F94201">
        <w:trPr>
          <w:trHeight w:val="333"/>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Risk of bias within studies </w:t>
            </w:r>
          </w:p>
        </w:tc>
        <w:tc>
          <w:tcPr>
            <w:tcW w:w="585" w:type="dxa"/>
            <w:gridSpan w:val="2"/>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19</w:t>
            </w:r>
          </w:p>
        </w:tc>
        <w:tc>
          <w:tcPr>
            <w:tcW w:w="10188" w:type="dxa"/>
            <w:gridSpan w:val="2"/>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Present data on risk of bias of each study and, if available, any outcome level assessment (see item 12).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Pr>
                <w:rFonts w:asciiTheme="majorBidi" w:hAnsiTheme="majorBidi" w:cstheme="majorBidi"/>
                <w:color w:val="auto"/>
                <w:sz w:val="20"/>
                <w:szCs w:val="20"/>
              </w:rPr>
              <w:t>Table 3, 4</w:t>
            </w:r>
          </w:p>
        </w:tc>
      </w:tr>
      <w:tr w:rsidR="00050EDB" w:rsidRPr="004159BF" w:rsidTr="00F94201">
        <w:trPr>
          <w:trHeight w:val="578"/>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Results of individual studies </w:t>
            </w:r>
          </w:p>
        </w:tc>
        <w:tc>
          <w:tcPr>
            <w:tcW w:w="585" w:type="dxa"/>
            <w:gridSpan w:val="2"/>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20</w:t>
            </w:r>
          </w:p>
        </w:tc>
        <w:tc>
          <w:tcPr>
            <w:tcW w:w="10188" w:type="dxa"/>
            <w:gridSpan w:val="2"/>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For all outcomes considered (benefits or harms), present, for each study: (a) simple summary data for each intervention group (b) effect estimates and confidence intervals, ideally with a forest plot. </w:t>
            </w:r>
          </w:p>
        </w:tc>
        <w:tc>
          <w:tcPr>
            <w:tcW w:w="1924" w:type="dxa"/>
          </w:tcPr>
          <w:p w:rsidR="00050EDB" w:rsidRDefault="00050EDB" w:rsidP="00F94201">
            <w:pPr>
              <w:pStyle w:val="Default"/>
              <w:spacing w:before="40" w:after="40"/>
              <w:rPr>
                <w:rFonts w:asciiTheme="majorBidi" w:hAnsiTheme="majorBidi" w:cstheme="majorBidi"/>
                <w:color w:val="auto"/>
                <w:sz w:val="20"/>
                <w:szCs w:val="20"/>
              </w:rPr>
            </w:pPr>
            <w:r>
              <w:rPr>
                <w:rFonts w:asciiTheme="majorBidi" w:hAnsiTheme="majorBidi" w:cstheme="majorBidi"/>
                <w:color w:val="auto"/>
                <w:sz w:val="20"/>
                <w:szCs w:val="20"/>
              </w:rPr>
              <w:t xml:space="preserve">Figure 1, Figure 2 </w:t>
            </w:r>
          </w:p>
          <w:p w:rsidR="00050EDB" w:rsidRDefault="00050EDB" w:rsidP="00F94201">
            <w:pPr>
              <w:pStyle w:val="Default"/>
              <w:spacing w:before="40" w:after="40"/>
              <w:rPr>
                <w:rFonts w:asciiTheme="majorBidi" w:hAnsiTheme="majorBidi" w:cstheme="majorBidi"/>
                <w:color w:val="auto"/>
                <w:sz w:val="20"/>
                <w:szCs w:val="20"/>
              </w:rPr>
            </w:pPr>
            <w:r>
              <w:rPr>
                <w:rFonts w:asciiTheme="majorBidi" w:hAnsiTheme="majorBidi" w:cstheme="majorBidi"/>
                <w:color w:val="auto"/>
                <w:sz w:val="20"/>
                <w:szCs w:val="20"/>
              </w:rPr>
              <w:t>Page 7, line 20-26</w:t>
            </w:r>
          </w:p>
          <w:p w:rsidR="00050EDB" w:rsidRPr="004159BF" w:rsidRDefault="00050EDB" w:rsidP="00F94201">
            <w:pPr>
              <w:pStyle w:val="Default"/>
              <w:spacing w:before="40" w:after="40"/>
              <w:rPr>
                <w:rFonts w:asciiTheme="majorBidi" w:hAnsiTheme="majorBidi" w:cstheme="majorBidi"/>
                <w:color w:val="auto"/>
                <w:sz w:val="20"/>
                <w:szCs w:val="20"/>
              </w:rPr>
            </w:pPr>
            <w:r>
              <w:rPr>
                <w:rFonts w:asciiTheme="majorBidi" w:hAnsiTheme="majorBidi" w:cstheme="majorBidi"/>
                <w:color w:val="auto"/>
                <w:sz w:val="20"/>
                <w:szCs w:val="20"/>
              </w:rPr>
              <w:t>Page 8, line 1-10</w:t>
            </w:r>
          </w:p>
        </w:tc>
      </w:tr>
      <w:tr w:rsidR="00050EDB" w:rsidRPr="004159BF" w:rsidTr="00F94201">
        <w:trPr>
          <w:trHeight w:val="335"/>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Synthesis of results </w:t>
            </w:r>
          </w:p>
        </w:tc>
        <w:tc>
          <w:tcPr>
            <w:tcW w:w="585" w:type="dxa"/>
            <w:gridSpan w:val="2"/>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21</w:t>
            </w:r>
          </w:p>
        </w:tc>
        <w:tc>
          <w:tcPr>
            <w:tcW w:w="10188" w:type="dxa"/>
            <w:gridSpan w:val="2"/>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Present results of each meta-analysis done, including confidence intervals and measures of consistency.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Figures 1</w:t>
            </w:r>
            <w:r>
              <w:rPr>
                <w:rFonts w:asciiTheme="majorBidi" w:hAnsiTheme="majorBidi" w:cstheme="majorBidi"/>
                <w:color w:val="auto"/>
                <w:sz w:val="20"/>
                <w:szCs w:val="20"/>
              </w:rPr>
              <w:t>, 2, 3</w:t>
            </w:r>
          </w:p>
        </w:tc>
      </w:tr>
      <w:tr w:rsidR="00050EDB" w:rsidRPr="004159BF" w:rsidTr="00F94201">
        <w:trPr>
          <w:trHeight w:val="333"/>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Risk of bias across studies </w:t>
            </w:r>
          </w:p>
        </w:tc>
        <w:tc>
          <w:tcPr>
            <w:tcW w:w="585" w:type="dxa"/>
            <w:gridSpan w:val="2"/>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22</w:t>
            </w:r>
          </w:p>
        </w:tc>
        <w:tc>
          <w:tcPr>
            <w:tcW w:w="10188" w:type="dxa"/>
            <w:gridSpan w:val="2"/>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Present results of any assessment of risk of bias across studies (see Item 15).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Sup. Figure </w:t>
            </w:r>
            <w:r>
              <w:rPr>
                <w:rFonts w:asciiTheme="majorBidi" w:hAnsiTheme="majorBidi" w:cstheme="majorBidi"/>
                <w:color w:val="auto"/>
                <w:sz w:val="20"/>
                <w:szCs w:val="20"/>
              </w:rPr>
              <w:t>1</w:t>
            </w:r>
          </w:p>
        </w:tc>
      </w:tr>
      <w:tr w:rsidR="00050EDB" w:rsidRPr="004159BF" w:rsidTr="00F94201">
        <w:trPr>
          <w:trHeight w:val="393"/>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Additional analysis </w:t>
            </w:r>
          </w:p>
        </w:tc>
        <w:tc>
          <w:tcPr>
            <w:tcW w:w="585" w:type="dxa"/>
            <w:gridSpan w:val="2"/>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23</w:t>
            </w:r>
          </w:p>
        </w:tc>
        <w:tc>
          <w:tcPr>
            <w:tcW w:w="10188" w:type="dxa"/>
            <w:gridSpan w:val="2"/>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Give results of additional analyses, if done (e.g., sensitivity or subgroup analyses, meta-regression [see Item 16]).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Pr>
                <w:rFonts w:asciiTheme="majorBidi" w:hAnsiTheme="majorBidi" w:cstheme="majorBidi"/>
                <w:color w:val="auto"/>
                <w:sz w:val="20"/>
                <w:szCs w:val="20"/>
              </w:rPr>
              <w:t xml:space="preserve">Table 3, 4 </w:t>
            </w:r>
          </w:p>
        </w:tc>
      </w:tr>
      <w:tr w:rsidR="00050EDB" w:rsidRPr="004159BF" w:rsidTr="00F94201">
        <w:trPr>
          <w:trHeight w:val="335"/>
          <w:jc w:val="center"/>
        </w:trPr>
        <w:tc>
          <w:tcPr>
            <w:tcW w:w="13461" w:type="dxa"/>
            <w:gridSpan w:val="5"/>
          </w:tcPr>
          <w:p w:rsidR="00050EDB" w:rsidRPr="004159BF" w:rsidRDefault="00050EDB" w:rsidP="00F94201">
            <w:pPr>
              <w:pStyle w:val="Default"/>
              <w:rPr>
                <w:rFonts w:asciiTheme="majorBidi" w:hAnsiTheme="majorBidi" w:cstheme="majorBidi"/>
                <w:color w:val="auto"/>
                <w:sz w:val="20"/>
                <w:szCs w:val="20"/>
              </w:rPr>
            </w:pPr>
            <w:r w:rsidRPr="004159BF">
              <w:rPr>
                <w:rFonts w:asciiTheme="majorBidi" w:hAnsiTheme="majorBidi" w:cstheme="majorBidi"/>
                <w:b/>
                <w:bCs/>
                <w:color w:val="auto"/>
                <w:sz w:val="20"/>
                <w:szCs w:val="20"/>
              </w:rPr>
              <w:t xml:space="preserve">DISCUSSION </w:t>
            </w:r>
          </w:p>
        </w:tc>
        <w:tc>
          <w:tcPr>
            <w:tcW w:w="1924" w:type="dxa"/>
          </w:tcPr>
          <w:p w:rsidR="00050EDB" w:rsidRPr="004159BF" w:rsidRDefault="00050EDB" w:rsidP="00F94201">
            <w:pPr>
              <w:pStyle w:val="Default"/>
              <w:jc w:val="center"/>
              <w:rPr>
                <w:rFonts w:asciiTheme="majorBidi" w:hAnsiTheme="majorBidi" w:cstheme="majorBidi"/>
                <w:color w:val="auto"/>
                <w:sz w:val="20"/>
                <w:szCs w:val="20"/>
              </w:rPr>
            </w:pPr>
          </w:p>
        </w:tc>
      </w:tr>
      <w:tr w:rsidR="00050EDB" w:rsidRPr="004159BF" w:rsidTr="00F94201">
        <w:trPr>
          <w:trHeight w:val="578"/>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Summary of evidence </w:t>
            </w:r>
          </w:p>
        </w:tc>
        <w:tc>
          <w:tcPr>
            <w:tcW w:w="585" w:type="dxa"/>
            <w:gridSpan w:val="2"/>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24</w:t>
            </w:r>
          </w:p>
        </w:tc>
        <w:tc>
          <w:tcPr>
            <w:tcW w:w="10188" w:type="dxa"/>
            <w:gridSpan w:val="2"/>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Summarize the main findings including the strength of evidence for each main outcome; consider their relevance to key groups (e.g., healthcare providers, users, and policy makers).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Page </w:t>
            </w:r>
            <w:r>
              <w:rPr>
                <w:rFonts w:asciiTheme="majorBidi" w:hAnsiTheme="majorBidi" w:cstheme="majorBidi"/>
                <w:color w:val="auto"/>
                <w:sz w:val="20"/>
                <w:szCs w:val="20"/>
              </w:rPr>
              <w:t>8</w:t>
            </w:r>
            <w:r w:rsidRPr="004159BF">
              <w:rPr>
                <w:rFonts w:asciiTheme="majorBidi" w:hAnsiTheme="majorBidi" w:cstheme="majorBidi"/>
                <w:color w:val="auto"/>
                <w:sz w:val="20"/>
                <w:szCs w:val="20"/>
              </w:rPr>
              <w:t xml:space="preserve">; lines </w:t>
            </w:r>
            <w:r>
              <w:rPr>
                <w:rFonts w:asciiTheme="majorBidi" w:hAnsiTheme="majorBidi" w:cstheme="majorBidi"/>
                <w:color w:val="auto"/>
                <w:sz w:val="20"/>
                <w:szCs w:val="20"/>
              </w:rPr>
              <w:t>12-26</w:t>
            </w:r>
          </w:p>
        </w:tc>
      </w:tr>
      <w:tr w:rsidR="00050EDB" w:rsidRPr="004159BF" w:rsidTr="00F94201">
        <w:trPr>
          <w:trHeight w:val="578"/>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Limitations </w:t>
            </w:r>
          </w:p>
        </w:tc>
        <w:tc>
          <w:tcPr>
            <w:tcW w:w="585" w:type="dxa"/>
            <w:gridSpan w:val="2"/>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25</w:t>
            </w:r>
          </w:p>
        </w:tc>
        <w:tc>
          <w:tcPr>
            <w:tcW w:w="10188" w:type="dxa"/>
            <w:gridSpan w:val="2"/>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Discuss limitations at study and outcome level (e.g., risk of bias), and at review-level (e.g., incomplete retrieval of identified research, reporting bias). </w:t>
            </w:r>
          </w:p>
        </w:tc>
        <w:tc>
          <w:tcPr>
            <w:tcW w:w="1924" w:type="dxa"/>
          </w:tcPr>
          <w:p w:rsidR="00050EDB"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Page </w:t>
            </w:r>
            <w:r>
              <w:rPr>
                <w:rFonts w:asciiTheme="majorBidi" w:hAnsiTheme="majorBidi" w:cstheme="majorBidi"/>
                <w:color w:val="auto"/>
                <w:sz w:val="20"/>
                <w:szCs w:val="20"/>
              </w:rPr>
              <w:t>9</w:t>
            </w:r>
            <w:r w:rsidRPr="004159BF">
              <w:rPr>
                <w:rFonts w:asciiTheme="majorBidi" w:hAnsiTheme="majorBidi" w:cstheme="majorBidi"/>
                <w:color w:val="auto"/>
                <w:sz w:val="20"/>
                <w:szCs w:val="20"/>
              </w:rPr>
              <w:t xml:space="preserve">; lines </w:t>
            </w:r>
            <w:r>
              <w:rPr>
                <w:rFonts w:asciiTheme="majorBidi" w:hAnsiTheme="majorBidi" w:cstheme="majorBidi"/>
                <w:color w:val="auto"/>
                <w:sz w:val="20"/>
                <w:szCs w:val="20"/>
              </w:rPr>
              <w:t>26</w:t>
            </w:r>
            <w:r w:rsidRPr="004159BF">
              <w:rPr>
                <w:rFonts w:asciiTheme="majorBidi" w:hAnsiTheme="majorBidi" w:cstheme="majorBidi"/>
                <w:color w:val="auto"/>
                <w:sz w:val="20"/>
                <w:szCs w:val="20"/>
              </w:rPr>
              <w:t>.</w:t>
            </w:r>
          </w:p>
          <w:p w:rsidR="00050EDB" w:rsidRPr="004159BF" w:rsidRDefault="00050EDB" w:rsidP="00F94201">
            <w:pPr>
              <w:pStyle w:val="Default"/>
              <w:spacing w:before="40" w:after="40"/>
              <w:rPr>
                <w:rFonts w:asciiTheme="majorBidi" w:hAnsiTheme="majorBidi" w:cstheme="majorBidi"/>
                <w:color w:val="auto"/>
                <w:sz w:val="20"/>
                <w:szCs w:val="20"/>
              </w:rPr>
            </w:pPr>
            <w:r>
              <w:rPr>
                <w:rFonts w:asciiTheme="majorBidi" w:hAnsiTheme="majorBidi" w:cstheme="majorBidi"/>
                <w:color w:val="auto"/>
                <w:sz w:val="20"/>
                <w:szCs w:val="20"/>
              </w:rPr>
              <w:t>Page 10, line 1</w:t>
            </w:r>
          </w:p>
        </w:tc>
      </w:tr>
      <w:tr w:rsidR="00050EDB" w:rsidRPr="004159BF" w:rsidTr="00F94201">
        <w:trPr>
          <w:trHeight w:val="420"/>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Conclusions </w:t>
            </w:r>
          </w:p>
        </w:tc>
        <w:tc>
          <w:tcPr>
            <w:tcW w:w="585" w:type="dxa"/>
            <w:gridSpan w:val="2"/>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26</w:t>
            </w:r>
          </w:p>
        </w:tc>
        <w:tc>
          <w:tcPr>
            <w:tcW w:w="10188" w:type="dxa"/>
            <w:gridSpan w:val="2"/>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Provide a general interpretation of the results in the context of other evidence, and implications for future research. </w:t>
            </w:r>
          </w:p>
        </w:tc>
        <w:tc>
          <w:tcPr>
            <w:tcW w:w="1924" w:type="dxa"/>
          </w:tcPr>
          <w:p w:rsidR="00050EDB"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Page </w:t>
            </w:r>
            <w:r>
              <w:rPr>
                <w:rFonts w:asciiTheme="majorBidi" w:hAnsiTheme="majorBidi" w:cstheme="majorBidi"/>
                <w:color w:val="auto"/>
                <w:sz w:val="20"/>
                <w:szCs w:val="20"/>
              </w:rPr>
              <w:t>9</w:t>
            </w:r>
            <w:r w:rsidRPr="004159BF">
              <w:rPr>
                <w:rFonts w:asciiTheme="majorBidi" w:hAnsiTheme="majorBidi" w:cstheme="majorBidi"/>
                <w:color w:val="auto"/>
                <w:sz w:val="20"/>
                <w:szCs w:val="20"/>
              </w:rPr>
              <w:t xml:space="preserve">, line </w:t>
            </w:r>
            <w:r>
              <w:rPr>
                <w:rFonts w:asciiTheme="majorBidi" w:hAnsiTheme="majorBidi" w:cstheme="majorBidi"/>
                <w:color w:val="auto"/>
                <w:sz w:val="20"/>
                <w:szCs w:val="20"/>
              </w:rPr>
              <w:t>25</w:t>
            </w:r>
            <w:r w:rsidRPr="004159BF">
              <w:rPr>
                <w:rFonts w:asciiTheme="majorBidi" w:hAnsiTheme="majorBidi" w:cstheme="majorBidi"/>
                <w:color w:val="auto"/>
                <w:sz w:val="20"/>
                <w:szCs w:val="20"/>
              </w:rPr>
              <w:t>-26</w:t>
            </w:r>
          </w:p>
          <w:p w:rsidR="00050EDB" w:rsidRPr="004159BF" w:rsidRDefault="00050EDB" w:rsidP="00F94201">
            <w:pPr>
              <w:pStyle w:val="Default"/>
              <w:spacing w:before="40" w:after="40"/>
              <w:rPr>
                <w:rFonts w:asciiTheme="majorBidi" w:hAnsiTheme="majorBidi" w:cstheme="majorBidi"/>
                <w:color w:val="auto"/>
                <w:sz w:val="20"/>
                <w:szCs w:val="20"/>
              </w:rPr>
            </w:pPr>
            <w:r>
              <w:rPr>
                <w:rFonts w:asciiTheme="majorBidi" w:hAnsiTheme="majorBidi" w:cstheme="majorBidi"/>
                <w:color w:val="auto"/>
                <w:sz w:val="20"/>
                <w:szCs w:val="20"/>
              </w:rPr>
              <w:t>Page 10, lines 1-6</w:t>
            </w:r>
          </w:p>
        </w:tc>
      </w:tr>
      <w:tr w:rsidR="00050EDB" w:rsidRPr="004159BF" w:rsidTr="00F94201">
        <w:trPr>
          <w:trHeight w:val="333"/>
          <w:jc w:val="center"/>
        </w:trPr>
        <w:tc>
          <w:tcPr>
            <w:tcW w:w="13461" w:type="dxa"/>
            <w:gridSpan w:val="5"/>
          </w:tcPr>
          <w:p w:rsidR="00050EDB" w:rsidRPr="004159BF" w:rsidRDefault="00050EDB" w:rsidP="00F94201">
            <w:pPr>
              <w:pStyle w:val="Default"/>
              <w:rPr>
                <w:rFonts w:asciiTheme="majorBidi" w:hAnsiTheme="majorBidi" w:cstheme="majorBidi"/>
                <w:color w:val="auto"/>
                <w:sz w:val="20"/>
                <w:szCs w:val="20"/>
              </w:rPr>
            </w:pPr>
            <w:r w:rsidRPr="004159BF">
              <w:rPr>
                <w:rFonts w:asciiTheme="majorBidi" w:hAnsiTheme="majorBidi" w:cstheme="majorBidi"/>
                <w:b/>
                <w:bCs/>
                <w:color w:val="auto"/>
                <w:sz w:val="20"/>
                <w:szCs w:val="20"/>
              </w:rPr>
              <w:t xml:space="preserve">FUNDING </w:t>
            </w:r>
          </w:p>
        </w:tc>
        <w:tc>
          <w:tcPr>
            <w:tcW w:w="1924" w:type="dxa"/>
          </w:tcPr>
          <w:p w:rsidR="00050EDB" w:rsidRPr="004159BF" w:rsidRDefault="00050EDB" w:rsidP="00F94201">
            <w:pPr>
              <w:pStyle w:val="Default"/>
              <w:jc w:val="center"/>
              <w:rPr>
                <w:rFonts w:asciiTheme="majorBidi" w:hAnsiTheme="majorBidi" w:cstheme="majorBidi"/>
                <w:color w:val="auto"/>
                <w:sz w:val="20"/>
                <w:szCs w:val="20"/>
              </w:rPr>
            </w:pPr>
          </w:p>
        </w:tc>
      </w:tr>
      <w:tr w:rsidR="00050EDB" w:rsidRPr="004159BF" w:rsidTr="00F94201">
        <w:trPr>
          <w:trHeight w:val="570"/>
          <w:jc w:val="center"/>
        </w:trPr>
        <w:tc>
          <w:tcPr>
            <w:tcW w:w="2688"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Funding </w:t>
            </w:r>
          </w:p>
        </w:tc>
        <w:tc>
          <w:tcPr>
            <w:tcW w:w="585" w:type="dxa"/>
            <w:gridSpan w:val="2"/>
          </w:tcPr>
          <w:p w:rsidR="00050EDB" w:rsidRPr="004159BF" w:rsidRDefault="00050EDB" w:rsidP="00F94201">
            <w:pPr>
              <w:pStyle w:val="Default"/>
              <w:spacing w:before="40" w:after="40"/>
              <w:jc w:val="right"/>
              <w:rPr>
                <w:rFonts w:asciiTheme="majorBidi" w:hAnsiTheme="majorBidi" w:cstheme="majorBidi"/>
                <w:color w:val="auto"/>
                <w:sz w:val="20"/>
                <w:szCs w:val="20"/>
              </w:rPr>
            </w:pPr>
            <w:r w:rsidRPr="004159BF">
              <w:rPr>
                <w:rFonts w:asciiTheme="majorBidi" w:hAnsiTheme="majorBidi" w:cstheme="majorBidi"/>
                <w:color w:val="auto"/>
                <w:sz w:val="20"/>
                <w:szCs w:val="20"/>
              </w:rPr>
              <w:t>27</w:t>
            </w:r>
          </w:p>
        </w:tc>
        <w:tc>
          <w:tcPr>
            <w:tcW w:w="10188" w:type="dxa"/>
            <w:gridSpan w:val="2"/>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Describe sources of funding for the systematic review and other support (e.g., supply of data); role of funders for the systematic review. </w:t>
            </w:r>
          </w:p>
        </w:tc>
        <w:tc>
          <w:tcPr>
            <w:tcW w:w="1924" w:type="dxa"/>
          </w:tcPr>
          <w:p w:rsidR="00050EDB" w:rsidRPr="004159BF" w:rsidRDefault="00050EDB" w:rsidP="00F94201">
            <w:pPr>
              <w:pStyle w:val="Default"/>
              <w:spacing w:before="40" w:after="40"/>
              <w:rPr>
                <w:rFonts w:asciiTheme="majorBidi" w:hAnsiTheme="majorBidi" w:cstheme="majorBidi"/>
                <w:color w:val="auto"/>
                <w:sz w:val="20"/>
                <w:szCs w:val="20"/>
              </w:rPr>
            </w:pPr>
            <w:r w:rsidRPr="004159BF">
              <w:rPr>
                <w:rFonts w:asciiTheme="majorBidi" w:hAnsiTheme="majorBidi" w:cstheme="majorBidi"/>
                <w:color w:val="auto"/>
                <w:sz w:val="20"/>
                <w:szCs w:val="20"/>
              </w:rPr>
              <w:t xml:space="preserve">Page </w:t>
            </w:r>
            <w:r>
              <w:rPr>
                <w:rFonts w:asciiTheme="majorBidi" w:hAnsiTheme="majorBidi" w:cstheme="majorBidi"/>
                <w:color w:val="auto"/>
                <w:sz w:val="20"/>
                <w:szCs w:val="20"/>
              </w:rPr>
              <w:t>10</w:t>
            </w:r>
            <w:r w:rsidRPr="004159BF">
              <w:rPr>
                <w:rFonts w:asciiTheme="majorBidi" w:hAnsiTheme="majorBidi" w:cstheme="majorBidi"/>
                <w:color w:val="auto"/>
                <w:sz w:val="20"/>
                <w:szCs w:val="20"/>
              </w:rPr>
              <w:t xml:space="preserve">; line </w:t>
            </w:r>
            <w:r>
              <w:rPr>
                <w:rFonts w:asciiTheme="majorBidi" w:hAnsiTheme="majorBidi" w:cstheme="majorBidi"/>
                <w:color w:val="auto"/>
                <w:sz w:val="20"/>
                <w:szCs w:val="20"/>
              </w:rPr>
              <w:t>6</w:t>
            </w:r>
          </w:p>
        </w:tc>
      </w:tr>
    </w:tbl>
    <w:p w:rsidR="00050EDB" w:rsidRPr="006A460C" w:rsidRDefault="00050EDB" w:rsidP="00F94201">
      <w:pPr>
        <w:tabs>
          <w:tab w:val="left" w:pos="3315"/>
        </w:tabs>
        <w:rPr>
          <w:rFonts w:asciiTheme="majorBidi" w:hAnsiTheme="majorBidi" w:cstheme="majorBidi"/>
        </w:rPr>
      </w:pPr>
    </w:p>
    <w:p w:rsidR="00050EDB" w:rsidRPr="006A460C" w:rsidRDefault="00050EDB" w:rsidP="00F94201">
      <w:pPr>
        <w:tabs>
          <w:tab w:val="left" w:pos="3315"/>
        </w:tabs>
        <w:rPr>
          <w:rFonts w:asciiTheme="majorBidi" w:hAnsiTheme="majorBidi" w:cstheme="majorBidi"/>
        </w:rPr>
        <w:sectPr w:rsidR="00050EDB" w:rsidRPr="006A460C" w:rsidSect="00F94201">
          <w:pgSz w:w="15840" w:h="12240" w:orient="landscape"/>
          <w:pgMar w:top="993" w:right="1440" w:bottom="1440" w:left="1440" w:header="720" w:footer="720" w:gutter="0"/>
          <w:cols w:space="720"/>
          <w:docGrid w:linePitch="360"/>
        </w:sectPr>
      </w:pPr>
    </w:p>
    <w:p w:rsidR="00050EDB" w:rsidRPr="00E47539" w:rsidRDefault="00050EDB" w:rsidP="00F94201">
      <w:pPr>
        <w:tabs>
          <w:tab w:val="left" w:pos="3315"/>
        </w:tabs>
        <w:rPr>
          <w:rFonts w:asciiTheme="majorBidi" w:hAnsiTheme="majorBidi" w:cstheme="majorBidi"/>
        </w:rPr>
      </w:pPr>
      <w:r w:rsidRPr="00E47539">
        <w:rPr>
          <w:rFonts w:asciiTheme="majorBidi" w:hAnsiTheme="majorBidi" w:cstheme="majorBidi"/>
          <w:b/>
          <w:bCs/>
        </w:rPr>
        <w:lastRenderedPageBreak/>
        <w:t>Sup. Table 2</w:t>
      </w:r>
      <w:r w:rsidRPr="00E47539">
        <w:rPr>
          <w:rFonts w:asciiTheme="majorBidi" w:hAnsiTheme="majorBidi" w:cstheme="majorBidi"/>
        </w:rPr>
        <w:t>. Search strategies and the number of records according to different electronic database</w:t>
      </w:r>
    </w:p>
    <w:tbl>
      <w:tblPr>
        <w:tblStyle w:val="TableGrid"/>
        <w:tblpPr w:leftFromText="180" w:rightFromText="180" w:vertAnchor="page" w:horzAnchor="margin" w:tblpXSpec="center" w:tblpY="1771"/>
        <w:tblW w:w="11420" w:type="dxa"/>
        <w:tblLook w:val="04A0"/>
      </w:tblPr>
      <w:tblGrid>
        <w:gridCol w:w="9158"/>
        <w:gridCol w:w="1131"/>
        <w:gridCol w:w="1131"/>
      </w:tblGrid>
      <w:tr w:rsidR="00050EDB" w:rsidRPr="00E8118B" w:rsidTr="00F94201">
        <w:trPr>
          <w:trHeight w:val="622"/>
        </w:trPr>
        <w:tc>
          <w:tcPr>
            <w:tcW w:w="9158" w:type="dxa"/>
          </w:tcPr>
          <w:p w:rsidR="00050EDB" w:rsidRPr="00E8118B" w:rsidRDefault="00050EDB" w:rsidP="00F94201">
            <w:pPr>
              <w:jc w:val="both"/>
              <w:rPr>
                <w:rFonts w:asciiTheme="majorBidi" w:hAnsiTheme="majorBidi" w:cstheme="majorBidi"/>
                <w:b/>
                <w:bCs/>
                <w:sz w:val="18"/>
                <w:szCs w:val="18"/>
              </w:rPr>
            </w:pPr>
            <w:r w:rsidRPr="00E8118B">
              <w:rPr>
                <w:rFonts w:asciiTheme="majorBidi" w:hAnsiTheme="majorBidi" w:cstheme="majorBidi"/>
                <w:b/>
                <w:bCs/>
                <w:sz w:val="18"/>
                <w:szCs w:val="18"/>
              </w:rPr>
              <w:t>Search strategy</w:t>
            </w:r>
          </w:p>
        </w:tc>
        <w:tc>
          <w:tcPr>
            <w:tcW w:w="1131" w:type="dxa"/>
          </w:tcPr>
          <w:p w:rsidR="00050EDB" w:rsidRPr="00E8118B" w:rsidRDefault="00050EDB" w:rsidP="00F94201">
            <w:pPr>
              <w:jc w:val="both"/>
              <w:rPr>
                <w:rFonts w:asciiTheme="majorBidi" w:hAnsiTheme="majorBidi" w:cstheme="majorBidi"/>
                <w:b/>
                <w:bCs/>
                <w:sz w:val="18"/>
                <w:szCs w:val="18"/>
              </w:rPr>
            </w:pPr>
            <w:r w:rsidRPr="00E8118B">
              <w:rPr>
                <w:rFonts w:asciiTheme="majorBidi" w:hAnsiTheme="majorBidi" w:cstheme="majorBidi"/>
                <w:b/>
                <w:bCs/>
                <w:sz w:val="18"/>
                <w:szCs w:val="18"/>
              </w:rPr>
              <w:t>Database</w:t>
            </w:r>
          </w:p>
        </w:tc>
        <w:tc>
          <w:tcPr>
            <w:tcW w:w="1131" w:type="dxa"/>
          </w:tcPr>
          <w:p w:rsidR="00050EDB" w:rsidRPr="00E8118B" w:rsidRDefault="00050EDB" w:rsidP="00F94201">
            <w:pPr>
              <w:jc w:val="both"/>
              <w:rPr>
                <w:rFonts w:asciiTheme="majorBidi" w:hAnsiTheme="majorBidi" w:cstheme="majorBidi"/>
                <w:b/>
                <w:bCs/>
                <w:sz w:val="18"/>
                <w:szCs w:val="18"/>
              </w:rPr>
            </w:pPr>
            <w:r w:rsidRPr="00E8118B">
              <w:rPr>
                <w:rFonts w:asciiTheme="majorBidi" w:hAnsiTheme="majorBidi" w:cstheme="majorBidi"/>
                <w:b/>
                <w:bCs/>
                <w:sz w:val="18"/>
                <w:szCs w:val="18"/>
              </w:rPr>
              <w:t>Num. of records</w:t>
            </w:r>
          </w:p>
        </w:tc>
      </w:tr>
      <w:tr w:rsidR="00050EDB" w:rsidRPr="00E8118B" w:rsidTr="00F94201">
        <w:trPr>
          <w:trHeight w:val="358"/>
        </w:trPr>
        <w:tc>
          <w:tcPr>
            <w:tcW w:w="9158" w:type="dxa"/>
            <w:vMerge w:val="restart"/>
          </w:tcPr>
          <w:p w:rsidR="00050EDB" w:rsidRPr="004E2800" w:rsidRDefault="00050EDB" w:rsidP="00F94201">
            <w:pPr>
              <w:spacing w:line="360" w:lineRule="auto"/>
              <w:jc w:val="both"/>
              <w:rPr>
                <w:rFonts w:asciiTheme="majorBidi" w:hAnsiTheme="majorBidi" w:cstheme="majorBidi"/>
                <w:sz w:val="20"/>
                <w:szCs w:val="20"/>
              </w:rPr>
            </w:pPr>
            <w:r w:rsidRPr="004E2800">
              <w:rPr>
                <w:rFonts w:asciiTheme="majorBidi" w:hAnsiTheme="majorBidi" w:cstheme="majorBidi"/>
                <w:sz w:val="20"/>
                <w:szCs w:val="20"/>
              </w:rPr>
              <w:t>((telomerase [Title/Abstract]) OR (telomerase[</w:t>
            </w:r>
            <w:proofErr w:type="spellStart"/>
            <w:r w:rsidRPr="004E2800">
              <w:rPr>
                <w:rFonts w:asciiTheme="majorBidi" w:hAnsiTheme="majorBidi" w:cstheme="majorBidi"/>
                <w:sz w:val="20"/>
                <w:szCs w:val="20"/>
              </w:rPr>
              <w:t>MeSH</w:t>
            </w:r>
            <w:proofErr w:type="spellEnd"/>
            <w:r w:rsidRPr="004E2800">
              <w:rPr>
                <w:rFonts w:asciiTheme="majorBidi" w:hAnsiTheme="majorBidi" w:cstheme="majorBidi"/>
                <w:sz w:val="20"/>
                <w:szCs w:val="20"/>
              </w:rPr>
              <w:t xml:space="preserve"> Terms])) OR (telomere length[Title/Abstract])) OR (telomere length[</w:t>
            </w:r>
            <w:proofErr w:type="spellStart"/>
            <w:r w:rsidRPr="004E2800">
              <w:rPr>
                <w:rFonts w:asciiTheme="majorBidi" w:hAnsiTheme="majorBidi" w:cstheme="majorBidi"/>
                <w:sz w:val="20"/>
                <w:szCs w:val="20"/>
              </w:rPr>
              <w:t>MeSH</w:t>
            </w:r>
            <w:proofErr w:type="spellEnd"/>
            <w:r w:rsidRPr="004E2800">
              <w:rPr>
                <w:rFonts w:asciiTheme="majorBidi" w:hAnsiTheme="majorBidi" w:cstheme="majorBidi"/>
                <w:sz w:val="20"/>
                <w:szCs w:val="20"/>
              </w:rPr>
              <w:t xml:space="preserve"> Terms])) OR (Telomere)) OR (Telomere[</w:t>
            </w:r>
            <w:proofErr w:type="spellStart"/>
            <w:r w:rsidRPr="004E2800">
              <w:rPr>
                <w:rFonts w:asciiTheme="majorBidi" w:hAnsiTheme="majorBidi" w:cstheme="majorBidi"/>
                <w:sz w:val="20"/>
                <w:szCs w:val="20"/>
              </w:rPr>
              <w:t>MeSH</w:t>
            </w:r>
            <w:proofErr w:type="spellEnd"/>
            <w:r w:rsidRPr="004E2800">
              <w:rPr>
                <w:rFonts w:asciiTheme="majorBidi" w:hAnsiTheme="majorBidi" w:cstheme="majorBidi"/>
                <w:sz w:val="20"/>
                <w:szCs w:val="20"/>
              </w:rPr>
              <w:t xml:space="preserve"> Terms])) AND ((((((((((((((((((Body Mass Index[Title/Abstract]) OR (Body Mass Index[</w:t>
            </w:r>
            <w:proofErr w:type="spellStart"/>
            <w:r w:rsidRPr="004E2800">
              <w:rPr>
                <w:rFonts w:asciiTheme="majorBidi" w:hAnsiTheme="majorBidi" w:cstheme="majorBidi"/>
                <w:sz w:val="20"/>
                <w:szCs w:val="20"/>
              </w:rPr>
              <w:t>MeSH</w:t>
            </w:r>
            <w:proofErr w:type="spellEnd"/>
            <w:r w:rsidRPr="004E2800">
              <w:rPr>
                <w:rFonts w:asciiTheme="majorBidi" w:hAnsiTheme="majorBidi" w:cstheme="majorBidi"/>
                <w:sz w:val="20"/>
                <w:szCs w:val="20"/>
              </w:rPr>
              <w:t xml:space="preserve"> Terms])) OR (obesity[Title/Abstract])) OR (obesity[</w:t>
            </w:r>
            <w:proofErr w:type="spellStart"/>
            <w:r w:rsidRPr="004E2800">
              <w:rPr>
                <w:rFonts w:asciiTheme="majorBidi" w:hAnsiTheme="majorBidi" w:cstheme="majorBidi"/>
                <w:sz w:val="20"/>
                <w:szCs w:val="20"/>
              </w:rPr>
              <w:t>MeSH</w:t>
            </w:r>
            <w:proofErr w:type="spellEnd"/>
            <w:r w:rsidRPr="004E2800">
              <w:rPr>
                <w:rFonts w:asciiTheme="majorBidi" w:hAnsiTheme="majorBidi" w:cstheme="majorBidi"/>
                <w:sz w:val="20"/>
                <w:szCs w:val="20"/>
              </w:rPr>
              <w:t xml:space="preserve"> Terms])) OR (abdominal obesity[Title/Abstract])) OR (abdominal obesity[</w:t>
            </w:r>
            <w:proofErr w:type="spellStart"/>
            <w:r w:rsidRPr="004E2800">
              <w:rPr>
                <w:rFonts w:asciiTheme="majorBidi" w:hAnsiTheme="majorBidi" w:cstheme="majorBidi"/>
                <w:sz w:val="20"/>
                <w:szCs w:val="20"/>
              </w:rPr>
              <w:t>MeSH</w:t>
            </w:r>
            <w:proofErr w:type="spellEnd"/>
            <w:r w:rsidRPr="004E2800">
              <w:rPr>
                <w:rFonts w:asciiTheme="majorBidi" w:hAnsiTheme="majorBidi" w:cstheme="majorBidi"/>
                <w:sz w:val="20"/>
                <w:szCs w:val="20"/>
              </w:rPr>
              <w:t xml:space="preserve"> Terms])) OR (BMI[Title/Abstract])) OR (waist circumference[Title/Abstract])) OR (WC[Title/Abstract])) OR (waist to hip ratio[Title/Abstract])) OR (WHR[Title/Abstract])) OR (overweight[Title/Abstract])) OR (waist to hip ratio[Title/Abstract])) OR (WHR[Title/Abstract])) OR (overweight[Title/Abstract])) OR (fat mass[Title/Abstract])) OR (adiposity[Title/Abstract])) OR (adipose tissue[</w:t>
            </w:r>
            <w:r>
              <w:rPr>
                <w:rFonts w:asciiTheme="majorBidi" w:hAnsiTheme="majorBidi" w:cstheme="majorBidi"/>
                <w:sz w:val="20"/>
                <w:szCs w:val="20"/>
              </w:rPr>
              <w:t xml:space="preserve">Title/Abstract])) </w:t>
            </w:r>
          </w:p>
          <w:p w:rsidR="00050EDB" w:rsidRPr="00E8118B" w:rsidRDefault="00050EDB" w:rsidP="00F94201">
            <w:pPr>
              <w:spacing w:line="360" w:lineRule="auto"/>
              <w:jc w:val="both"/>
              <w:rPr>
                <w:rFonts w:asciiTheme="majorBidi" w:hAnsiTheme="majorBidi" w:cstheme="majorBidi"/>
                <w:sz w:val="18"/>
                <w:szCs w:val="18"/>
              </w:rPr>
            </w:pPr>
          </w:p>
        </w:tc>
        <w:tc>
          <w:tcPr>
            <w:tcW w:w="1131" w:type="dxa"/>
          </w:tcPr>
          <w:p w:rsidR="00050EDB" w:rsidRPr="00FD661D" w:rsidRDefault="00050EDB" w:rsidP="00F94201">
            <w:pPr>
              <w:jc w:val="both"/>
              <w:rPr>
                <w:rFonts w:asciiTheme="majorBidi" w:hAnsiTheme="majorBidi" w:cstheme="majorBidi"/>
                <w:sz w:val="20"/>
                <w:szCs w:val="20"/>
              </w:rPr>
            </w:pPr>
            <w:r w:rsidRPr="00FD661D">
              <w:rPr>
                <w:rFonts w:asciiTheme="majorBidi" w:hAnsiTheme="majorBidi" w:cstheme="majorBidi"/>
                <w:sz w:val="20"/>
                <w:szCs w:val="20"/>
              </w:rPr>
              <w:t xml:space="preserve">PubMed </w:t>
            </w:r>
          </w:p>
        </w:tc>
        <w:tc>
          <w:tcPr>
            <w:tcW w:w="1131" w:type="dxa"/>
          </w:tcPr>
          <w:p w:rsidR="00050EDB" w:rsidRPr="00FD661D" w:rsidRDefault="00050EDB" w:rsidP="00F94201">
            <w:pPr>
              <w:jc w:val="both"/>
              <w:rPr>
                <w:rFonts w:asciiTheme="majorBidi" w:hAnsiTheme="majorBidi" w:cstheme="majorBidi"/>
                <w:sz w:val="20"/>
                <w:szCs w:val="20"/>
              </w:rPr>
            </w:pPr>
            <w:r w:rsidRPr="00FD661D">
              <w:rPr>
                <w:rFonts w:asciiTheme="majorBidi" w:hAnsiTheme="majorBidi" w:cstheme="majorBidi"/>
                <w:sz w:val="20"/>
                <w:szCs w:val="20"/>
              </w:rPr>
              <w:t>1310</w:t>
            </w:r>
          </w:p>
        </w:tc>
      </w:tr>
      <w:tr w:rsidR="00050EDB" w:rsidRPr="00E8118B" w:rsidTr="00F94201">
        <w:trPr>
          <w:trHeight w:val="420"/>
        </w:trPr>
        <w:tc>
          <w:tcPr>
            <w:tcW w:w="9158" w:type="dxa"/>
            <w:vMerge/>
          </w:tcPr>
          <w:p w:rsidR="00050EDB" w:rsidRPr="00E8118B" w:rsidRDefault="00050EDB" w:rsidP="00F94201">
            <w:pPr>
              <w:jc w:val="both"/>
              <w:rPr>
                <w:rStyle w:val="icon3"/>
                <w:rFonts w:asciiTheme="majorBidi" w:hAnsiTheme="majorBidi" w:cstheme="majorBidi"/>
                <w:sz w:val="18"/>
                <w:szCs w:val="18"/>
              </w:rPr>
            </w:pPr>
          </w:p>
        </w:tc>
        <w:tc>
          <w:tcPr>
            <w:tcW w:w="1131" w:type="dxa"/>
          </w:tcPr>
          <w:p w:rsidR="00050EDB" w:rsidRPr="00FD661D" w:rsidRDefault="00050EDB" w:rsidP="00F94201">
            <w:pPr>
              <w:jc w:val="both"/>
              <w:rPr>
                <w:rFonts w:asciiTheme="majorBidi" w:hAnsiTheme="majorBidi" w:cstheme="majorBidi"/>
                <w:sz w:val="20"/>
                <w:szCs w:val="20"/>
              </w:rPr>
            </w:pPr>
            <w:r w:rsidRPr="00FD661D">
              <w:rPr>
                <w:rFonts w:asciiTheme="majorBidi" w:hAnsiTheme="majorBidi" w:cstheme="majorBidi"/>
                <w:sz w:val="20"/>
                <w:szCs w:val="20"/>
              </w:rPr>
              <w:t xml:space="preserve">Scopus </w:t>
            </w:r>
          </w:p>
        </w:tc>
        <w:tc>
          <w:tcPr>
            <w:tcW w:w="1131" w:type="dxa"/>
          </w:tcPr>
          <w:p w:rsidR="00050EDB" w:rsidRPr="00FD661D" w:rsidRDefault="00050EDB" w:rsidP="00F94201">
            <w:pPr>
              <w:jc w:val="both"/>
              <w:rPr>
                <w:rFonts w:asciiTheme="majorBidi" w:hAnsiTheme="majorBidi" w:cstheme="majorBidi"/>
                <w:sz w:val="20"/>
                <w:szCs w:val="20"/>
              </w:rPr>
            </w:pPr>
            <w:r w:rsidRPr="00FD661D">
              <w:rPr>
                <w:rFonts w:asciiTheme="majorBidi" w:hAnsiTheme="majorBidi" w:cstheme="majorBidi"/>
                <w:sz w:val="20"/>
                <w:szCs w:val="20"/>
              </w:rPr>
              <w:t>1798</w:t>
            </w:r>
          </w:p>
        </w:tc>
      </w:tr>
      <w:tr w:rsidR="00050EDB" w:rsidRPr="00E8118B" w:rsidTr="00F94201">
        <w:trPr>
          <w:trHeight w:val="412"/>
        </w:trPr>
        <w:tc>
          <w:tcPr>
            <w:tcW w:w="9158" w:type="dxa"/>
            <w:vMerge/>
          </w:tcPr>
          <w:p w:rsidR="00050EDB" w:rsidRPr="00E8118B" w:rsidRDefault="00050EDB" w:rsidP="00F94201">
            <w:pPr>
              <w:jc w:val="both"/>
              <w:rPr>
                <w:rStyle w:val="icon3"/>
                <w:rFonts w:asciiTheme="majorBidi" w:hAnsiTheme="majorBidi" w:cstheme="majorBidi"/>
                <w:sz w:val="18"/>
                <w:szCs w:val="18"/>
              </w:rPr>
            </w:pPr>
          </w:p>
        </w:tc>
        <w:tc>
          <w:tcPr>
            <w:tcW w:w="1131" w:type="dxa"/>
          </w:tcPr>
          <w:p w:rsidR="00050EDB" w:rsidRPr="00FD661D" w:rsidRDefault="00050EDB" w:rsidP="00F94201">
            <w:pPr>
              <w:jc w:val="both"/>
              <w:rPr>
                <w:rFonts w:asciiTheme="majorBidi" w:hAnsiTheme="majorBidi" w:cstheme="majorBidi"/>
                <w:sz w:val="20"/>
                <w:szCs w:val="20"/>
              </w:rPr>
            </w:pPr>
            <w:r w:rsidRPr="00FD661D">
              <w:rPr>
                <w:rFonts w:asciiTheme="majorBidi" w:hAnsiTheme="majorBidi" w:cstheme="majorBidi"/>
                <w:sz w:val="20"/>
                <w:szCs w:val="20"/>
              </w:rPr>
              <w:t xml:space="preserve">ProQuest </w:t>
            </w:r>
          </w:p>
        </w:tc>
        <w:tc>
          <w:tcPr>
            <w:tcW w:w="1131" w:type="dxa"/>
          </w:tcPr>
          <w:p w:rsidR="00050EDB" w:rsidRPr="00FD661D" w:rsidRDefault="00050EDB" w:rsidP="00F94201">
            <w:pPr>
              <w:jc w:val="both"/>
              <w:rPr>
                <w:rFonts w:asciiTheme="majorBidi" w:hAnsiTheme="majorBidi" w:cstheme="majorBidi"/>
                <w:sz w:val="20"/>
                <w:szCs w:val="20"/>
              </w:rPr>
            </w:pPr>
            <w:r w:rsidRPr="00FD661D">
              <w:rPr>
                <w:rFonts w:asciiTheme="majorBidi" w:hAnsiTheme="majorBidi" w:cstheme="majorBidi"/>
                <w:sz w:val="20"/>
                <w:szCs w:val="20"/>
              </w:rPr>
              <w:t>2205</w:t>
            </w:r>
          </w:p>
        </w:tc>
      </w:tr>
      <w:tr w:rsidR="00050EDB" w:rsidRPr="00E8118B" w:rsidTr="00F94201">
        <w:trPr>
          <w:trHeight w:val="545"/>
        </w:trPr>
        <w:tc>
          <w:tcPr>
            <w:tcW w:w="9158" w:type="dxa"/>
            <w:vMerge/>
          </w:tcPr>
          <w:p w:rsidR="00050EDB" w:rsidRPr="00E8118B" w:rsidRDefault="00050EDB" w:rsidP="00F94201">
            <w:pPr>
              <w:jc w:val="both"/>
              <w:rPr>
                <w:rStyle w:val="icon3"/>
                <w:rFonts w:asciiTheme="majorBidi" w:hAnsiTheme="majorBidi" w:cstheme="majorBidi"/>
                <w:sz w:val="18"/>
                <w:szCs w:val="18"/>
              </w:rPr>
            </w:pPr>
          </w:p>
        </w:tc>
        <w:tc>
          <w:tcPr>
            <w:tcW w:w="1131" w:type="dxa"/>
          </w:tcPr>
          <w:p w:rsidR="00050EDB" w:rsidRPr="00FD661D" w:rsidRDefault="00050EDB" w:rsidP="00F94201">
            <w:pPr>
              <w:jc w:val="both"/>
              <w:rPr>
                <w:rFonts w:asciiTheme="majorBidi" w:hAnsiTheme="majorBidi" w:cstheme="majorBidi"/>
                <w:sz w:val="20"/>
                <w:szCs w:val="20"/>
              </w:rPr>
            </w:pPr>
            <w:r w:rsidRPr="00FD661D">
              <w:rPr>
                <w:rFonts w:asciiTheme="majorBidi" w:hAnsiTheme="majorBidi" w:cstheme="majorBidi"/>
                <w:sz w:val="20"/>
                <w:szCs w:val="20"/>
              </w:rPr>
              <w:t xml:space="preserve">Embase  </w:t>
            </w:r>
          </w:p>
        </w:tc>
        <w:tc>
          <w:tcPr>
            <w:tcW w:w="1131" w:type="dxa"/>
          </w:tcPr>
          <w:p w:rsidR="00050EDB" w:rsidRPr="00FD661D" w:rsidRDefault="00050EDB" w:rsidP="00F94201">
            <w:pPr>
              <w:jc w:val="both"/>
              <w:rPr>
                <w:rFonts w:asciiTheme="majorBidi" w:hAnsiTheme="majorBidi" w:cstheme="majorBidi"/>
                <w:sz w:val="20"/>
                <w:szCs w:val="20"/>
                <w:rtl/>
                <w:lang w:bidi="fa-IR"/>
              </w:rPr>
            </w:pPr>
            <w:r w:rsidRPr="00FD661D">
              <w:rPr>
                <w:rFonts w:asciiTheme="majorBidi" w:hAnsiTheme="majorBidi" w:cstheme="majorBidi"/>
                <w:sz w:val="20"/>
                <w:szCs w:val="20"/>
                <w:lang w:bidi="fa-IR"/>
              </w:rPr>
              <w:t>1494</w:t>
            </w:r>
          </w:p>
        </w:tc>
      </w:tr>
    </w:tbl>
    <w:p w:rsidR="00050EDB" w:rsidRPr="006A460C" w:rsidRDefault="00050EDB" w:rsidP="00F94201">
      <w:pPr>
        <w:tabs>
          <w:tab w:val="left" w:pos="3315"/>
        </w:tabs>
        <w:rPr>
          <w:rFonts w:asciiTheme="majorBidi" w:hAnsiTheme="majorBidi" w:cstheme="majorBidi"/>
        </w:rPr>
        <w:sectPr w:rsidR="00050EDB" w:rsidRPr="006A460C" w:rsidSect="00F94201">
          <w:pgSz w:w="12240" w:h="15840"/>
          <w:pgMar w:top="1135" w:right="1440" w:bottom="1440" w:left="1440" w:header="720" w:footer="720" w:gutter="0"/>
          <w:cols w:space="720"/>
          <w:docGrid w:linePitch="360"/>
        </w:sectPr>
      </w:pPr>
    </w:p>
    <w:p w:rsidR="00050EDB" w:rsidRPr="00D84869" w:rsidRDefault="00050EDB" w:rsidP="00F94201">
      <w:pPr>
        <w:spacing w:line="360" w:lineRule="auto"/>
        <w:ind w:left="-993" w:right="713"/>
        <w:rPr>
          <w:rFonts w:asciiTheme="majorBidi" w:hAnsiTheme="majorBidi" w:cstheme="majorBidi"/>
          <w:sz w:val="20"/>
          <w:szCs w:val="20"/>
        </w:rPr>
      </w:pPr>
      <w:bookmarkStart w:id="1" w:name="OLE_LINK326"/>
      <w:bookmarkStart w:id="2" w:name="OLE_LINK327"/>
      <w:r w:rsidRPr="00D84869">
        <w:rPr>
          <w:rFonts w:asciiTheme="majorBidi" w:hAnsiTheme="majorBidi" w:cstheme="majorBidi"/>
          <w:b/>
          <w:bCs/>
          <w:sz w:val="20"/>
          <w:szCs w:val="20"/>
        </w:rPr>
        <w:lastRenderedPageBreak/>
        <w:t xml:space="preserve">Sup. Table 3. </w:t>
      </w:r>
      <w:r w:rsidRPr="00D84869">
        <w:rPr>
          <w:rFonts w:asciiTheme="majorBidi" w:hAnsiTheme="majorBidi" w:cstheme="majorBidi"/>
          <w:sz w:val="20"/>
          <w:szCs w:val="20"/>
        </w:rPr>
        <w:t>Agency for Healthcare Research and Quality (AHRQ) checklist to assess quality of the included studies</w:t>
      </w:r>
    </w:p>
    <w:tbl>
      <w:tblPr>
        <w:tblpPr w:leftFromText="180" w:rightFromText="180" w:vertAnchor="text" w:horzAnchor="margin" w:tblpXSpec="center" w:tblpY="153"/>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3"/>
        <w:gridCol w:w="1418"/>
        <w:gridCol w:w="1445"/>
        <w:gridCol w:w="851"/>
        <w:gridCol w:w="709"/>
        <w:gridCol w:w="992"/>
        <w:gridCol w:w="850"/>
        <w:gridCol w:w="970"/>
        <w:gridCol w:w="1128"/>
        <w:gridCol w:w="1423"/>
      </w:tblGrid>
      <w:tr w:rsidR="00050EDB" w:rsidRPr="00063AC5" w:rsidTr="00F94201">
        <w:trPr>
          <w:trHeight w:val="300"/>
        </w:trPr>
        <w:tc>
          <w:tcPr>
            <w:tcW w:w="4673" w:type="dxa"/>
            <w:shd w:val="clear" w:color="auto" w:fill="auto"/>
            <w:noWrap/>
            <w:vAlign w:val="center"/>
            <w:hideMark/>
          </w:tcPr>
          <w:p w:rsidR="00050EDB" w:rsidRPr="00063AC5" w:rsidRDefault="00050EDB" w:rsidP="00F94201">
            <w:pPr>
              <w:spacing w:line="240" w:lineRule="auto"/>
              <w:rPr>
                <w:rFonts w:asciiTheme="majorBidi" w:eastAsia="DengXian" w:hAnsiTheme="majorBidi" w:cstheme="majorBidi"/>
                <w:b/>
                <w:bCs/>
                <w:color w:val="000000"/>
                <w:sz w:val="18"/>
                <w:szCs w:val="18"/>
              </w:rPr>
            </w:pPr>
            <w:r w:rsidRPr="00063AC5">
              <w:rPr>
                <w:rFonts w:asciiTheme="majorBidi" w:hAnsiTheme="majorBidi" w:cstheme="majorBidi"/>
                <w:b/>
                <w:bCs/>
                <w:sz w:val="18"/>
                <w:szCs w:val="18"/>
              </w:rPr>
              <w:t>ARHQ Methodology Checklist items for Cross-Sectional study</w:t>
            </w:r>
          </w:p>
        </w:tc>
        <w:tc>
          <w:tcPr>
            <w:tcW w:w="1418" w:type="dxa"/>
            <w:vAlign w:val="center"/>
          </w:tcPr>
          <w:p w:rsidR="00050EDB" w:rsidRPr="00063AC5" w:rsidRDefault="00050EDB" w:rsidP="00F94201">
            <w:pPr>
              <w:adjustRightInd w:val="0"/>
              <w:snapToGrid w:val="0"/>
              <w:spacing w:line="240" w:lineRule="auto"/>
              <w:jc w:val="center"/>
              <w:rPr>
                <w:rFonts w:asciiTheme="majorBidi" w:hAnsiTheme="majorBidi" w:cstheme="majorBidi"/>
                <w:b/>
                <w:bCs/>
                <w:sz w:val="18"/>
                <w:szCs w:val="18"/>
              </w:rPr>
            </w:pPr>
            <w:proofErr w:type="spellStart"/>
            <w:r w:rsidRPr="00063AC5">
              <w:rPr>
                <w:rFonts w:asciiTheme="majorBidi" w:hAnsiTheme="majorBidi" w:cstheme="majorBidi"/>
                <w:b/>
                <w:bCs/>
                <w:sz w:val="18"/>
                <w:szCs w:val="18"/>
              </w:rPr>
              <w:t>Linghui</w:t>
            </w:r>
            <w:proofErr w:type="spellEnd"/>
            <w:r w:rsidRPr="00063AC5">
              <w:rPr>
                <w:rFonts w:asciiTheme="majorBidi" w:hAnsiTheme="majorBidi" w:cstheme="majorBidi"/>
                <w:b/>
                <w:bCs/>
                <w:sz w:val="18"/>
                <w:szCs w:val="18"/>
              </w:rPr>
              <w:t xml:space="preserve"> D et al </w:t>
            </w:r>
            <w:r w:rsidRPr="00063AC5">
              <w:rPr>
                <w:rFonts w:asciiTheme="majorBidi" w:hAnsiTheme="majorBidi" w:cstheme="majorBidi"/>
                <w:b/>
                <w:bCs/>
                <w:noProof/>
                <w:sz w:val="18"/>
                <w:szCs w:val="18"/>
              </w:rPr>
              <w:t>[2]</w:t>
            </w:r>
          </w:p>
        </w:tc>
        <w:tc>
          <w:tcPr>
            <w:tcW w:w="1445" w:type="dxa"/>
          </w:tcPr>
          <w:p w:rsidR="00050EDB" w:rsidRPr="00063AC5" w:rsidRDefault="00050EDB" w:rsidP="00F94201">
            <w:pPr>
              <w:spacing w:line="240" w:lineRule="auto"/>
              <w:jc w:val="center"/>
              <w:rPr>
                <w:rFonts w:asciiTheme="majorBidi" w:eastAsia="DengXian" w:hAnsiTheme="majorBidi" w:cstheme="majorBidi"/>
                <w:b/>
                <w:bCs/>
                <w:color w:val="000000"/>
                <w:sz w:val="18"/>
                <w:szCs w:val="18"/>
              </w:rPr>
            </w:pPr>
            <w:proofErr w:type="spellStart"/>
            <w:r w:rsidRPr="00063AC5">
              <w:rPr>
                <w:rFonts w:asciiTheme="majorBidi" w:hAnsiTheme="majorBidi" w:cstheme="majorBidi"/>
                <w:b/>
                <w:bCs/>
                <w:color w:val="000000"/>
                <w:sz w:val="18"/>
                <w:szCs w:val="18"/>
              </w:rPr>
              <w:t>Zgheib</w:t>
            </w:r>
            <w:proofErr w:type="spellEnd"/>
            <w:r w:rsidRPr="00063AC5">
              <w:rPr>
                <w:rFonts w:asciiTheme="majorBidi" w:hAnsiTheme="majorBidi" w:cstheme="majorBidi"/>
                <w:b/>
                <w:bCs/>
                <w:color w:val="000000"/>
                <w:sz w:val="18"/>
                <w:szCs w:val="18"/>
              </w:rPr>
              <w:t xml:space="preserve"> NK et al </w:t>
            </w:r>
            <w:r w:rsidRPr="00063AC5">
              <w:rPr>
                <w:rFonts w:asciiTheme="majorBidi" w:eastAsia="DengXian" w:hAnsiTheme="majorBidi" w:cstheme="majorBidi"/>
                <w:b/>
                <w:bCs/>
                <w:noProof/>
                <w:color w:val="000000"/>
                <w:sz w:val="18"/>
                <w:szCs w:val="18"/>
              </w:rPr>
              <w:t>[3]</w:t>
            </w:r>
          </w:p>
        </w:tc>
        <w:tc>
          <w:tcPr>
            <w:tcW w:w="851" w:type="dxa"/>
          </w:tcPr>
          <w:p w:rsidR="00050EDB" w:rsidRPr="00063AC5" w:rsidRDefault="00050EDB" w:rsidP="00F94201">
            <w:pPr>
              <w:spacing w:line="240" w:lineRule="auto"/>
              <w:rPr>
                <w:rFonts w:asciiTheme="majorBidi" w:eastAsia="DengXian" w:hAnsiTheme="majorBidi" w:cstheme="majorBidi"/>
                <w:b/>
                <w:bCs/>
                <w:color w:val="000000"/>
                <w:sz w:val="18"/>
                <w:szCs w:val="18"/>
              </w:rPr>
            </w:pPr>
            <w:proofErr w:type="spellStart"/>
            <w:r w:rsidRPr="00063AC5">
              <w:rPr>
                <w:rFonts w:asciiTheme="majorBidi" w:eastAsia="DengXian" w:hAnsiTheme="majorBidi" w:cstheme="majorBidi"/>
                <w:b/>
                <w:bCs/>
                <w:color w:val="000000"/>
                <w:sz w:val="18"/>
                <w:szCs w:val="18"/>
              </w:rPr>
              <w:t>Milte</w:t>
            </w:r>
            <w:proofErr w:type="spellEnd"/>
            <w:r w:rsidRPr="00063AC5">
              <w:rPr>
                <w:rFonts w:asciiTheme="majorBidi" w:eastAsia="DengXian" w:hAnsiTheme="majorBidi" w:cstheme="majorBidi"/>
                <w:b/>
                <w:bCs/>
                <w:color w:val="000000"/>
                <w:sz w:val="18"/>
                <w:szCs w:val="18"/>
              </w:rPr>
              <w:t xml:space="preserve"> CM et al </w:t>
            </w:r>
            <w:r w:rsidRPr="00063AC5">
              <w:rPr>
                <w:rFonts w:asciiTheme="majorBidi" w:eastAsia="DengXian" w:hAnsiTheme="majorBidi" w:cstheme="majorBidi"/>
                <w:b/>
                <w:bCs/>
                <w:noProof/>
                <w:color w:val="000000"/>
                <w:sz w:val="18"/>
                <w:szCs w:val="18"/>
              </w:rPr>
              <w:t>[4]</w:t>
            </w:r>
          </w:p>
        </w:tc>
        <w:tc>
          <w:tcPr>
            <w:tcW w:w="709" w:type="dxa"/>
          </w:tcPr>
          <w:p w:rsidR="00050EDB" w:rsidRPr="00063AC5" w:rsidRDefault="00050EDB" w:rsidP="00F94201">
            <w:pPr>
              <w:spacing w:line="240" w:lineRule="auto"/>
              <w:rPr>
                <w:rFonts w:asciiTheme="majorBidi" w:eastAsia="DengXian" w:hAnsiTheme="majorBidi" w:cstheme="majorBidi"/>
                <w:b/>
                <w:bCs/>
                <w:color w:val="000000"/>
                <w:sz w:val="18"/>
                <w:szCs w:val="18"/>
              </w:rPr>
            </w:pPr>
            <w:proofErr w:type="spellStart"/>
            <w:r w:rsidRPr="00063AC5">
              <w:rPr>
                <w:rFonts w:asciiTheme="majorBidi" w:eastAsia="DengXian" w:hAnsiTheme="majorBidi" w:cstheme="majorBidi"/>
                <w:b/>
                <w:bCs/>
                <w:color w:val="000000"/>
                <w:sz w:val="18"/>
                <w:szCs w:val="18"/>
              </w:rPr>
              <w:t>Mazidi</w:t>
            </w:r>
            <w:proofErr w:type="spellEnd"/>
            <w:r w:rsidRPr="00063AC5">
              <w:rPr>
                <w:rFonts w:asciiTheme="majorBidi" w:eastAsia="DengXian" w:hAnsiTheme="majorBidi" w:cstheme="majorBidi"/>
                <w:b/>
                <w:bCs/>
                <w:color w:val="000000"/>
                <w:sz w:val="18"/>
                <w:szCs w:val="18"/>
              </w:rPr>
              <w:t xml:space="preserve"> M </w:t>
            </w:r>
            <w:r w:rsidRPr="00063AC5">
              <w:rPr>
                <w:rFonts w:asciiTheme="majorBidi" w:eastAsia="DengXian" w:hAnsiTheme="majorBidi" w:cstheme="majorBidi"/>
                <w:b/>
                <w:bCs/>
                <w:noProof/>
                <w:color w:val="000000"/>
                <w:sz w:val="18"/>
                <w:szCs w:val="18"/>
              </w:rPr>
              <w:t>[5]</w:t>
            </w:r>
          </w:p>
        </w:tc>
        <w:tc>
          <w:tcPr>
            <w:tcW w:w="992" w:type="dxa"/>
          </w:tcPr>
          <w:p w:rsidR="00050EDB" w:rsidRPr="00063AC5" w:rsidRDefault="00050EDB" w:rsidP="00F94201">
            <w:pPr>
              <w:spacing w:line="240" w:lineRule="auto"/>
              <w:jc w:val="center"/>
              <w:rPr>
                <w:rFonts w:asciiTheme="majorBidi" w:eastAsia="DengXian" w:hAnsiTheme="majorBidi" w:cstheme="majorBidi"/>
                <w:b/>
                <w:bCs/>
                <w:color w:val="000000"/>
                <w:sz w:val="18"/>
                <w:szCs w:val="18"/>
              </w:rPr>
            </w:pPr>
            <w:r w:rsidRPr="00063AC5">
              <w:rPr>
                <w:rFonts w:asciiTheme="majorBidi" w:eastAsia="DengXian" w:hAnsiTheme="majorBidi" w:cstheme="majorBidi"/>
                <w:b/>
                <w:bCs/>
                <w:color w:val="000000"/>
                <w:sz w:val="18"/>
                <w:szCs w:val="18"/>
              </w:rPr>
              <w:t>Batsis JA</w:t>
            </w:r>
            <w:r w:rsidRPr="00063AC5">
              <w:rPr>
                <w:rFonts w:asciiTheme="majorBidi" w:eastAsia="DengXian" w:hAnsiTheme="majorBidi" w:cstheme="majorBidi"/>
                <w:b/>
                <w:bCs/>
                <w:noProof/>
                <w:color w:val="000000"/>
                <w:sz w:val="18"/>
                <w:szCs w:val="18"/>
              </w:rPr>
              <w:t>[6]</w:t>
            </w:r>
          </w:p>
        </w:tc>
        <w:tc>
          <w:tcPr>
            <w:tcW w:w="850" w:type="dxa"/>
          </w:tcPr>
          <w:p w:rsidR="00050EDB" w:rsidRPr="00063AC5" w:rsidRDefault="00050EDB" w:rsidP="00F94201">
            <w:pPr>
              <w:spacing w:line="240" w:lineRule="auto"/>
              <w:jc w:val="center"/>
              <w:rPr>
                <w:rFonts w:asciiTheme="majorBidi" w:eastAsia="DengXian" w:hAnsiTheme="majorBidi" w:cstheme="majorBidi"/>
                <w:b/>
                <w:bCs/>
                <w:color w:val="000000"/>
                <w:sz w:val="18"/>
                <w:szCs w:val="18"/>
              </w:rPr>
            </w:pPr>
            <w:proofErr w:type="spellStart"/>
            <w:r w:rsidRPr="00063AC5">
              <w:rPr>
                <w:rFonts w:asciiTheme="majorBidi" w:eastAsia="DengXian" w:hAnsiTheme="majorBidi" w:cstheme="majorBidi"/>
                <w:b/>
                <w:bCs/>
                <w:color w:val="000000"/>
                <w:sz w:val="18"/>
                <w:szCs w:val="18"/>
              </w:rPr>
              <w:t>Xhao</w:t>
            </w:r>
            <w:proofErr w:type="spellEnd"/>
            <w:r w:rsidRPr="00063AC5">
              <w:rPr>
                <w:rFonts w:asciiTheme="majorBidi" w:eastAsia="DengXian" w:hAnsiTheme="majorBidi" w:cstheme="majorBidi"/>
                <w:b/>
                <w:bCs/>
                <w:color w:val="000000"/>
                <w:sz w:val="18"/>
                <w:szCs w:val="18"/>
              </w:rPr>
              <w:t xml:space="preserve"> H </w:t>
            </w:r>
            <w:r w:rsidRPr="00063AC5">
              <w:rPr>
                <w:rFonts w:asciiTheme="majorBidi" w:eastAsia="DengXian" w:hAnsiTheme="majorBidi" w:cstheme="majorBidi"/>
                <w:b/>
                <w:bCs/>
                <w:noProof/>
                <w:color w:val="000000"/>
                <w:sz w:val="18"/>
                <w:szCs w:val="18"/>
              </w:rPr>
              <w:t>[7]</w:t>
            </w:r>
          </w:p>
        </w:tc>
        <w:tc>
          <w:tcPr>
            <w:tcW w:w="970" w:type="dxa"/>
          </w:tcPr>
          <w:p w:rsidR="00050EDB" w:rsidRPr="00063AC5" w:rsidRDefault="00050EDB" w:rsidP="00F94201">
            <w:pPr>
              <w:autoSpaceDE w:val="0"/>
              <w:autoSpaceDN w:val="0"/>
              <w:adjustRightInd w:val="0"/>
              <w:spacing w:after="0" w:line="240" w:lineRule="auto"/>
              <w:rPr>
                <w:rFonts w:asciiTheme="majorBidi" w:hAnsiTheme="majorBidi" w:cstheme="majorBidi"/>
                <w:b/>
                <w:bCs/>
                <w:sz w:val="18"/>
                <w:szCs w:val="18"/>
              </w:rPr>
            </w:pPr>
            <w:proofErr w:type="spellStart"/>
            <w:r w:rsidRPr="00063AC5">
              <w:rPr>
                <w:rFonts w:asciiTheme="majorBidi" w:hAnsiTheme="majorBidi" w:cstheme="majorBidi"/>
                <w:b/>
                <w:bCs/>
                <w:sz w:val="18"/>
                <w:szCs w:val="18"/>
              </w:rPr>
              <w:t>Mwasongwe</w:t>
            </w:r>
            <w:proofErr w:type="spellEnd"/>
            <w:r w:rsidRPr="00063AC5">
              <w:rPr>
                <w:rFonts w:asciiTheme="majorBidi" w:hAnsiTheme="majorBidi" w:cstheme="majorBidi"/>
                <w:b/>
                <w:bCs/>
                <w:sz w:val="18"/>
                <w:szCs w:val="18"/>
              </w:rPr>
              <w:t xml:space="preserve">, S et al </w:t>
            </w:r>
            <w:r w:rsidRPr="00063AC5">
              <w:rPr>
                <w:rFonts w:asciiTheme="majorBidi" w:hAnsiTheme="majorBidi" w:cstheme="majorBidi"/>
                <w:b/>
                <w:bCs/>
                <w:noProof/>
                <w:sz w:val="18"/>
                <w:szCs w:val="18"/>
              </w:rPr>
              <w:t>[8]</w:t>
            </w:r>
          </w:p>
          <w:p w:rsidR="00050EDB" w:rsidRPr="00063AC5" w:rsidRDefault="00050EDB" w:rsidP="00F94201">
            <w:pPr>
              <w:spacing w:line="240" w:lineRule="auto"/>
              <w:jc w:val="center"/>
              <w:rPr>
                <w:rFonts w:asciiTheme="majorBidi" w:eastAsia="DengXian" w:hAnsiTheme="majorBidi" w:cstheme="majorBidi"/>
                <w:b/>
                <w:bCs/>
                <w:color w:val="000000"/>
                <w:sz w:val="18"/>
                <w:szCs w:val="18"/>
              </w:rPr>
            </w:pPr>
          </w:p>
        </w:tc>
        <w:tc>
          <w:tcPr>
            <w:tcW w:w="1128" w:type="dxa"/>
          </w:tcPr>
          <w:p w:rsidR="00050EDB" w:rsidRPr="00063AC5" w:rsidRDefault="00050EDB" w:rsidP="00F94201">
            <w:pPr>
              <w:spacing w:line="240" w:lineRule="auto"/>
              <w:jc w:val="center"/>
              <w:rPr>
                <w:rFonts w:asciiTheme="majorBidi" w:eastAsia="DengXian" w:hAnsiTheme="majorBidi" w:cstheme="majorBidi"/>
                <w:b/>
                <w:bCs/>
                <w:color w:val="000000"/>
                <w:sz w:val="18"/>
                <w:szCs w:val="18"/>
              </w:rPr>
            </w:pPr>
            <w:r w:rsidRPr="00063AC5">
              <w:rPr>
                <w:rFonts w:asciiTheme="majorBidi" w:eastAsia="DengXian" w:hAnsiTheme="majorBidi" w:cstheme="majorBidi"/>
                <w:b/>
                <w:bCs/>
                <w:color w:val="000000"/>
                <w:sz w:val="18"/>
                <w:szCs w:val="18"/>
              </w:rPr>
              <w:t xml:space="preserve">Min KB et al </w:t>
            </w:r>
            <w:r w:rsidRPr="00063AC5">
              <w:rPr>
                <w:rFonts w:asciiTheme="majorBidi" w:eastAsia="DengXian" w:hAnsiTheme="majorBidi" w:cstheme="majorBidi"/>
                <w:b/>
                <w:bCs/>
                <w:noProof/>
                <w:color w:val="000000"/>
                <w:sz w:val="18"/>
                <w:szCs w:val="18"/>
              </w:rPr>
              <w:t>[9]</w:t>
            </w:r>
          </w:p>
        </w:tc>
        <w:tc>
          <w:tcPr>
            <w:tcW w:w="1423" w:type="dxa"/>
          </w:tcPr>
          <w:p w:rsidR="00050EDB" w:rsidRPr="00063AC5" w:rsidRDefault="00050EDB" w:rsidP="00F94201">
            <w:pPr>
              <w:spacing w:line="240" w:lineRule="auto"/>
              <w:jc w:val="center"/>
              <w:rPr>
                <w:rFonts w:asciiTheme="majorBidi" w:eastAsia="DengXian" w:hAnsiTheme="majorBidi" w:cstheme="majorBidi"/>
                <w:b/>
                <w:bCs/>
                <w:color w:val="000000"/>
                <w:sz w:val="18"/>
                <w:szCs w:val="18"/>
              </w:rPr>
            </w:pPr>
            <w:proofErr w:type="spellStart"/>
            <w:r w:rsidRPr="00063AC5">
              <w:rPr>
                <w:rFonts w:asciiTheme="majorBidi" w:eastAsia="DengXian" w:hAnsiTheme="majorBidi" w:cstheme="majorBidi"/>
                <w:b/>
                <w:bCs/>
                <w:color w:val="000000"/>
                <w:sz w:val="18"/>
                <w:szCs w:val="18"/>
              </w:rPr>
              <w:t>Mazidi</w:t>
            </w:r>
            <w:proofErr w:type="spellEnd"/>
            <w:r w:rsidRPr="00063AC5">
              <w:rPr>
                <w:rFonts w:asciiTheme="majorBidi" w:eastAsia="DengXian" w:hAnsiTheme="majorBidi" w:cstheme="majorBidi"/>
                <w:b/>
                <w:bCs/>
                <w:color w:val="000000"/>
                <w:sz w:val="18"/>
                <w:szCs w:val="18"/>
              </w:rPr>
              <w:t xml:space="preserve"> M et al </w:t>
            </w:r>
            <w:r w:rsidRPr="00063AC5">
              <w:rPr>
                <w:rFonts w:asciiTheme="majorBidi" w:eastAsia="DengXian" w:hAnsiTheme="majorBidi" w:cstheme="majorBidi"/>
                <w:b/>
                <w:bCs/>
                <w:noProof/>
                <w:color w:val="000000"/>
                <w:sz w:val="18"/>
                <w:szCs w:val="18"/>
              </w:rPr>
              <w:t>[10]</w:t>
            </w:r>
          </w:p>
        </w:tc>
      </w:tr>
      <w:tr w:rsidR="00050EDB" w:rsidRPr="00D71C23" w:rsidTr="00F94201">
        <w:trPr>
          <w:trHeight w:val="557"/>
        </w:trPr>
        <w:tc>
          <w:tcPr>
            <w:tcW w:w="4673" w:type="dxa"/>
            <w:shd w:val="clear" w:color="auto" w:fill="auto"/>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bookmarkStart w:id="3" w:name="RANGE!D26"/>
            <w:r w:rsidRPr="00D71C23">
              <w:rPr>
                <w:rFonts w:asciiTheme="majorBidi" w:eastAsia="DengXian" w:hAnsiTheme="majorBidi" w:cstheme="majorBidi"/>
                <w:color w:val="000000"/>
                <w:sz w:val="16"/>
                <w:szCs w:val="16"/>
              </w:rPr>
              <w:t>1) Define the source of information (survey, record review)</w:t>
            </w:r>
            <w:bookmarkEnd w:id="3"/>
          </w:p>
        </w:tc>
        <w:tc>
          <w:tcPr>
            <w:tcW w:w="1418"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1445"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851"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709" w:type="dxa"/>
          </w:tcPr>
          <w:p w:rsidR="00050EDB" w:rsidRPr="002856A6" w:rsidRDefault="00050EDB" w:rsidP="00F94201">
            <w:pPr>
              <w:spacing w:line="240" w:lineRule="auto"/>
              <w:jc w:val="center"/>
              <w:rPr>
                <w:rFonts w:ascii="Cambria Math" w:eastAsia="SimHei" w:hAnsi="Cambria Math"/>
                <w:bCs/>
                <w:color w:val="000000"/>
                <w:sz w:val="16"/>
                <w:szCs w:val="16"/>
                <w:rtl/>
                <w:lang w:bidi="fa-IR"/>
              </w:rPr>
            </w:pPr>
            <w:r w:rsidRPr="00D71C23">
              <w:rPr>
                <w:rFonts w:ascii="Cambria Math" w:eastAsia="SimHei" w:hAnsi="Cambria Math" w:cs="Cambria Math"/>
                <w:bCs/>
                <w:color w:val="000000"/>
                <w:sz w:val="16"/>
                <w:szCs w:val="16"/>
              </w:rPr>
              <w:t>⊕</w:t>
            </w:r>
          </w:p>
        </w:tc>
        <w:tc>
          <w:tcPr>
            <w:tcW w:w="992"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850"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970" w:type="dxa"/>
          </w:tcPr>
          <w:p w:rsidR="00050EDB" w:rsidRPr="009503DB" w:rsidRDefault="00050EDB" w:rsidP="00F94201">
            <w:pPr>
              <w:autoSpaceDE w:val="0"/>
              <w:autoSpaceDN w:val="0"/>
              <w:adjustRightInd w:val="0"/>
              <w:spacing w:after="0" w:line="240" w:lineRule="auto"/>
              <w:rPr>
                <w:rFonts w:ascii="Segoe UI" w:hAnsi="Segoe UI" w:cs="Segoe UI"/>
                <w:sz w:val="18"/>
                <w:szCs w:val="18"/>
              </w:rPr>
            </w:pPr>
            <w:r w:rsidRPr="00D71C23">
              <w:rPr>
                <w:rFonts w:ascii="Cambria Math" w:eastAsia="SimHei" w:hAnsi="Cambria Math" w:cs="Cambria Math"/>
                <w:bCs/>
                <w:color w:val="000000"/>
                <w:sz w:val="16"/>
                <w:szCs w:val="16"/>
              </w:rPr>
              <w:t>⊕</w:t>
            </w:r>
          </w:p>
        </w:tc>
        <w:tc>
          <w:tcPr>
            <w:tcW w:w="1128"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1423"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r>
      <w:tr w:rsidR="00050EDB" w:rsidRPr="00D71C23" w:rsidTr="00F94201">
        <w:trPr>
          <w:trHeight w:val="742"/>
        </w:trPr>
        <w:tc>
          <w:tcPr>
            <w:tcW w:w="4673" w:type="dxa"/>
            <w:shd w:val="clear" w:color="auto" w:fill="auto"/>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r w:rsidRPr="00D71C23">
              <w:rPr>
                <w:rFonts w:asciiTheme="majorBidi" w:eastAsia="DengXian" w:hAnsiTheme="majorBidi" w:cstheme="majorBidi"/>
                <w:color w:val="000000"/>
                <w:sz w:val="16"/>
                <w:szCs w:val="16"/>
              </w:rPr>
              <w:t>2) List inclusion and exclusion criteria for exposed and unexposed subjects (cases and controls) or refer to previous publications</w:t>
            </w:r>
          </w:p>
        </w:tc>
        <w:tc>
          <w:tcPr>
            <w:tcW w:w="1418"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1445"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851"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709"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992"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850"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970"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128"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1423"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r>
      <w:tr w:rsidR="00050EDB" w:rsidRPr="00D71C23" w:rsidTr="00F94201">
        <w:trPr>
          <w:trHeight w:val="554"/>
        </w:trPr>
        <w:tc>
          <w:tcPr>
            <w:tcW w:w="4673" w:type="dxa"/>
            <w:shd w:val="clear" w:color="auto" w:fill="auto"/>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r w:rsidRPr="00D71C23">
              <w:rPr>
                <w:rFonts w:asciiTheme="majorBidi" w:eastAsia="DengXian" w:hAnsiTheme="majorBidi" w:cstheme="majorBidi"/>
                <w:color w:val="000000"/>
                <w:sz w:val="16"/>
                <w:szCs w:val="16"/>
              </w:rPr>
              <w:t>3) Indicate time period used for identifying patients</w:t>
            </w:r>
          </w:p>
        </w:tc>
        <w:tc>
          <w:tcPr>
            <w:tcW w:w="1418"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1445" w:type="dxa"/>
            <w:vAlign w:val="center"/>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851"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709"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992"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850"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970"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128"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423"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r>
      <w:tr w:rsidR="00050EDB" w:rsidRPr="00D71C23" w:rsidTr="00F94201">
        <w:trPr>
          <w:trHeight w:val="266"/>
        </w:trPr>
        <w:tc>
          <w:tcPr>
            <w:tcW w:w="4673" w:type="dxa"/>
            <w:shd w:val="clear" w:color="auto" w:fill="auto"/>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r w:rsidRPr="00D71C23">
              <w:rPr>
                <w:rFonts w:asciiTheme="majorBidi" w:eastAsia="DengXian" w:hAnsiTheme="majorBidi" w:cstheme="majorBidi"/>
                <w:color w:val="000000"/>
                <w:sz w:val="16"/>
                <w:szCs w:val="16"/>
              </w:rPr>
              <w:t>4) Indicate whether or not subjects were consecutive if not population-based</w:t>
            </w:r>
          </w:p>
        </w:tc>
        <w:tc>
          <w:tcPr>
            <w:tcW w:w="1418"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445" w:type="dxa"/>
            <w:vAlign w:val="center"/>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Cambria Math" w:eastAsia="SimHei" w:hAnsi="Cambria Math" w:cs="Cambria Math"/>
                <w:bCs/>
                <w:color w:val="000000"/>
                <w:sz w:val="16"/>
                <w:szCs w:val="16"/>
              </w:rPr>
              <w:t xml:space="preserve">U </w:t>
            </w:r>
          </w:p>
        </w:tc>
        <w:tc>
          <w:tcPr>
            <w:tcW w:w="851"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709"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992"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850"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970"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128"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423"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Pr>
                <w:rFonts w:ascii="Cambria Math" w:eastAsia="SimHei" w:hAnsi="Cambria Math" w:cs="Cambria Math"/>
                <w:bCs/>
                <w:color w:val="000000"/>
                <w:sz w:val="16"/>
                <w:szCs w:val="16"/>
              </w:rPr>
              <w:t xml:space="preserve">U </w:t>
            </w:r>
          </w:p>
        </w:tc>
      </w:tr>
      <w:tr w:rsidR="00050EDB" w:rsidRPr="00D71C23" w:rsidTr="00F94201">
        <w:trPr>
          <w:trHeight w:val="418"/>
        </w:trPr>
        <w:tc>
          <w:tcPr>
            <w:tcW w:w="4673" w:type="dxa"/>
            <w:shd w:val="clear" w:color="auto" w:fill="auto"/>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r w:rsidRPr="00D71C23">
              <w:rPr>
                <w:rFonts w:asciiTheme="majorBidi" w:eastAsia="DengXian" w:hAnsiTheme="majorBidi" w:cstheme="majorBidi"/>
                <w:color w:val="000000"/>
                <w:sz w:val="16"/>
                <w:szCs w:val="16"/>
              </w:rPr>
              <w:t>5) Indicate if evaluators of subjective components of study were masked to other aspects of the status of the participants</w:t>
            </w:r>
          </w:p>
        </w:tc>
        <w:tc>
          <w:tcPr>
            <w:tcW w:w="1418" w:type="dxa"/>
          </w:tcPr>
          <w:p w:rsidR="00050EDB" w:rsidRDefault="00050EDB" w:rsidP="00F94201">
            <w:pPr>
              <w:spacing w:line="240" w:lineRule="auto"/>
              <w:jc w:val="center"/>
              <w:rPr>
                <w:rFonts w:asciiTheme="majorBidi" w:eastAsia="SimHei" w:hAnsiTheme="majorBidi" w:cstheme="majorBidi"/>
                <w:sz w:val="16"/>
                <w:szCs w:val="16"/>
              </w:rPr>
            </w:pPr>
          </w:p>
          <w:p w:rsidR="00050EDB" w:rsidRPr="00D71C23" w:rsidRDefault="00050EDB" w:rsidP="00F94201">
            <w:pPr>
              <w:spacing w:line="240" w:lineRule="auto"/>
              <w:jc w:val="center"/>
              <w:rPr>
                <w:rFonts w:asciiTheme="majorBidi" w:eastAsia="SimHei" w:hAnsiTheme="majorBidi" w:cstheme="majorBidi"/>
                <w:sz w:val="16"/>
                <w:szCs w:val="16"/>
              </w:rPr>
            </w:pPr>
            <w:r w:rsidRPr="00D71C23">
              <w:rPr>
                <w:rFonts w:asciiTheme="majorBidi" w:eastAsia="SimHei" w:hAnsiTheme="majorBidi" w:cstheme="majorBidi"/>
                <w:sz w:val="16"/>
                <w:szCs w:val="16"/>
              </w:rPr>
              <w:t>U</w:t>
            </w:r>
          </w:p>
        </w:tc>
        <w:tc>
          <w:tcPr>
            <w:tcW w:w="1445" w:type="dxa"/>
            <w:vAlign w:val="center"/>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Theme="majorBidi" w:eastAsia="SimHei" w:hAnsiTheme="majorBidi" w:cstheme="majorBidi"/>
                <w:bCs/>
                <w:color w:val="000000"/>
                <w:sz w:val="16"/>
                <w:szCs w:val="16"/>
              </w:rPr>
              <w:t>U</w:t>
            </w:r>
          </w:p>
        </w:tc>
        <w:tc>
          <w:tcPr>
            <w:tcW w:w="851" w:type="dxa"/>
          </w:tcPr>
          <w:p w:rsidR="00050EDB" w:rsidRDefault="00050EDB" w:rsidP="00F94201">
            <w:pPr>
              <w:spacing w:line="240" w:lineRule="auto"/>
              <w:rPr>
                <w:rFonts w:asciiTheme="majorBidi" w:eastAsia="SimHei" w:hAnsiTheme="majorBidi" w:cstheme="majorBidi"/>
                <w:bCs/>
                <w:color w:val="000000"/>
                <w:sz w:val="16"/>
                <w:szCs w:val="16"/>
              </w:rPr>
            </w:pPr>
          </w:p>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c>
          <w:tcPr>
            <w:tcW w:w="709" w:type="dxa"/>
          </w:tcPr>
          <w:p w:rsidR="00050EDB" w:rsidRPr="00D71C23" w:rsidRDefault="00050EDB" w:rsidP="00F94201">
            <w:pPr>
              <w:spacing w:line="240" w:lineRule="auto"/>
              <w:jc w:val="center"/>
              <w:rPr>
                <w:rFonts w:asciiTheme="majorBidi" w:eastAsia="SimHei" w:hAnsiTheme="majorBidi" w:cstheme="majorBidi"/>
                <w:sz w:val="16"/>
                <w:szCs w:val="16"/>
              </w:rPr>
            </w:pPr>
            <w:r>
              <w:rPr>
                <w:rFonts w:asciiTheme="majorBidi" w:eastAsia="SimHei" w:hAnsiTheme="majorBidi" w:cstheme="majorBidi"/>
                <w:sz w:val="16"/>
                <w:szCs w:val="16"/>
              </w:rPr>
              <w:t xml:space="preserve">U </w:t>
            </w:r>
          </w:p>
        </w:tc>
        <w:tc>
          <w:tcPr>
            <w:tcW w:w="992" w:type="dxa"/>
          </w:tcPr>
          <w:p w:rsidR="00050EDB" w:rsidRPr="00D71C23" w:rsidRDefault="00050EDB" w:rsidP="00F94201">
            <w:pPr>
              <w:spacing w:line="240" w:lineRule="auto"/>
              <w:jc w:val="center"/>
              <w:rPr>
                <w:rFonts w:asciiTheme="majorBidi" w:eastAsia="SimHei" w:hAnsiTheme="majorBidi" w:cstheme="majorBidi"/>
                <w:sz w:val="16"/>
                <w:szCs w:val="16"/>
              </w:rPr>
            </w:pPr>
            <w:r>
              <w:rPr>
                <w:rFonts w:asciiTheme="majorBidi" w:eastAsia="SimHei" w:hAnsiTheme="majorBidi" w:cstheme="majorBidi"/>
                <w:sz w:val="16"/>
                <w:szCs w:val="16"/>
              </w:rPr>
              <w:t xml:space="preserve">U </w:t>
            </w:r>
          </w:p>
        </w:tc>
        <w:tc>
          <w:tcPr>
            <w:tcW w:w="850"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Cambria Math" w:eastAsia="SimHei" w:hAnsi="Cambria Math" w:cs="Cambria Math"/>
                <w:bCs/>
                <w:color w:val="000000"/>
                <w:sz w:val="16"/>
                <w:szCs w:val="16"/>
              </w:rPr>
              <w:t xml:space="preserve">U </w:t>
            </w:r>
          </w:p>
        </w:tc>
        <w:tc>
          <w:tcPr>
            <w:tcW w:w="970"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c>
          <w:tcPr>
            <w:tcW w:w="1128" w:type="dxa"/>
          </w:tcPr>
          <w:p w:rsidR="00050EDB" w:rsidRPr="00D71C23" w:rsidRDefault="00050EDB" w:rsidP="00F94201">
            <w:pPr>
              <w:spacing w:line="240" w:lineRule="auto"/>
              <w:jc w:val="center"/>
              <w:rPr>
                <w:rFonts w:asciiTheme="majorBidi" w:eastAsia="SimHei" w:hAnsiTheme="majorBidi" w:cstheme="majorBidi"/>
                <w:sz w:val="16"/>
                <w:szCs w:val="16"/>
              </w:rPr>
            </w:pPr>
            <w:r>
              <w:rPr>
                <w:rFonts w:asciiTheme="majorBidi" w:eastAsia="SimHei" w:hAnsiTheme="majorBidi" w:cstheme="majorBidi"/>
                <w:sz w:val="16"/>
                <w:szCs w:val="16"/>
              </w:rPr>
              <w:t xml:space="preserve">U </w:t>
            </w:r>
          </w:p>
        </w:tc>
        <w:tc>
          <w:tcPr>
            <w:tcW w:w="1423"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r>
      <w:tr w:rsidR="00050EDB" w:rsidRPr="00D71C23" w:rsidTr="00F94201">
        <w:trPr>
          <w:trHeight w:val="454"/>
        </w:trPr>
        <w:tc>
          <w:tcPr>
            <w:tcW w:w="4673" w:type="dxa"/>
            <w:shd w:val="clear" w:color="auto" w:fill="auto"/>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bookmarkStart w:id="4" w:name="OLE_LINK118"/>
            <w:r w:rsidRPr="00D71C23">
              <w:rPr>
                <w:rFonts w:asciiTheme="majorBidi" w:eastAsia="DengXian" w:hAnsiTheme="majorBidi" w:cstheme="majorBidi"/>
                <w:color w:val="000000"/>
                <w:sz w:val="16"/>
                <w:szCs w:val="16"/>
              </w:rPr>
              <w:t>6) Describe any assessments undertaken for quality assurance purposes (e.g., test/retest of primary outcome measurements)</w:t>
            </w:r>
          </w:p>
        </w:tc>
        <w:tc>
          <w:tcPr>
            <w:tcW w:w="1418" w:type="dxa"/>
          </w:tcPr>
          <w:p w:rsidR="00050EDB" w:rsidRDefault="00050EDB" w:rsidP="00F94201">
            <w:pPr>
              <w:spacing w:line="240" w:lineRule="auto"/>
              <w:jc w:val="center"/>
              <w:rPr>
                <w:rFonts w:ascii="Cambria Math" w:eastAsia="SimHei" w:hAnsi="Cambria Math" w:cs="Cambria Math"/>
                <w:sz w:val="16"/>
                <w:szCs w:val="16"/>
              </w:rPr>
            </w:pPr>
          </w:p>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sz w:val="16"/>
                <w:szCs w:val="16"/>
              </w:rPr>
              <w:t>U</w:t>
            </w:r>
          </w:p>
        </w:tc>
        <w:tc>
          <w:tcPr>
            <w:tcW w:w="1445" w:type="dxa"/>
            <w:vAlign w:val="center"/>
          </w:tcPr>
          <w:p w:rsidR="00050EDB" w:rsidRDefault="00050EDB" w:rsidP="00F94201">
            <w:pPr>
              <w:spacing w:line="240" w:lineRule="auto"/>
              <w:jc w:val="center"/>
              <w:rPr>
                <w:rFonts w:asciiTheme="majorBidi" w:eastAsia="SimHei" w:hAnsiTheme="majorBidi" w:cstheme="majorBidi"/>
                <w:bCs/>
                <w:color w:val="000000"/>
                <w:sz w:val="16"/>
                <w:szCs w:val="16"/>
              </w:rPr>
            </w:pPr>
          </w:p>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Theme="majorBidi" w:eastAsia="SimHei" w:hAnsiTheme="majorBidi" w:cstheme="majorBidi"/>
                <w:bCs/>
                <w:color w:val="000000"/>
                <w:sz w:val="16"/>
                <w:szCs w:val="16"/>
              </w:rPr>
              <w:t>U</w:t>
            </w:r>
          </w:p>
        </w:tc>
        <w:tc>
          <w:tcPr>
            <w:tcW w:w="851" w:type="dxa"/>
          </w:tcPr>
          <w:p w:rsidR="00050EDB" w:rsidRDefault="00050EDB" w:rsidP="00F94201">
            <w:pPr>
              <w:spacing w:line="240" w:lineRule="auto"/>
              <w:jc w:val="center"/>
              <w:rPr>
                <w:rFonts w:asciiTheme="majorBidi" w:eastAsia="SimHei" w:hAnsiTheme="majorBidi" w:cstheme="majorBidi"/>
                <w:bCs/>
                <w:color w:val="000000"/>
                <w:sz w:val="16"/>
                <w:szCs w:val="16"/>
              </w:rPr>
            </w:pPr>
          </w:p>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c>
          <w:tcPr>
            <w:tcW w:w="709" w:type="dxa"/>
          </w:tcPr>
          <w:p w:rsidR="00050EDB" w:rsidRDefault="00050EDB" w:rsidP="00F94201">
            <w:pPr>
              <w:spacing w:line="240" w:lineRule="auto"/>
              <w:jc w:val="center"/>
              <w:rPr>
                <w:rFonts w:asciiTheme="majorBidi" w:eastAsia="SimHei" w:hAnsiTheme="majorBidi" w:cstheme="majorBidi"/>
                <w:sz w:val="16"/>
                <w:szCs w:val="16"/>
              </w:rPr>
            </w:pPr>
          </w:p>
          <w:p w:rsidR="00050EDB" w:rsidRPr="00D71C23" w:rsidRDefault="00050EDB" w:rsidP="00F94201">
            <w:pPr>
              <w:spacing w:line="240" w:lineRule="auto"/>
              <w:jc w:val="center"/>
              <w:rPr>
                <w:rFonts w:asciiTheme="majorBidi" w:eastAsia="SimHei" w:hAnsiTheme="majorBidi" w:cstheme="majorBidi"/>
                <w:sz w:val="16"/>
                <w:szCs w:val="16"/>
              </w:rPr>
            </w:pPr>
            <w:r>
              <w:rPr>
                <w:rFonts w:asciiTheme="majorBidi" w:eastAsia="SimHei" w:hAnsiTheme="majorBidi" w:cstheme="majorBidi"/>
                <w:sz w:val="16"/>
                <w:szCs w:val="16"/>
              </w:rPr>
              <w:t xml:space="preserve">U </w:t>
            </w:r>
          </w:p>
        </w:tc>
        <w:tc>
          <w:tcPr>
            <w:tcW w:w="992"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c>
          <w:tcPr>
            <w:tcW w:w="850"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c>
          <w:tcPr>
            <w:tcW w:w="970"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c>
          <w:tcPr>
            <w:tcW w:w="1128"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c>
          <w:tcPr>
            <w:tcW w:w="1423"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r>
      <w:bookmarkEnd w:id="4"/>
      <w:tr w:rsidR="00050EDB" w:rsidRPr="00D71C23" w:rsidTr="00F94201">
        <w:trPr>
          <w:trHeight w:val="417"/>
        </w:trPr>
        <w:tc>
          <w:tcPr>
            <w:tcW w:w="4673" w:type="dxa"/>
            <w:shd w:val="clear" w:color="auto" w:fill="auto"/>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r w:rsidRPr="00D71C23">
              <w:rPr>
                <w:rFonts w:asciiTheme="majorBidi" w:eastAsia="DengXian" w:hAnsiTheme="majorBidi" w:cstheme="majorBidi"/>
                <w:color w:val="000000"/>
                <w:sz w:val="16"/>
                <w:szCs w:val="16"/>
              </w:rPr>
              <w:t>7) Explain any patient exclusions from analysis</w:t>
            </w:r>
          </w:p>
        </w:tc>
        <w:tc>
          <w:tcPr>
            <w:tcW w:w="1418"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Pr>
                <w:rFonts w:ascii="Cambria Math" w:eastAsia="SimHei" w:hAnsi="Cambria Math" w:cs="Cambria Math"/>
                <w:bCs/>
                <w:color w:val="000000"/>
                <w:sz w:val="16"/>
                <w:szCs w:val="16"/>
              </w:rPr>
              <w:t>U</w:t>
            </w:r>
          </w:p>
        </w:tc>
        <w:tc>
          <w:tcPr>
            <w:tcW w:w="1445" w:type="dxa"/>
            <w:vAlign w:val="center"/>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851"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709"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992"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850"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970"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128"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423"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r>
      <w:tr w:rsidR="00050EDB" w:rsidRPr="00D71C23" w:rsidTr="00F94201">
        <w:trPr>
          <w:trHeight w:val="522"/>
        </w:trPr>
        <w:tc>
          <w:tcPr>
            <w:tcW w:w="4673" w:type="dxa"/>
            <w:shd w:val="clear" w:color="auto" w:fill="auto"/>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r w:rsidRPr="00D71C23">
              <w:rPr>
                <w:rFonts w:asciiTheme="majorBidi" w:eastAsia="DengXian" w:hAnsiTheme="majorBidi" w:cstheme="majorBidi"/>
                <w:color w:val="000000"/>
                <w:sz w:val="16"/>
                <w:szCs w:val="16"/>
              </w:rPr>
              <w:t>8) Describe how confounding was assessed and/or controlled.</w:t>
            </w:r>
          </w:p>
        </w:tc>
        <w:tc>
          <w:tcPr>
            <w:tcW w:w="1418"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1445" w:type="dxa"/>
            <w:vAlign w:val="center"/>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851" w:type="dxa"/>
          </w:tcPr>
          <w:p w:rsidR="00050EDB" w:rsidRPr="00D71C23" w:rsidRDefault="00050EDB" w:rsidP="00F94201">
            <w:pPr>
              <w:spacing w:line="240" w:lineRule="auto"/>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709"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992"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850"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970"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128"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423"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r>
      <w:tr w:rsidR="00050EDB" w:rsidRPr="00D71C23" w:rsidTr="00F94201">
        <w:trPr>
          <w:trHeight w:val="377"/>
        </w:trPr>
        <w:tc>
          <w:tcPr>
            <w:tcW w:w="4673" w:type="dxa"/>
            <w:shd w:val="clear" w:color="auto" w:fill="auto"/>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r w:rsidRPr="00D71C23">
              <w:rPr>
                <w:rFonts w:asciiTheme="majorBidi" w:eastAsia="DengXian" w:hAnsiTheme="majorBidi" w:cstheme="majorBidi"/>
                <w:color w:val="000000"/>
                <w:sz w:val="16"/>
                <w:szCs w:val="16"/>
              </w:rPr>
              <w:t>9) If applicable, explain how missing data were handled in the analysis</w:t>
            </w:r>
          </w:p>
        </w:tc>
        <w:tc>
          <w:tcPr>
            <w:tcW w:w="1418" w:type="dxa"/>
          </w:tcPr>
          <w:p w:rsidR="00050EDB" w:rsidRPr="00D71C23" w:rsidRDefault="00050EDB" w:rsidP="00F94201">
            <w:pPr>
              <w:spacing w:line="240" w:lineRule="auto"/>
              <w:jc w:val="center"/>
              <w:rPr>
                <w:rFonts w:asciiTheme="majorBidi" w:eastAsia="SimHei" w:hAnsiTheme="majorBidi" w:cstheme="majorBidi"/>
                <w:sz w:val="16"/>
                <w:szCs w:val="16"/>
              </w:rPr>
            </w:pPr>
            <w:r w:rsidRPr="00D71C23">
              <w:rPr>
                <w:rFonts w:asciiTheme="majorBidi" w:eastAsia="SimHei" w:hAnsiTheme="majorBidi" w:cstheme="majorBidi"/>
                <w:sz w:val="16"/>
                <w:szCs w:val="16"/>
              </w:rPr>
              <w:t>U</w:t>
            </w:r>
          </w:p>
        </w:tc>
        <w:tc>
          <w:tcPr>
            <w:tcW w:w="1445" w:type="dxa"/>
            <w:vAlign w:val="center"/>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Cambria Math" w:eastAsia="SimHei" w:hAnsi="Cambria Math" w:cs="Cambria Math"/>
                <w:bCs/>
                <w:color w:val="000000"/>
                <w:sz w:val="16"/>
                <w:szCs w:val="16"/>
              </w:rPr>
              <w:t xml:space="preserve">U </w:t>
            </w:r>
          </w:p>
        </w:tc>
        <w:tc>
          <w:tcPr>
            <w:tcW w:w="851" w:type="dxa"/>
          </w:tcPr>
          <w:p w:rsidR="00050EDB" w:rsidRDefault="00050EDB" w:rsidP="00F94201">
            <w:pPr>
              <w:spacing w:line="240" w:lineRule="auto"/>
              <w:jc w:val="center"/>
              <w:rPr>
                <w:rFonts w:ascii="Cambria Math" w:eastAsia="SimHei" w:hAnsi="Cambria Math" w:cs="Cambria Math"/>
                <w:bCs/>
                <w:color w:val="000000"/>
                <w:sz w:val="16"/>
                <w:szCs w:val="16"/>
              </w:rPr>
            </w:pPr>
          </w:p>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709" w:type="dxa"/>
          </w:tcPr>
          <w:p w:rsidR="00050EDB" w:rsidRDefault="00050EDB" w:rsidP="00F94201">
            <w:pPr>
              <w:spacing w:line="240" w:lineRule="auto"/>
              <w:jc w:val="center"/>
              <w:rPr>
                <w:rFonts w:asciiTheme="majorBidi" w:eastAsia="SimHei" w:hAnsiTheme="majorBidi" w:cstheme="majorBidi"/>
                <w:bCs/>
                <w:color w:val="000000"/>
                <w:sz w:val="16"/>
                <w:szCs w:val="16"/>
              </w:rPr>
            </w:pPr>
          </w:p>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c>
          <w:tcPr>
            <w:tcW w:w="992"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c>
          <w:tcPr>
            <w:tcW w:w="850"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970"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1128"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1423"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r>
      <w:tr w:rsidR="00050EDB" w:rsidRPr="00D71C23" w:rsidTr="00F94201">
        <w:trPr>
          <w:trHeight w:val="624"/>
        </w:trPr>
        <w:tc>
          <w:tcPr>
            <w:tcW w:w="4673" w:type="dxa"/>
            <w:shd w:val="clear" w:color="auto" w:fill="auto"/>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r w:rsidRPr="00D71C23">
              <w:rPr>
                <w:rFonts w:asciiTheme="majorBidi" w:eastAsia="DengXian" w:hAnsiTheme="majorBidi" w:cstheme="majorBidi"/>
                <w:color w:val="000000"/>
                <w:sz w:val="16"/>
                <w:szCs w:val="16"/>
              </w:rPr>
              <w:t>10) Summarize patient response rates and completeness of data collection</w:t>
            </w:r>
          </w:p>
        </w:tc>
        <w:tc>
          <w:tcPr>
            <w:tcW w:w="1418" w:type="dxa"/>
            <w:vAlign w:val="center"/>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Theme="majorBidi" w:eastAsia="SimHei" w:hAnsiTheme="majorBidi" w:cstheme="majorBidi"/>
                <w:bCs/>
                <w:color w:val="000000"/>
                <w:sz w:val="16"/>
                <w:szCs w:val="16"/>
              </w:rPr>
              <w:t>U</w:t>
            </w:r>
          </w:p>
        </w:tc>
        <w:tc>
          <w:tcPr>
            <w:tcW w:w="1445" w:type="dxa"/>
            <w:vAlign w:val="center"/>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Cambria Math" w:eastAsia="SimHei" w:hAnsi="Cambria Math" w:cs="Cambria Math"/>
                <w:bCs/>
                <w:color w:val="000000"/>
                <w:sz w:val="16"/>
                <w:szCs w:val="16"/>
              </w:rPr>
              <w:t xml:space="preserve">U </w:t>
            </w:r>
          </w:p>
        </w:tc>
        <w:tc>
          <w:tcPr>
            <w:tcW w:w="851" w:type="dxa"/>
          </w:tcPr>
          <w:p w:rsidR="00050EDB" w:rsidRDefault="00050EDB" w:rsidP="00F94201">
            <w:pPr>
              <w:spacing w:line="240" w:lineRule="auto"/>
              <w:jc w:val="center"/>
              <w:rPr>
                <w:rFonts w:ascii="Cambria Math" w:eastAsia="SimHei" w:hAnsi="Cambria Math" w:cs="Cambria Math"/>
                <w:bCs/>
                <w:color w:val="000000"/>
                <w:sz w:val="16"/>
                <w:szCs w:val="16"/>
              </w:rPr>
            </w:pPr>
          </w:p>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709"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Pr>
                <w:rFonts w:ascii="Cambria Math" w:eastAsia="SimHei" w:hAnsi="Cambria Math" w:cs="Cambria Math"/>
                <w:bCs/>
                <w:color w:val="000000"/>
                <w:sz w:val="16"/>
                <w:szCs w:val="16"/>
              </w:rPr>
              <w:t xml:space="preserve">U </w:t>
            </w:r>
          </w:p>
        </w:tc>
        <w:tc>
          <w:tcPr>
            <w:tcW w:w="992" w:type="dxa"/>
          </w:tcPr>
          <w:p w:rsidR="00050EDB" w:rsidRPr="00D71C23" w:rsidRDefault="00050EDB" w:rsidP="00F94201">
            <w:pPr>
              <w:spacing w:line="240" w:lineRule="auto"/>
              <w:rPr>
                <w:rFonts w:ascii="Cambria Math" w:eastAsia="SimHei" w:hAnsi="Cambria Math" w:cs="Cambria Math"/>
                <w:bCs/>
                <w:color w:val="000000"/>
                <w:sz w:val="16"/>
                <w:szCs w:val="16"/>
              </w:rPr>
            </w:pPr>
            <w:r>
              <w:rPr>
                <w:rFonts w:ascii="Cambria Math" w:eastAsia="SimHei" w:hAnsi="Cambria Math" w:cs="Cambria Math"/>
                <w:bCs/>
                <w:color w:val="000000"/>
                <w:sz w:val="16"/>
                <w:szCs w:val="16"/>
              </w:rPr>
              <w:t xml:space="preserve">          U </w:t>
            </w:r>
          </w:p>
        </w:tc>
        <w:tc>
          <w:tcPr>
            <w:tcW w:w="850"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970"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128"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423"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Pr>
                <w:rFonts w:ascii="Cambria Math" w:eastAsia="SimHei" w:hAnsi="Cambria Math" w:cs="Cambria Math"/>
                <w:bCs/>
                <w:color w:val="000000"/>
                <w:sz w:val="16"/>
                <w:szCs w:val="16"/>
              </w:rPr>
              <w:t xml:space="preserve">U </w:t>
            </w:r>
          </w:p>
        </w:tc>
      </w:tr>
      <w:tr w:rsidR="00050EDB" w:rsidRPr="00D71C23" w:rsidTr="00F94201">
        <w:trPr>
          <w:trHeight w:val="421"/>
        </w:trPr>
        <w:tc>
          <w:tcPr>
            <w:tcW w:w="4673" w:type="dxa"/>
            <w:shd w:val="clear" w:color="000000" w:fill="FFFFFF"/>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r w:rsidRPr="00D71C23">
              <w:rPr>
                <w:rFonts w:asciiTheme="majorBidi" w:eastAsia="DengXian" w:hAnsiTheme="majorBidi" w:cstheme="majorBidi"/>
                <w:color w:val="000000"/>
                <w:sz w:val="16"/>
                <w:szCs w:val="16"/>
              </w:rPr>
              <w:t>11) Clarify what follow-up, if any, was expected and the percentage of patients for which incomplete data or follow-up was obtained</w:t>
            </w:r>
          </w:p>
        </w:tc>
        <w:tc>
          <w:tcPr>
            <w:tcW w:w="1418" w:type="dxa"/>
            <w:shd w:val="clear" w:color="000000" w:fill="FFFFFF"/>
          </w:tcPr>
          <w:p w:rsidR="00050EDB" w:rsidRDefault="00050EDB" w:rsidP="00F94201">
            <w:pPr>
              <w:spacing w:line="240" w:lineRule="auto"/>
              <w:jc w:val="center"/>
              <w:rPr>
                <w:rFonts w:ascii="Cambria Math" w:eastAsia="SimHei" w:hAnsi="Cambria Math" w:cs="Cambria Math"/>
                <w:bCs/>
                <w:color w:val="000000"/>
                <w:sz w:val="16"/>
                <w:szCs w:val="16"/>
              </w:rPr>
            </w:pPr>
          </w:p>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Cambria Math" w:eastAsia="SimHei" w:hAnsi="Cambria Math" w:cs="Cambria Math"/>
                <w:bCs/>
                <w:color w:val="000000"/>
                <w:sz w:val="16"/>
                <w:szCs w:val="16"/>
              </w:rPr>
              <w:t xml:space="preserve">U </w:t>
            </w:r>
          </w:p>
        </w:tc>
        <w:tc>
          <w:tcPr>
            <w:tcW w:w="1445" w:type="dxa"/>
          </w:tcPr>
          <w:p w:rsidR="00050EDB" w:rsidRDefault="00050EDB" w:rsidP="00F94201">
            <w:pPr>
              <w:spacing w:line="240" w:lineRule="auto"/>
              <w:jc w:val="center"/>
              <w:rPr>
                <w:rFonts w:asciiTheme="majorBidi" w:eastAsia="SimHei" w:hAnsiTheme="majorBidi" w:cstheme="majorBidi"/>
                <w:bCs/>
                <w:color w:val="000000"/>
                <w:sz w:val="16"/>
                <w:szCs w:val="16"/>
              </w:rPr>
            </w:pPr>
          </w:p>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Theme="majorBidi" w:eastAsia="SimHei" w:hAnsiTheme="majorBidi" w:cstheme="majorBidi"/>
                <w:bCs/>
                <w:color w:val="000000"/>
                <w:sz w:val="16"/>
                <w:szCs w:val="16"/>
              </w:rPr>
              <w:t>U</w:t>
            </w:r>
          </w:p>
        </w:tc>
        <w:tc>
          <w:tcPr>
            <w:tcW w:w="851" w:type="dxa"/>
          </w:tcPr>
          <w:p w:rsidR="00050EDB" w:rsidRDefault="00050EDB" w:rsidP="00F94201">
            <w:pPr>
              <w:spacing w:line="240" w:lineRule="auto"/>
              <w:jc w:val="center"/>
              <w:rPr>
                <w:rFonts w:ascii="Cambria Math" w:eastAsia="SimHei" w:hAnsi="Cambria Math" w:cs="Cambria Math"/>
                <w:bCs/>
                <w:color w:val="000000"/>
                <w:sz w:val="16"/>
                <w:szCs w:val="16"/>
              </w:rPr>
            </w:pPr>
          </w:p>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709" w:type="dxa"/>
          </w:tcPr>
          <w:p w:rsidR="00050EDB" w:rsidRDefault="00050EDB" w:rsidP="00F94201">
            <w:pPr>
              <w:spacing w:line="240" w:lineRule="auto"/>
              <w:jc w:val="center"/>
              <w:rPr>
                <w:rFonts w:ascii="Cambria Math" w:eastAsia="SimHei" w:hAnsi="Cambria Math" w:cs="Cambria Math"/>
                <w:bCs/>
                <w:color w:val="000000"/>
                <w:sz w:val="16"/>
                <w:szCs w:val="16"/>
              </w:rPr>
            </w:pPr>
          </w:p>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992" w:type="dxa"/>
          </w:tcPr>
          <w:p w:rsidR="00050EDB" w:rsidRDefault="00050EDB" w:rsidP="00F94201">
            <w:pPr>
              <w:spacing w:line="240" w:lineRule="auto"/>
              <w:jc w:val="center"/>
              <w:rPr>
                <w:rFonts w:asciiTheme="majorBidi" w:eastAsia="SimHei" w:hAnsiTheme="majorBidi" w:cstheme="majorBidi"/>
                <w:bCs/>
                <w:color w:val="000000"/>
                <w:sz w:val="16"/>
                <w:szCs w:val="16"/>
              </w:rPr>
            </w:pPr>
          </w:p>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c>
          <w:tcPr>
            <w:tcW w:w="850"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970"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1128"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c>
          <w:tcPr>
            <w:tcW w:w="1423"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r>
      <w:tr w:rsidR="00050EDB" w:rsidRPr="00D71C23" w:rsidTr="00F94201">
        <w:trPr>
          <w:trHeight w:val="421"/>
        </w:trPr>
        <w:tc>
          <w:tcPr>
            <w:tcW w:w="4673" w:type="dxa"/>
            <w:shd w:val="clear" w:color="000000" w:fill="FFFFFF"/>
            <w:vAlign w:val="center"/>
          </w:tcPr>
          <w:p w:rsidR="00050EDB" w:rsidRPr="00D71C23" w:rsidRDefault="00050EDB" w:rsidP="00F94201">
            <w:pPr>
              <w:spacing w:line="240" w:lineRule="auto"/>
              <w:rPr>
                <w:rFonts w:asciiTheme="majorBidi" w:eastAsia="DengXian" w:hAnsiTheme="majorBidi" w:cstheme="majorBidi"/>
                <w:b/>
                <w:bCs/>
                <w:color w:val="000000"/>
                <w:sz w:val="16"/>
                <w:szCs w:val="16"/>
              </w:rPr>
            </w:pPr>
            <w:r w:rsidRPr="00D71C23">
              <w:rPr>
                <w:rFonts w:asciiTheme="majorBidi" w:eastAsia="DengXian" w:hAnsiTheme="majorBidi" w:cstheme="majorBidi"/>
                <w:b/>
                <w:bCs/>
                <w:color w:val="000000"/>
                <w:sz w:val="16"/>
                <w:szCs w:val="16"/>
              </w:rPr>
              <w:t xml:space="preserve">Final score </w:t>
            </w:r>
          </w:p>
        </w:tc>
        <w:tc>
          <w:tcPr>
            <w:tcW w:w="1418" w:type="dxa"/>
            <w:shd w:val="clear" w:color="000000" w:fill="FFFFFF"/>
            <w:vAlign w:val="center"/>
          </w:tcPr>
          <w:p w:rsidR="00050EDB" w:rsidRPr="00D71C23" w:rsidRDefault="00050EDB" w:rsidP="00F94201">
            <w:pPr>
              <w:spacing w:line="240" w:lineRule="auto"/>
              <w:jc w:val="center"/>
              <w:rPr>
                <w:rFonts w:asciiTheme="majorBidi" w:eastAsia="SimHei" w:hAnsiTheme="majorBidi" w:cstheme="majorBidi"/>
                <w:b/>
                <w:bCs/>
                <w:color w:val="000000"/>
                <w:sz w:val="16"/>
                <w:szCs w:val="16"/>
              </w:rPr>
            </w:pPr>
            <w:r>
              <w:rPr>
                <w:rFonts w:asciiTheme="majorBidi" w:eastAsia="SimHei" w:hAnsiTheme="majorBidi" w:cstheme="majorBidi"/>
                <w:b/>
                <w:bCs/>
                <w:color w:val="000000"/>
                <w:sz w:val="16"/>
                <w:szCs w:val="16"/>
              </w:rPr>
              <w:t>5</w:t>
            </w:r>
          </w:p>
        </w:tc>
        <w:tc>
          <w:tcPr>
            <w:tcW w:w="1445" w:type="dxa"/>
            <w:vAlign w:val="center"/>
          </w:tcPr>
          <w:p w:rsidR="00050EDB" w:rsidRPr="00D71C23" w:rsidRDefault="00050EDB" w:rsidP="00F94201">
            <w:pPr>
              <w:spacing w:line="240" w:lineRule="auto"/>
              <w:jc w:val="center"/>
              <w:rPr>
                <w:rFonts w:asciiTheme="majorBidi" w:eastAsia="SimHei" w:hAnsiTheme="majorBidi" w:cstheme="majorBidi"/>
                <w:b/>
                <w:bCs/>
                <w:color w:val="000000"/>
                <w:sz w:val="16"/>
                <w:szCs w:val="16"/>
              </w:rPr>
            </w:pPr>
            <w:r>
              <w:rPr>
                <w:rFonts w:asciiTheme="majorBidi" w:eastAsia="SimHei" w:hAnsiTheme="majorBidi" w:cstheme="majorBidi"/>
                <w:b/>
                <w:bCs/>
                <w:color w:val="000000"/>
                <w:sz w:val="16"/>
                <w:szCs w:val="16"/>
              </w:rPr>
              <w:t xml:space="preserve">5 </w:t>
            </w:r>
          </w:p>
        </w:tc>
        <w:tc>
          <w:tcPr>
            <w:tcW w:w="851" w:type="dxa"/>
          </w:tcPr>
          <w:p w:rsidR="00050EDB" w:rsidRPr="00D71C23" w:rsidRDefault="00050EDB" w:rsidP="00F94201">
            <w:pPr>
              <w:spacing w:line="240" w:lineRule="auto"/>
              <w:jc w:val="center"/>
              <w:rPr>
                <w:rFonts w:asciiTheme="majorBidi" w:eastAsia="SimHei" w:hAnsiTheme="majorBidi" w:cstheme="majorBidi"/>
                <w:b/>
                <w:bCs/>
                <w:color w:val="000000"/>
                <w:sz w:val="16"/>
                <w:szCs w:val="16"/>
              </w:rPr>
            </w:pPr>
            <w:r>
              <w:rPr>
                <w:rFonts w:asciiTheme="majorBidi" w:eastAsia="SimHei" w:hAnsiTheme="majorBidi" w:cstheme="majorBidi"/>
                <w:b/>
                <w:bCs/>
                <w:color w:val="000000"/>
                <w:sz w:val="16"/>
                <w:szCs w:val="16"/>
              </w:rPr>
              <w:t xml:space="preserve">9 </w:t>
            </w:r>
          </w:p>
        </w:tc>
        <w:tc>
          <w:tcPr>
            <w:tcW w:w="709" w:type="dxa"/>
          </w:tcPr>
          <w:p w:rsidR="00050EDB" w:rsidRPr="00D71C23" w:rsidRDefault="00050EDB" w:rsidP="00F94201">
            <w:pPr>
              <w:spacing w:line="240" w:lineRule="auto"/>
              <w:rPr>
                <w:rFonts w:asciiTheme="majorBidi" w:eastAsia="SimHei" w:hAnsiTheme="majorBidi" w:cstheme="majorBidi"/>
                <w:b/>
                <w:bCs/>
                <w:color w:val="000000"/>
                <w:sz w:val="16"/>
                <w:szCs w:val="16"/>
              </w:rPr>
            </w:pPr>
            <w:r>
              <w:rPr>
                <w:rFonts w:asciiTheme="majorBidi" w:eastAsia="SimHei" w:hAnsiTheme="majorBidi" w:cstheme="majorBidi"/>
                <w:b/>
                <w:bCs/>
                <w:color w:val="000000"/>
                <w:sz w:val="16"/>
                <w:szCs w:val="16"/>
              </w:rPr>
              <w:t xml:space="preserve">     7 </w:t>
            </w:r>
          </w:p>
        </w:tc>
        <w:tc>
          <w:tcPr>
            <w:tcW w:w="992" w:type="dxa"/>
          </w:tcPr>
          <w:p w:rsidR="00050EDB" w:rsidRPr="00D71C23" w:rsidRDefault="00050EDB" w:rsidP="00F94201">
            <w:pPr>
              <w:spacing w:line="240" w:lineRule="auto"/>
              <w:jc w:val="center"/>
              <w:rPr>
                <w:rFonts w:asciiTheme="majorBidi" w:eastAsia="SimHei" w:hAnsiTheme="majorBidi" w:cstheme="majorBidi"/>
                <w:b/>
                <w:bCs/>
                <w:color w:val="000000"/>
                <w:sz w:val="16"/>
                <w:szCs w:val="16"/>
              </w:rPr>
            </w:pPr>
            <w:r>
              <w:rPr>
                <w:rFonts w:asciiTheme="majorBidi" w:eastAsia="SimHei" w:hAnsiTheme="majorBidi" w:cstheme="majorBidi"/>
                <w:b/>
                <w:bCs/>
                <w:color w:val="000000"/>
                <w:sz w:val="16"/>
                <w:szCs w:val="16"/>
              </w:rPr>
              <w:t xml:space="preserve">6 </w:t>
            </w:r>
          </w:p>
        </w:tc>
        <w:tc>
          <w:tcPr>
            <w:tcW w:w="850" w:type="dxa"/>
          </w:tcPr>
          <w:p w:rsidR="00050EDB" w:rsidRPr="00D71C23" w:rsidRDefault="00050EDB" w:rsidP="00F94201">
            <w:pPr>
              <w:spacing w:line="240" w:lineRule="auto"/>
              <w:jc w:val="center"/>
              <w:rPr>
                <w:rFonts w:asciiTheme="majorBidi" w:eastAsia="SimHei" w:hAnsiTheme="majorBidi" w:cstheme="majorBidi"/>
                <w:b/>
                <w:bCs/>
                <w:color w:val="000000"/>
                <w:sz w:val="16"/>
                <w:szCs w:val="16"/>
              </w:rPr>
            </w:pPr>
            <w:r>
              <w:rPr>
                <w:rFonts w:asciiTheme="majorBidi" w:eastAsia="SimHei" w:hAnsiTheme="majorBidi" w:cstheme="majorBidi"/>
                <w:b/>
                <w:bCs/>
                <w:color w:val="000000"/>
                <w:sz w:val="16"/>
                <w:szCs w:val="16"/>
              </w:rPr>
              <w:t>9</w:t>
            </w:r>
          </w:p>
        </w:tc>
        <w:tc>
          <w:tcPr>
            <w:tcW w:w="970" w:type="dxa"/>
          </w:tcPr>
          <w:p w:rsidR="00050EDB" w:rsidRPr="00D71C23" w:rsidRDefault="00050EDB" w:rsidP="00F94201">
            <w:pPr>
              <w:spacing w:line="240" w:lineRule="auto"/>
              <w:jc w:val="center"/>
              <w:rPr>
                <w:rFonts w:asciiTheme="majorBidi" w:eastAsia="SimHei" w:hAnsiTheme="majorBidi" w:cstheme="majorBidi"/>
                <w:b/>
                <w:bCs/>
                <w:color w:val="000000"/>
                <w:sz w:val="16"/>
                <w:szCs w:val="16"/>
              </w:rPr>
            </w:pPr>
            <w:r>
              <w:rPr>
                <w:rFonts w:asciiTheme="majorBidi" w:eastAsia="SimHei" w:hAnsiTheme="majorBidi" w:cstheme="majorBidi"/>
                <w:b/>
                <w:bCs/>
                <w:color w:val="000000"/>
                <w:sz w:val="16"/>
                <w:szCs w:val="16"/>
              </w:rPr>
              <w:t xml:space="preserve">9 </w:t>
            </w:r>
          </w:p>
        </w:tc>
        <w:tc>
          <w:tcPr>
            <w:tcW w:w="1128" w:type="dxa"/>
          </w:tcPr>
          <w:p w:rsidR="00050EDB" w:rsidRPr="00D71C23" w:rsidRDefault="00050EDB" w:rsidP="00F94201">
            <w:pPr>
              <w:spacing w:line="240" w:lineRule="auto"/>
              <w:jc w:val="center"/>
              <w:rPr>
                <w:rFonts w:asciiTheme="majorBidi" w:eastAsia="SimHei" w:hAnsiTheme="majorBidi" w:cstheme="majorBidi"/>
                <w:b/>
                <w:bCs/>
                <w:color w:val="000000"/>
                <w:sz w:val="16"/>
                <w:szCs w:val="16"/>
              </w:rPr>
            </w:pPr>
            <w:r>
              <w:rPr>
                <w:rFonts w:asciiTheme="majorBidi" w:eastAsia="SimHei" w:hAnsiTheme="majorBidi" w:cstheme="majorBidi"/>
                <w:b/>
                <w:bCs/>
                <w:color w:val="000000"/>
                <w:sz w:val="16"/>
                <w:szCs w:val="16"/>
              </w:rPr>
              <w:t xml:space="preserve">8 </w:t>
            </w:r>
          </w:p>
        </w:tc>
        <w:tc>
          <w:tcPr>
            <w:tcW w:w="1423" w:type="dxa"/>
          </w:tcPr>
          <w:p w:rsidR="00050EDB" w:rsidRPr="00D71C23" w:rsidRDefault="00050EDB" w:rsidP="00F94201">
            <w:pPr>
              <w:spacing w:line="240" w:lineRule="auto"/>
              <w:jc w:val="center"/>
              <w:rPr>
                <w:rFonts w:asciiTheme="majorBidi" w:eastAsia="SimHei" w:hAnsiTheme="majorBidi" w:cstheme="majorBidi"/>
                <w:b/>
                <w:bCs/>
                <w:color w:val="000000"/>
                <w:sz w:val="16"/>
                <w:szCs w:val="16"/>
              </w:rPr>
            </w:pPr>
            <w:r>
              <w:rPr>
                <w:rFonts w:asciiTheme="majorBidi" w:eastAsia="SimHei" w:hAnsiTheme="majorBidi" w:cstheme="majorBidi"/>
                <w:b/>
                <w:bCs/>
                <w:color w:val="000000"/>
                <w:sz w:val="16"/>
                <w:szCs w:val="16"/>
              </w:rPr>
              <w:t xml:space="preserve">5 </w:t>
            </w:r>
          </w:p>
        </w:tc>
      </w:tr>
    </w:tbl>
    <w:p w:rsidR="00050EDB" w:rsidRDefault="00050EDB" w:rsidP="00F94201">
      <w:pPr>
        <w:spacing w:after="200" w:line="276" w:lineRule="auto"/>
        <w:ind w:left="-1276"/>
        <w:rPr>
          <w:rFonts w:asciiTheme="majorBidi" w:eastAsia="Times New Roman" w:hAnsiTheme="majorBidi" w:cstheme="majorBidi"/>
          <w:sz w:val="20"/>
          <w:szCs w:val="20"/>
        </w:rPr>
      </w:pPr>
      <w:r w:rsidRPr="00EC7B69">
        <w:rPr>
          <w:rFonts w:asciiTheme="majorBidi" w:eastAsia="Times New Roman" w:hAnsiTheme="majorBidi" w:cstheme="majorBidi"/>
          <w:sz w:val="20"/>
          <w:szCs w:val="20"/>
        </w:rPr>
        <w:t>L, low risk of bias; H, high risk of bias; U, unclear risk of bias.</w:t>
      </w:r>
    </w:p>
    <w:p w:rsidR="00050EDB" w:rsidRDefault="00050EDB" w:rsidP="00F94201">
      <w:pPr>
        <w:spacing w:line="360" w:lineRule="auto"/>
        <w:ind w:right="713"/>
        <w:rPr>
          <w:rFonts w:asciiTheme="majorBidi" w:hAnsiTheme="majorBidi" w:cstheme="majorBidi"/>
          <w:b/>
          <w:bCs/>
          <w:sz w:val="20"/>
          <w:szCs w:val="20"/>
        </w:rPr>
      </w:pPr>
    </w:p>
    <w:p w:rsidR="00050EDB" w:rsidRDefault="00050EDB" w:rsidP="00F94201">
      <w:pPr>
        <w:spacing w:line="360" w:lineRule="auto"/>
        <w:ind w:left="-993" w:right="713"/>
        <w:rPr>
          <w:rFonts w:asciiTheme="majorBidi" w:hAnsiTheme="majorBidi" w:cstheme="majorBidi"/>
          <w:b/>
          <w:bCs/>
          <w:sz w:val="20"/>
          <w:szCs w:val="20"/>
        </w:rPr>
      </w:pPr>
    </w:p>
    <w:p w:rsidR="00050EDB" w:rsidRPr="003E3148" w:rsidRDefault="00050EDB" w:rsidP="00B5313A">
      <w:pPr>
        <w:spacing w:line="360" w:lineRule="auto"/>
        <w:ind w:left="-993" w:right="713"/>
        <w:rPr>
          <w:rFonts w:asciiTheme="majorBidi" w:hAnsiTheme="majorBidi" w:cstheme="majorBidi"/>
          <w:sz w:val="20"/>
          <w:szCs w:val="20"/>
        </w:rPr>
      </w:pPr>
      <w:r w:rsidRPr="00D84869">
        <w:rPr>
          <w:rFonts w:asciiTheme="majorBidi" w:hAnsiTheme="majorBidi" w:cstheme="majorBidi"/>
          <w:b/>
          <w:bCs/>
          <w:sz w:val="20"/>
          <w:szCs w:val="20"/>
        </w:rPr>
        <w:t xml:space="preserve">Sup. Table 3. </w:t>
      </w:r>
      <w:r w:rsidR="00B5313A">
        <w:rPr>
          <w:rFonts w:asciiTheme="majorBidi" w:hAnsiTheme="majorBidi" w:cstheme="majorBidi"/>
          <w:sz w:val="20"/>
          <w:szCs w:val="20"/>
        </w:rPr>
        <w:t>Cont’d.</w:t>
      </w:r>
    </w:p>
    <w:tbl>
      <w:tblPr>
        <w:tblpPr w:leftFromText="180" w:rightFromText="180" w:vertAnchor="text" w:horzAnchor="margin" w:tblpXSpec="center" w:tblpY="153"/>
        <w:tblW w:w="13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1"/>
        <w:gridCol w:w="841"/>
        <w:gridCol w:w="841"/>
        <w:gridCol w:w="841"/>
        <w:gridCol w:w="1134"/>
        <w:gridCol w:w="851"/>
        <w:gridCol w:w="1134"/>
        <w:gridCol w:w="850"/>
        <w:gridCol w:w="993"/>
        <w:gridCol w:w="1289"/>
        <w:gridCol w:w="1134"/>
      </w:tblGrid>
      <w:tr w:rsidR="00050EDB" w:rsidRPr="00AD7DED" w:rsidTr="00F94201">
        <w:trPr>
          <w:trHeight w:val="300"/>
        </w:trPr>
        <w:tc>
          <w:tcPr>
            <w:tcW w:w="3701" w:type="dxa"/>
            <w:shd w:val="clear" w:color="auto" w:fill="auto"/>
            <w:noWrap/>
            <w:vAlign w:val="center"/>
            <w:hideMark/>
          </w:tcPr>
          <w:p w:rsidR="00050EDB" w:rsidRPr="00AD7DED" w:rsidRDefault="00050EDB" w:rsidP="00F94201">
            <w:pPr>
              <w:spacing w:line="240" w:lineRule="auto"/>
              <w:rPr>
                <w:rFonts w:asciiTheme="majorBidi" w:eastAsia="DengXian" w:hAnsiTheme="majorBidi" w:cstheme="majorBidi"/>
                <w:b/>
                <w:bCs/>
                <w:color w:val="000000"/>
                <w:sz w:val="18"/>
                <w:szCs w:val="18"/>
              </w:rPr>
            </w:pPr>
            <w:r w:rsidRPr="00AD7DED">
              <w:rPr>
                <w:rFonts w:asciiTheme="majorBidi" w:hAnsiTheme="majorBidi" w:cstheme="majorBidi"/>
                <w:b/>
                <w:bCs/>
                <w:sz w:val="18"/>
                <w:szCs w:val="18"/>
              </w:rPr>
              <w:t>ARHQ Methodology Checklist items for Cross-Sectional study</w:t>
            </w:r>
          </w:p>
        </w:tc>
        <w:tc>
          <w:tcPr>
            <w:tcW w:w="841" w:type="dxa"/>
          </w:tcPr>
          <w:p w:rsidR="00050EDB" w:rsidRPr="00063AC5" w:rsidRDefault="00050EDB" w:rsidP="00F94201">
            <w:pPr>
              <w:spacing w:line="240" w:lineRule="auto"/>
              <w:jc w:val="center"/>
              <w:rPr>
                <w:rFonts w:asciiTheme="majorBidi" w:eastAsia="DengXian" w:hAnsiTheme="majorBidi" w:cstheme="majorBidi"/>
                <w:b/>
                <w:bCs/>
                <w:color w:val="000000"/>
                <w:sz w:val="18"/>
                <w:szCs w:val="18"/>
              </w:rPr>
            </w:pPr>
            <w:proofErr w:type="spellStart"/>
            <w:r w:rsidRPr="00063AC5">
              <w:rPr>
                <w:rFonts w:asciiTheme="majorBidi" w:eastAsia="DengXian" w:hAnsiTheme="majorBidi" w:cstheme="majorBidi"/>
                <w:b/>
                <w:bCs/>
                <w:color w:val="000000"/>
                <w:sz w:val="18"/>
                <w:szCs w:val="18"/>
              </w:rPr>
              <w:t>Jullin</w:t>
            </w:r>
            <w:proofErr w:type="spellEnd"/>
            <w:r w:rsidRPr="00063AC5">
              <w:rPr>
                <w:rFonts w:asciiTheme="majorBidi" w:eastAsia="DengXian" w:hAnsiTheme="majorBidi" w:cstheme="majorBidi"/>
                <w:b/>
                <w:bCs/>
                <w:color w:val="000000"/>
                <w:sz w:val="18"/>
                <w:szCs w:val="18"/>
              </w:rPr>
              <w:t xml:space="preserve"> B et al </w:t>
            </w:r>
            <w:r w:rsidRPr="00063AC5">
              <w:rPr>
                <w:rFonts w:asciiTheme="majorBidi" w:eastAsia="DengXian" w:hAnsiTheme="majorBidi" w:cstheme="majorBidi"/>
                <w:b/>
                <w:bCs/>
                <w:noProof/>
                <w:color w:val="000000"/>
                <w:sz w:val="18"/>
                <w:szCs w:val="18"/>
              </w:rPr>
              <w:t>[11]</w:t>
            </w:r>
          </w:p>
        </w:tc>
        <w:tc>
          <w:tcPr>
            <w:tcW w:w="841" w:type="dxa"/>
          </w:tcPr>
          <w:p w:rsidR="00050EDB" w:rsidRPr="00063AC5" w:rsidRDefault="00050EDB" w:rsidP="00F94201">
            <w:pPr>
              <w:autoSpaceDE w:val="0"/>
              <w:autoSpaceDN w:val="0"/>
              <w:adjustRightInd w:val="0"/>
              <w:spacing w:after="0" w:line="240" w:lineRule="auto"/>
              <w:rPr>
                <w:rFonts w:asciiTheme="majorBidi" w:hAnsiTheme="majorBidi" w:cstheme="majorBidi"/>
                <w:b/>
                <w:bCs/>
                <w:sz w:val="18"/>
                <w:szCs w:val="18"/>
              </w:rPr>
            </w:pPr>
            <w:proofErr w:type="spellStart"/>
            <w:r w:rsidRPr="00063AC5">
              <w:rPr>
                <w:rFonts w:asciiTheme="majorBidi" w:hAnsiTheme="majorBidi" w:cstheme="majorBidi"/>
                <w:b/>
                <w:bCs/>
                <w:sz w:val="18"/>
                <w:szCs w:val="18"/>
              </w:rPr>
              <w:t>Müezzinler</w:t>
            </w:r>
            <w:proofErr w:type="spellEnd"/>
            <w:r w:rsidRPr="00063AC5">
              <w:rPr>
                <w:rFonts w:asciiTheme="majorBidi" w:hAnsiTheme="majorBidi" w:cstheme="majorBidi"/>
                <w:b/>
                <w:bCs/>
                <w:sz w:val="18"/>
                <w:szCs w:val="18"/>
              </w:rPr>
              <w:t xml:space="preserve"> A et al </w:t>
            </w:r>
            <w:r w:rsidRPr="00063AC5">
              <w:rPr>
                <w:rFonts w:asciiTheme="majorBidi" w:hAnsiTheme="majorBidi" w:cstheme="majorBidi"/>
                <w:b/>
                <w:bCs/>
                <w:noProof/>
                <w:sz w:val="18"/>
                <w:szCs w:val="18"/>
              </w:rPr>
              <w:t>[12]</w:t>
            </w:r>
          </w:p>
          <w:p w:rsidR="00050EDB" w:rsidRPr="00063AC5" w:rsidRDefault="00050EDB" w:rsidP="00F94201">
            <w:pPr>
              <w:spacing w:line="240" w:lineRule="auto"/>
              <w:jc w:val="center"/>
              <w:rPr>
                <w:rFonts w:asciiTheme="majorBidi" w:eastAsia="DengXian" w:hAnsiTheme="majorBidi" w:cstheme="majorBidi"/>
                <w:b/>
                <w:bCs/>
                <w:color w:val="000000"/>
                <w:sz w:val="18"/>
                <w:szCs w:val="18"/>
              </w:rPr>
            </w:pPr>
          </w:p>
        </w:tc>
        <w:tc>
          <w:tcPr>
            <w:tcW w:w="841" w:type="dxa"/>
            <w:vAlign w:val="center"/>
          </w:tcPr>
          <w:p w:rsidR="00050EDB" w:rsidRPr="00AD7DED" w:rsidRDefault="00050EDB" w:rsidP="00F94201">
            <w:pPr>
              <w:adjustRightInd w:val="0"/>
              <w:snapToGrid w:val="0"/>
              <w:spacing w:line="240" w:lineRule="auto"/>
              <w:jc w:val="center"/>
              <w:rPr>
                <w:rFonts w:asciiTheme="majorBidi" w:hAnsiTheme="majorBidi" w:cstheme="majorBidi"/>
                <w:b/>
                <w:bCs/>
                <w:sz w:val="18"/>
                <w:szCs w:val="18"/>
              </w:rPr>
            </w:pPr>
            <w:proofErr w:type="spellStart"/>
            <w:r w:rsidRPr="00AD7DED">
              <w:rPr>
                <w:rFonts w:asciiTheme="majorBidi" w:hAnsiTheme="majorBidi" w:cstheme="majorBidi"/>
                <w:b/>
                <w:bCs/>
                <w:sz w:val="18"/>
                <w:szCs w:val="18"/>
              </w:rPr>
              <w:t>Ciu</w:t>
            </w:r>
            <w:proofErr w:type="spellEnd"/>
            <w:r w:rsidRPr="00AD7DED">
              <w:rPr>
                <w:rFonts w:asciiTheme="majorBidi" w:hAnsiTheme="majorBidi" w:cstheme="majorBidi"/>
                <w:b/>
                <w:bCs/>
                <w:sz w:val="18"/>
                <w:szCs w:val="18"/>
              </w:rPr>
              <w:t xml:space="preserve"> Y et al </w:t>
            </w:r>
            <w:r>
              <w:rPr>
                <w:rFonts w:asciiTheme="majorBidi" w:hAnsiTheme="majorBidi" w:cstheme="majorBidi"/>
                <w:b/>
                <w:bCs/>
                <w:noProof/>
                <w:sz w:val="18"/>
                <w:szCs w:val="18"/>
              </w:rPr>
              <w:t>[13]</w:t>
            </w:r>
          </w:p>
        </w:tc>
        <w:tc>
          <w:tcPr>
            <w:tcW w:w="1134" w:type="dxa"/>
          </w:tcPr>
          <w:p w:rsidR="00050EDB" w:rsidRPr="00AD7DED" w:rsidRDefault="00050EDB" w:rsidP="00F94201">
            <w:pPr>
              <w:spacing w:line="240" w:lineRule="auto"/>
              <w:jc w:val="center"/>
              <w:rPr>
                <w:rFonts w:asciiTheme="majorBidi" w:eastAsia="DengXian" w:hAnsiTheme="majorBidi" w:cstheme="majorBidi"/>
                <w:b/>
                <w:bCs/>
                <w:color w:val="000000"/>
                <w:sz w:val="18"/>
                <w:szCs w:val="18"/>
              </w:rPr>
            </w:pPr>
            <w:r w:rsidRPr="00AD7DED">
              <w:rPr>
                <w:rFonts w:asciiTheme="majorBidi" w:hAnsiTheme="majorBidi" w:cstheme="majorBidi"/>
                <w:b/>
                <w:bCs/>
                <w:sz w:val="18"/>
                <w:szCs w:val="18"/>
              </w:rPr>
              <w:t xml:space="preserve">Strandberg TE et al </w:t>
            </w:r>
            <w:r>
              <w:rPr>
                <w:rFonts w:asciiTheme="majorBidi" w:hAnsiTheme="majorBidi" w:cstheme="majorBidi"/>
                <w:b/>
                <w:bCs/>
                <w:noProof/>
                <w:sz w:val="18"/>
                <w:szCs w:val="18"/>
              </w:rPr>
              <w:t>[14]</w:t>
            </w:r>
          </w:p>
        </w:tc>
        <w:tc>
          <w:tcPr>
            <w:tcW w:w="851" w:type="dxa"/>
          </w:tcPr>
          <w:p w:rsidR="00050EDB" w:rsidRPr="00AD7DED" w:rsidRDefault="00050EDB" w:rsidP="00F94201">
            <w:pPr>
              <w:spacing w:line="240" w:lineRule="auto"/>
              <w:rPr>
                <w:rFonts w:asciiTheme="majorBidi" w:eastAsia="DengXian" w:hAnsiTheme="majorBidi" w:cstheme="majorBidi"/>
                <w:b/>
                <w:bCs/>
                <w:color w:val="000000"/>
                <w:sz w:val="18"/>
                <w:szCs w:val="18"/>
              </w:rPr>
            </w:pPr>
            <w:r w:rsidRPr="00AD7DED">
              <w:rPr>
                <w:rFonts w:asciiTheme="majorBidi" w:hAnsiTheme="majorBidi" w:cstheme="majorBidi"/>
                <w:b/>
                <w:bCs/>
                <w:sz w:val="18"/>
                <w:szCs w:val="18"/>
              </w:rPr>
              <w:t>Fitzpatrick et al AL</w:t>
            </w:r>
            <w:r>
              <w:rPr>
                <w:rFonts w:asciiTheme="majorBidi" w:hAnsiTheme="majorBidi" w:cstheme="majorBidi"/>
                <w:b/>
                <w:bCs/>
                <w:noProof/>
                <w:sz w:val="18"/>
                <w:szCs w:val="18"/>
              </w:rPr>
              <w:t>[15]</w:t>
            </w:r>
          </w:p>
        </w:tc>
        <w:tc>
          <w:tcPr>
            <w:tcW w:w="1134" w:type="dxa"/>
          </w:tcPr>
          <w:p w:rsidR="00050EDB" w:rsidRPr="00AD7DED" w:rsidRDefault="00050EDB" w:rsidP="00F94201">
            <w:pPr>
              <w:spacing w:line="240" w:lineRule="auto"/>
              <w:rPr>
                <w:rFonts w:asciiTheme="majorBidi" w:eastAsia="DengXian" w:hAnsiTheme="majorBidi" w:cstheme="majorBidi"/>
                <w:b/>
                <w:bCs/>
                <w:color w:val="000000"/>
                <w:sz w:val="18"/>
                <w:szCs w:val="18"/>
              </w:rPr>
            </w:pPr>
            <w:r>
              <w:rPr>
                <w:rFonts w:asciiTheme="majorBidi" w:eastAsia="DengXian" w:hAnsiTheme="majorBidi" w:cstheme="majorBidi"/>
                <w:b/>
                <w:bCs/>
                <w:color w:val="000000"/>
                <w:sz w:val="18"/>
                <w:szCs w:val="18"/>
              </w:rPr>
              <w:t xml:space="preserve">Cassidy AD et al </w:t>
            </w:r>
            <w:r>
              <w:rPr>
                <w:rFonts w:asciiTheme="majorBidi" w:eastAsia="DengXian" w:hAnsiTheme="majorBidi" w:cstheme="majorBidi"/>
                <w:b/>
                <w:bCs/>
                <w:noProof/>
                <w:color w:val="000000"/>
                <w:sz w:val="18"/>
                <w:szCs w:val="18"/>
              </w:rPr>
              <w:t>[16]</w:t>
            </w:r>
          </w:p>
        </w:tc>
        <w:tc>
          <w:tcPr>
            <w:tcW w:w="850" w:type="dxa"/>
          </w:tcPr>
          <w:p w:rsidR="00050EDB" w:rsidRPr="00063AC5" w:rsidRDefault="00050EDB" w:rsidP="00F94201">
            <w:pPr>
              <w:spacing w:line="240" w:lineRule="auto"/>
              <w:jc w:val="center"/>
              <w:rPr>
                <w:rFonts w:asciiTheme="majorBidi" w:eastAsia="DengXian" w:hAnsiTheme="majorBidi" w:cstheme="majorBidi"/>
                <w:b/>
                <w:bCs/>
                <w:color w:val="000000"/>
                <w:sz w:val="18"/>
                <w:szCs w:val="18"/>
              </w:rPr>
            </w:pPr>
            <w:proofErr w:type="spellStart"/>
            <w:r w:rsidRPr="00B46C2D">
              <w:rPr>
                <w:rFonts w:asciiTheme="majorBidi" w:eastAsia="DengXian" w:hAnsiTheme="majorBidi" w:cstheme="majorBidi"/>
                <w:b/>
                <w:bCs/>
                <w:color w:val="000000"/>
                <w:sz w:val="18"/>
                <w:szCs w:val="18"/>
              </w:rPr>
              <w:t>Hardikar</w:t>
            </w:r>
            <w:proofErr w:type="spellEnd"/>
            <w:r>
              <w:rPr>
                <w:rFonts w:asciiTheme="majorBidi" w:eastAsia="DengXian" w:hAnsiTheme="majorBidi" w:cstheme="majorBidi"/>
                <w:b/>
                <w:bCs/>
                <w:color w:val="000000"/>
                <w:sz w:val="18"/>
                <w:szCs w:val="18"/>
              </w:rPr>
              <w:t xml:space="preserve"> SH et al </w:t>
            </w:r>
            <w:r>
              <w:rPr>
                <w:rFonts w:asciiTheme="majorBidi" w:eastAsia="DengXian" w:hAnsiTheme="majorBidi" w:cstheme="majorBidi"/>
                <w:b/>
                <w:bCs/>
                <w:noProof/>
                <w:color w:val="000000"/>
                <w:sz w:val="18"/>
                <w:szCs w:val="18"/>
              </w:rPr>
              <w:t>[17]</w:t>
            </w:r>
          </w:p>
        </w:tc>
        <w:tc>
          <w:tcPr>
            <w:tcW w:w="993" w:type="dxa"/>
          </w:tcPr>
          <w:p w:rsidR="00050EDB" w:rsidRPr="00063AC5" w:rsidRDefault="00050EDB" w:rsidP="00F94201">
            <w:pPr>
              <w:spacing w:line="240" w:lineRule="auto"/>
              <w:jc w:val="center"/>
              <w:rPr>
                <w:rFonts w:asciiTheme="majorBidi" w:eastAsia="DengXian" w:hAnsiTheme="majorBidi" w:cstheme="majorBidi"/>
                <w:b/>
                <w:bCs/>
                <w:color w:val="000000"/>
                <w:sz w:val="18"/>
                <w:szCs w:val="18"/>
              </w:rPr>
            </w:pPr>
            <w:proofErr w:type="spellStart"/>
            <w:r>
              <w:rPr>
                <w:rFonts w:asciiTheme="majorBidi" w:eastAsia="DengXian" w:hAnsiTheme="majorBidi" w:cstheme="majorBidi"/>
                <w:b/>
                <w:bCs/>
                <w:color w:val="000000"/>
                <w:sz w:val="18"/>
                <w:szCs w:val="18"/>
              </w:rPr>
              <w:t>Zalli</w:t>
            </w:r>
            <w:proofErr w:type="spellEnd"/>
            <w:r>
              <w:rPr>
                <w:rFonts w:asciiTheme="majorBidi" w:eastAsia="DengXian" w:hAnsiTheme="majorBidi" w:cstheme="majorBidi"/>
                <w:b/>
                <w:bCs/>
                <w:color w:val="000000"/>
                <w:sz w:val="18"/>
                <w:szCs w:val="18"/>
              </w:rPr>
              <w:t xml:space="preserve"> A et al </w:t>
            </w:r>
            <w:r>
              <w:rPr>
                <w:rFonts w:asciiTheme="majorBidi" w:eastAsia="DengXian" w:hAnsiTheme="majorBidi" w:cstheme="majorBidi"/>
                <w:b/>
                <w:bCs/>
                <w:noProof/>
                <w:color w:val="000000"/>
                <w:sz w:val="18"/>
                <w:szCs w:val="18"/>
              </w:rPr>
              <w:t>[18]</w:t>
            </w:r>
          </w:p>
        </w:tc>
        <w:tc>
          <w:tcPr>
            <w:tcW w:w="1289" w:type="dxa"/>
          </w:tcPr>
          <w:p w:rsidR="00050EDB" w:rsidRPr="00063AC5" w:rsidRDefault="00050EDB" w:rsidP="00F94201">
            <w:pPr>
              <w:spacing w:line="240" w:lineRule="auto"/>
              <w:jc w:val="center"/>
              <w:rPr>
                <w:rFonts w:asciiTheme="majorBidi" w:eastAsia="DengXian" w:hAnsiTheme="majorBidi" w:cstheme="majorBidi"/>
                <w:b/>
                <w:bCs/>
                <w:color w:val="000000"/>
                <w:sz w:val="18"/>
                <w:szCs w:val="18"/>
              </w:rPr>
            </w:pPr>
            <w:r>
              <w:rPr>
                <w:rFonts w:asciiTheme="majorBidi" w:eastAsia="DengXian" w:hAnsiTheme="majorBidi" w:cstheme="majorBidi"/>
                <w:b/>
                <w:bCs/>
                <w:color w:val="000000"/>
                <w:sz w:val="18"/>
                <w:szCs w:val="18"/>
              </w:rPr>
              <w:t xml:space="preserve">Chen S et al </w:t>
            </w:r>
            <w:r>
              <w:rPr>
                <w:rFonts w:asciiTheme="majorBidi" w:eastAsia="DengXian" w:hAnsiTheme="majorBidi" w:cstheme="majorBidi"/>
                <w:b/>
                <w:bCs/>
                <w:noProof/>
                <w:color w:val="000000"/>
                <w:sz w:val="18"/>
                <w:szCs w:val="18"/>
              </w:rPr>
              <w:t>[19]</w:t>
            </w:r>
          </w:p>
        </w:tc>
        <w:tc>
          <w:tcPr>
            <w:tcW w:w="1134" w:type="dxa"/>
          </w:tcPr>
          <w:p w:rsidR="00050EDB" w:rsidRPr="00063AC5" w:rsidRDefault="00050EDB" w:rsidP="00F94201">
            <w:pPr>
              <w:spacing w:line="240" w:lineRule="auto"/>
              <w:jc w:val="center"/>
              <w:rPr>
                <w:rFonts w:asciiTheme="majorBidi" w:eastAsia="DengXian" w:hAnsiTheme="majorBidi" w:cstheme="majorBidi"/>
                <w:b/>
                <w:bCs/>
                <w:color w:val="000000"/>
                <w:sz w:val="18"/>
                <w:szCs w:val="18"/>
              </w:rPr>
            </w:pPr>
            <w:r>
              <w:rPr>
                <w:rFonts w:asciiTheme="majorBidi" w:eastAsia="DengXian" w:hAnsiTheme="majorBidi" w:cstheme="majorBidi"/>
                <w:b/>
                <w:bCs/>
                <w:color w:val="000000"/>
                <w:sz w:val="18"/>
                <w:szCs w:val="18"/>
              </w:rPr>
              <w:t xml:space="preserve">Liu J et al </w:t>
            </w:r>
            <w:r>
              <w:rPr>
                <w:rFonts w:asciiTheme="majorBidi" w:eastAsia="DengXian" w:hAnsiTheme="majorBidi" w:cstheme="majorBidi"/>
                <w:b/>
                <w:bCs/>
                <w:noProof/>
                <w:color w:val="000000"/>
                <w:sz w:val="18"/>
                <w:szCs w:val="18"/>
              </w:rPr>
              <w:t>[20]</w:t>
            </w:r>
          </w:p>
        </w:tc>
      </w:tr>
      <w:tr w:rsidR="00050EDB" w:rsidRPr="00D71C23" w:rsidTr="00F94201">
        <w:trPr>
          <w:trHeight w:val="557"/>
        </w:trPr>
        <w:tc>
          <w:tcPr>
            <w:tcW w:w="3701" w:type="dxa"/>
            <w:shd w:val="clear" w:color="auto" w:fill="auto"/>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r w:rsidRPr="00D71C23">
              <w:rPr>
                <w:rFonts w:asciiTheme="majorBidi" w:eastAsia="DengXian" w:hAnsiTheme="majorBidi" w:cstheme="majorBidi"/>
                <w:color w:val="000000"/>
                <w:sz w:val="16"/>
                <w:szCs w:val="16"/>
              </w:rPr>
              <w:t>1) Define the source of information (survey, record review)</w:t>
            </w:r>
          </w:p>
        </w:tc>
        <w:tc>
          <w:tcPr>
            <w:tcW w:w="841"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841"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841"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1134"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851"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134" w:type="dxa"/>
          </w:tcPr>
          <w:p w:rsidR="00050EDB" w:rsidRPr="002856A6" w:rsidRDefault="00050EDB" w:rsidP="00F94201">
            <w:pPr>
              <w:spacing w:line="240" w:lineRule="auto"/>
              <w:jc w:val="center"/>
              <w:rPr>
                <w:rFonts w:ascii="Cambria Math" w:eastAsia="SimHei" w:hAnsi="Cambria Math"/>
                <w:bCs/>
                <w:color w:val="000000"/>
                <w:sz w:val="16"/>
                <w:szCs w:val="16"/>
                <w:rtl/>
                <w:lang w:bidi="fa-IR"/>
              </w:rPr>
            </w:pPr>
            <w:r w:rsidRPr="00D71C23">
              <w:rPr>
                <w:rFonts w:ascii="Cambria Math" w:eastAsia="SimHei" w:hAnsi="Cambria Math" w:cs="Cambria Math"/>
                <w:bCs/>
                <w:color w:val="000000"/>
                <w:sz w:val="16"/>
                <w:szCs w:val="16"/>
              </w:rPr>
              <w:t>⊕</w:t>
            </w:r>
          </w:p>
        </w:tc>
        <w:tc>
          <w:tcPr>
            <w:tcW w:w="850" w:type="dxa"/>
          </w:tcPr>
          <w:p w:rsidR="00050EDB" w:rsidRPr="00D71C23" w:rsidRDefault="00050EDB" w:rsidP="00F94201">
            <w:pPr>
              <w:spacing w:line="240" w:lineRule="auto"/>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993" w:type="dxa"/>
          </w:tcPr>
          <w:p w:rsidR="00050EDB" w:rsidRPr="00D71C23" w:rsidRDefault="00050EDB" w:rsidP="00F94201">
            <w:pPr>
              <w:spacing w:line="240" w:lineRule="auto"/>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1289"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1134"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r>
      <w:tr w:rsidR="00050EDB" w:rsidRPr="00D71C23" w:rsidTr="00F94201">
        <w:trPr>
          <w:trHeight w:val="742"/>
        </w:trPr>
        <w:tc>
          <w:tcPr>
            <w:tcW w:w="3701" w:type="dxa"/>
            <w:shd w:val="clear" w:color="auto" w:fill="auto"/>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r w:rsidRPr="00D71C23">
              <w:rPr>
                <w:rFonts w:asciiTheme="majorBidi" w:eastAsia="DengXian" w:hAnsiTheme="majorBidi" w:cstheme="majorBidi"/>
                <w:color w:val="000000"/>
                <w:sz w:val="16"/>
                <w:szCs w:val="16"/>
              </w:rPr>
              <w:t>2) List inclusion and exclusion criteria for exposed and unexposed subjects (cases and controls) or refer to previous publications</w:t>
            </w:r>
          </w:p>
        </w:tc>
        <w:tc>
          <w:tcPr>
            <w:tcW w:w="841" w:type="dxa"/>
          </w:tcPr>
          <w:p w:rsidR="00050EDB" w:rsidRPr="00B83D16"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841"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841" w:type="dxa"/>
          </w:tcPr>
          <w:p w:rsidR="00050EDB" w:rsidRPr="00D71C23" w:rsidRDefault="00050EDB" w:rsidP="00F94201">
            <w:pPr>
              <w:spacing w:line="240" w:lineRule="auto"/>
              <w:jc w:val="center"/>
              <w:rPr>
                <w:rFonts w:ascii="Cambria Math" w:eastAsia="SimHei" w:hAnsi="Cambria Math" w:cs="Cambria Math"/>
                <w:sz w:val="16"/>
                <w:szCs w:val="16"/>
              </w:rPr>
            </w:pPr>
            <w:r>
              <w:rPr>
                <w:rFonts w:ascii="Cambria Math" w:eastAsia="SimHei" w:hAnsi="Cambria Math" w:cs="Cambria Math"/>
                <w:sz w:val="16"/>
                <w:szCs w:val="16"/>
              </w:rPr>
              <w:t xml:space="preserve">U </w:t>
            </w:r>
          </w:p>
        </w:tc>
        <w:tc>
          <w:tcPr>
            <w:tcW w:w="1134"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851"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134"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850"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Pr>
                <w:rFonts w:ascii="Cambria Math" w:eastAsia="SimHei" w:hAnsi="Cambria Math" w:cs="Cambria Math"/>
                <w:bCs/>
                <w:color w:val="000000"/>
                <w:sz w:val="16"/>
                <w:szCs w:val="16"/>
              </w:rPr>
              <w:t xml:space="preserve">U </w:t>
            </w:r>
          </w:p>
        </w:tc>
        <w:tc>
          <w:tcPr>
            <w:tcW w:w="993"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Pr>
                <w:rFonts w:ascii="Cambria Math" w:eastAsia="SimHei" w:hAnsi="Cambria Math" w:cs="Cambria Math"/>
                <w:bCs/>
                <w:color w:val="000000"/>
                <w:sz w:val="16"/>
                <w:szCs w:val="16"/>
              </w:rPr>
              <w:t xml:space="preserve">U </w:t>
            </w:r>
          </w:p>
        </w:tc>
        <w:tc>
          <w:tcPr>
            <w:tcW w:w="1289"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134"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r>
      <w:tr w:rsidR="00050EDB" w:rsidRPr="00D71C23" w:rsidTr="00F94201">
        <w:trPr>
          <w:trHeight w:val="554"/>
        </w:trPr>
        <w:tc>
          <w:tcPr>
            <w:tcW w:w="3701" w:type="dxa"/>
            <w:shd w:val="clear" w:color="auto" w:fill="auto"/>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r w:rsidRPr="00D71C23">
              <w:rPr>
                <w:rFonts w:asciiTheme="majorBidi" w:eastAsia="DengXian" w:hAnsiTheme="majorBidi" w:cstheme="majorBidi"/>
                <w:color w:val="000000"/>
                <w:sz w:val="16"/>
                <w:szCs w:val="16"/>
              </w:rPr>
              <w:t>3) Indicate time period used for identifying patients</w:t>
            </w:r>
          </w:p>
        </w:tc>
        <w:tc>
          <w:tcPr>
            <w:tcW w:w="841" w:type="dxa"/>
          </w:tcPr>
          <w:p w:rsidR="00050EDB" w:rsidRPr="00D71C23" w:rsidRDefault="00050EDB" w:rsidP="00F94201">
            <w:pPr>
              <w:spacing w:line="240" w:lineRule="auto"/>
              <w:jc w:val="center"/>
              <w:rPr>
                <w:rFonts w:ascii="Cambria Math" w:eastAsia="SimHei" w:hAnsi="Cambria Math" w:cs="Cambria Math"/>
                <w:b/>
                <w:color w:val="000000"/>
                <w:sz w:val="16"/>
                <w:szCs w:val="16"/>
              </w:rPr>
            </w:pPr>
            <w:r w:rsidRPr="00D71C23">
              <w:rPr>
                <w:rFonts w:ascii="Cambria Math" w:eastAsia="SimHei" w:hAnsi="Cambria Math" w:cs="Cambria Math"/>
                <w:bCs/>
                <w:color w:val="000000"/>
                <w:sz w:val="16"/>
                <w:szCs w:val="16"/>
              </w:rPr>
              <w:t>⊕</w:t>
            </w:r>
          </w:p>
        </w:tc>
        <w:tc>
          <w:tcPr>
            <w:tcW w:w="841"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841"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1134" w:type="dxa"/>
            <w:vAlign w:val="center"/>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851"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134"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850"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993" w:type="dxa"/>
          </w:tcPr>
          <w:p w:rsidR="00050EDB" w:rsidRPr="00D71C23" w:rsidRDefault="00050EDB" w:rsidP="00F94201">
            <w:pPr>
              <w:spacing w:line="240" w:lineRule="auto"/>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1289"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1134"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r>
      <w:tr w:rsidR="00050EDB" w:rsidRPr="00D71C23" w:rsidTr="00F94201">
        <w:trPr>
          <w:trHeight w:val="266"/>
        </w:trPr>
        <w:tc>
          <w:tcPr>
            <w:tcW w:w="3701" w:type="dxa"/>
            <w:shd w:val="clear" w:color="auto" w:fill="auto"/>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r w:rsidRPr="00D71C23">
              <w:rPr>
                <w:rFonts w:asciiTheme="majorBidi" w:eastAsia="DengXian" w:hAnsiTheme="majorBidi" w:cstheme="majorBidi"/>
                <w:color w:val="000000"/>
                <w:sz w:val="16"/>
                <w:szCs w:val="16"/>
              </w:rPr>
              <w:t>4) Indicate whether or not subjects were consecutive if not population-based</w:t>
            </w:r>
          </w:p>
        </w:tc>
        <w:tc>
          <w:tcPr>
            <w:tcW w:w="841"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841"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841"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134" w:type="dxa"/>
            <w:vAlign w:val="center"/>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851"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134"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850"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993" w:type="dxa"/>
          </w:tcPr>
          <w:p w:rsidR="00050EDB" w:rsidRPr="00D71C23" w:rsidRDefault="00050EDB" w:rsidP="00F94201">
            <w:pPr>
              <w:spacing w:line="240" w:lineRule="auto"/>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1289"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134"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r>
      <w:tr w:rsidR="00050EDB" w:rsidRPr="00D71C23" w:rsidTr="00F94201">
        <w:trPr>
          <w:trHeight w:val="418"/>
        </w:trPr>
        <w:tc>
          <w:tcPr>
            <w:tcW w:w="3701" w:type="dxa"/>
            <w:shd w:val="clear" w:color="auto" w:fill="auto"/>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r w:rsidRPr="00D71C23">
              <w:rPr>
                <w:rFonts w:asciiTheme="majorBidi" w:eastAsia="DengXian" w:hAnsiTheme="majorBidi" w:cstheme="majorBidi"/>
                <w:color w:val="000000"/>
                <w:sz w:val="16"/>
                <w:szCs w:val="16"/>
              </w:rPr>
              <w:t>5) Indicate if evaluators of subjective components of study were masked to other aspects of the status of the participants</w:t>
            </w:r>
          </w:p>
        </w:tc>
        <w:tc>
          <w:tcPr>
            <w:tcW w:w="841" w:type="dxa"/>
          </w:tcPr>
          <w:p w:rsidR="00050EDB" w:rsidRPr="00D71C23" w:rsidRDefault="00050EDB" w:rsidP="00F94201">
            <w:pPr>
              <w:spacing w:line="240" w:lineRule="auto"/>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841"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c>
          <w:tcPr>
            <w:tcW w:w="841" w:type="dxa"/>
          </w:tcPr>
          <w:p w:rsidR="00050EDB" w:rsidRPr="00D71C23" w:rsidRDefault="00050EDB" w:rsidP="00F94201">
            <w:pPr>
              <w:spacing w:line="240" w:lineRule="auto"/>
              <w:jc w:val="center"/>
              <w:rPr>
                <w:rFonts w:asciiTheme="majorBidi" w:eastAsia="SimHei" w:hAnsiTheme="majorBidi" w:cstheme="majorBidi"/>
                <w:sz w:val="16"/>
                <w:szCs w:val="16"/>
              </w:rPr>
            </w:pPr>
            <w:r>
              <w:rPr>
                <w:rFonts w:asciiTheme="majorBidi" w:eastAsia="SimHei" w:hAnsiTheme="majorBidi" w:cstheme="majorBidi"/>
                <w:sz w:val="16"/>
                <w:szCs w:val="16"/>
              </w:rPr>
              <w:t xml:space="preserve">U </w:t>
            </w:r>
          </w:p>
        </w:tc>
        <w:tc>
          <w:tcPr>
            <w:tcW w:w="1134" w:type="dxa"/>
            <w:vAlign w:val="center"/>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c>
          <w:tcPr>
            <w:tcW w:w="851"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1134" w:type="dxa"/>
          </w:tcPr>
          <w:p w:rsidR="00050EDB" w:rsidRPr="00D71C23" w:rsidRDefault="00050EDB" w:rsidP="00F94201">
            <w:pPr>
              <w:spacing w:line="240" w:lineRule="auto"/>
              <w:jc w:val="center"/>
              <w:rPr>
                <w:rFonts w:asciiTheme="majorBidi" w:eastAsia="SimHei" w:hAnsiTheme="majorBidi" w:cstheme="majorBidi"/>
                <w:sz w:val="16"/>
                <w:szCs w:val="16"/>
              </w:rPr>
            </w:pPr>
            <w:r>
              <w:rPr>
                <w:rFonts w:asciiTheme="majorBidi" w:eastAsia="SimHei" w:hAnsiTheme="majorBidi" w:cstheme="majorBidi"/>
                <w:sz w:val="16"/>
                <w:szCs w:val="16"/>
              </w:rPr>
              <w:t xml:space="preserve">U </w:t>
            </w:r>
          </w:p>
        </w:tc>
        <w:tc>
          <w:tcPr>
            <w:tcW w:w="850"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993"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c>
          <w:tcPr>
            <w:tcW w:w="1289" w:type="dxa"/>
          </w:tcPr>
          <w:p w:rsidR="00050EDB" w:rsidRPr="00D71C23" w:rsidRDefault="00050EDB" w:rsidP="00F94201">
            <w:pPr>
              <w:spacing w:line="240" w:lineRule="auto"/>
              <w:jc w:val="center"/>
              <w:rPr>
                <w:rFonts w:asciiTheme="majorBidi" w:eastAsia="SimHei" w:hAnsiTheme="majorBidi" w:cstheme="majorBidi"/>
                <w:sz w:val="16"/>
                <w:szCs w:val="16"/>
              </w:rPr>
            </w:pPr>
            <w:r w:rsidRPr="00D71C23">
              <w:rPr>
                <w:rFonts w:ascii="Cambria Math" w:eastAsia="SimHei" w:hAnsi="Cambria Math" w:cs="Cambria Math"/>
                <w:bCs/>
                <w:color w:val="000000"/>
                <w:sz w:val="16"/>
                <w:szCs w:val="16"/>
              </w:rPr>
              <w:t>⊕</w:t>
            </w:r>
          </w:p>
        </w:tc>
        <w:tc>
          <w:tcPr>
            <w:tcW w:w="1134"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r>
      <w:tr w:rsidR="00050EDB" w:rsidRPr="00D71C23" w:rsidTr="00F94201">
        <w:trPr>
          <w:trHeight w:val="454"/>
        </w:trPr>
        <w:tc>
          <w:tcPr>
            <w:tcW w:w="3701" w:type="dxa"/>
            <w:shd w:val="clear" w:color="auto" w:fill="auto"/>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r w:rsidRPr="00D71C23">
              <w:rPr>
                <w:rFonts w:asciiTheme="majorBidi" w:eastAsia="DengXian" w:hAnsiTheme="majorBidi" w:cstheme="majorBidi"/>
                <w:color w:val="000000"/>
                <w:sz w:val="16"/>
                <w:szCs w:val="16"/>
              </w:rPr>
              <w:t>6) Describe any assessments undertaken for quality assurance purposes (e.g., test/retest of primary outcome measurements)</w:t>
            </w:r>
          </w:p>
        </w:tc>
        <w:tc>
          <w:tcPr>
            <w:tcW w:w="841"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841"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841" w:type="dxa"/>
          </w:tcPr>
          <w:p w:rsidR="00050EDB" w:rsidRPr="00D71C23" w:rsidRDefault="00050EDB" w:rsidP="00F94201">
            <w:pPr>
              <w:spacing w:line="240" w:lineRule="auto"/>
              <w:jc w:val="center"/>
              <w:rPr>
                <w:rFonts w:ascii="Cambria Math" w:eastAsia="SimHei" w:hAnsi="Cambria Math" w:cs="Cambria Math"/>
                <w:sz w:val="16"/>
                <w:szCs w:val="16"/>
              </w:rPr>
            </w:pPr>
            <w:r>
              <w:rPr>
                <w:rFonts w:ascii="Cambria Math" w:eastAsia="SimHei" w:hAnsi="Cambria Math" w:cs="Cambria Math"/>
                <w:sz w:val="16"/>
                <w:szCs w:val="16"/>
              </w:rPr>
              <w:t xml:space="preserve">U </w:t>
            </w:r>
          </w:p>
        </w:tc>
        <w:tc>
          <w:tcPr>
            <w:tcW w:w="1134" w:type="dxa"/>
            <w:vAlign w:val="center"/>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851" w:type="dxa"/>
          </w:tcPr>
          <w:p w:rsidR="00050EDB" w:rsidRDefault="00050EDB" w:rsidP="00F94201">
            <w:pPr>
              <w:spacing w:line="240" w:lineRule="auto"/>
              <w:jc w:val="center"/>
              <w:rPr>
                <w:rFonts w:ascii="Cambria Math" w:eastAsia="SimHei" w:hAnsi="Cambria Math" w:cs="Cambria Math"/>
                <w:bCs/>
                <w:color w:val="000000"/>
                <w:sz w:val="16"/>
                <w:szCs w:val="16"/>
              </w:rPr>
            </w:pPr>
          </w:p>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Cambria Math" w:eastAsia="SimHei" w:hAnsi="Cambria Math" w:cs="Cambria Math"/>
                <w:bCs/>
                <w:color w:val="000000"/>
                <w:sz w:val="16"/>
                <w:szCs w:val="16"/>
              </w:rPr>
              <w:t>U</w:t>
            </w:r>
          </w:p>
        </w:tc>
        <w:tc>
          <w:tcPr>
            <w:tcW w:w="1134" w:type="dxa"/>
          </w:tcPr>
          <w:p w:rsidR="00050EDB" w:rsidRPr="00D71C23" w:rsidRDefault="00050EDB" w:rsidP="00F94201">
            <w:pPr>
              <w:spacing w:line="240" w:lineRule="auto"/>
              <w:jc w:val="center"/>
              <w:rPr>
                <w:rFonts w:asciiTheme="majorBidi" w:eastAsia="SimHei" w:hAnsiTheme="majorBidi" w:cstheme="majorBidi"/>
                <w:sz w:val="16"/>
                <w:szCs w:val="16"/>
              </w:rPr>
            </w:pPr>
            <w:r w:rsidRPr="00D71C23">
              <w:rPr>
                <w:rFonts w:ascii="Cambria Math" w:eastAsia="SimHei" w:hAnsi="Cambria Math" w:cs="Cambria Math"/>
                <w:bCs/>
                <w:color w:val="000000"/>
                <w:sz w:val="16"/>
                <w:szCs w:val="16"/>
              </w:rPr>
              <w:t>⊕</w:t>
            </w:r>
          </w:p>
        </w:tc>
        <w:tc>
          <w:tcPr>
            <w:tcW w:w="850"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993"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c>
          <w:tcPr>
            <w:tcW w:w="1289"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1134"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r>
      <w:tr w:rsidR="00050EDB" w:rsidRPr="00D71C23" w:rsidTr="00F94201">
        <w:trPr>
          <w:trHeight w:val="417"/>
        </w:trPr>
        <w:tc>
          <w:tcPr>
            <w:tcW w:w="3701" w:type="dxa"/>
            <w:shd w:val="clear" w:color="auto" w:fill="auto"/>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r w:rsidRPr="00D71C23">
              <w:rPr>
                <w:rFonts w:asciiTheme="majorBidi" w:eastAsia="DengXian" w:hAnsiTheme="majorBidi" w:cstheme="majorBidi"/>
                <w:color w:val="000000"/>
                <w:sz w:val="16"/>
                <w:szCs w:val="16"/>
              </w:rPr>
              <w:t>7) Explain any patient exclusions from analysis</w:t>
            </w:r>
          </w:p>
        </w:tc>
        <w:tc>
          <w:tcPr>
            <w:tcW w:w="841"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841"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841" w:type="dxa"/>
          </w:tcPr>
          <w:p w:rsidR="00050EDB" w:rsidRPr="00D71C23" w:rsidRDefault="00050EDB" w:rsidP="00F94201">
            <w:pPr>
              <w:spacing w:line="240" w:lineRule="auto"/>
              <w:rPr>
                <w:rFonts w:ascii="Cambria Math" w:eastAsia="SimHei" w:hAnsi="Cambria Math" w:cs="Cambria Math"/>
                <w:bCs/>
                <w:color w:val="000000"/>
                <w:sz w:val="16"/>
                <w:szCs w:val="16"/>
              </w:rPr>
            </w:pPr>
            <w:r>
              <w:rPr>
                <w:rFonts w:ascii="Cambria Math" w:eastAsia="SimHei" w:hAnsi="Cambria Math" w:cs="Cambria Math"/>
                <w:bCs/>
                <w:color w:val="000000"/>
                <w:sz w:val="16"/>
                <w:szCs w:val="16"/>
              </w:rPr>
              <w:t xml:space="preserve">        U </w:t>
            </w:r>
          </w:p>
        </w:tc>
        <w:tc>
          <w:tcPr>
            <w:tcW w:w="1134" w:type="dxa"/>
            <w:vAlign w:val="center"/>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851"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134"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850"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993" w:type="dxa"/>
          </w:tcPr>
          <w:p w:rsidR="00050EDB" w:rsidRPr="00D71C23" w:rsidRDefault="00050EDB" w:rsidP="00F94201">
            <w:pPr>
              <w:spacing w:line="240" w:lineRule="auto"/>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1289"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134"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r>
      <w:tr w:rsidR="00050EDB" w:rsidRPr="00D71C23" w:rsidTr="00F94201">
        <w:trPr>
          <w:trHeight w:val="522"/>
        </w:trPr>
        <w:tc>
          <w:tcPr>
            <w:tcW w:w="3701" w:type="dxa"/>
            <w:shd w:val="clear" w:color="auto" w:fill="auto"/>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r w:rsidRPr="00D71C23">
              <w:rPr>
                <w:rFonts w:asciiTheme="majorBidi" w:eastAsia="DengXian" w:hAnsiTheme="majorBidi" w:cstheme="majorBidi"/>
                <w:color w:val="000000"/>
                <w:sz w:val="16"/>
                <w:szCs w:val="16"/>
              </w:rPr>
              <w:t>8) Describe how confounding was assessed and/or controlled.</w:t>
            </w:r>
          </w:p>
        </w:tc>
        <w:tc>
          <w:tcPr>
            <w:tcW w:w="841"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841"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841"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1134" w:type="dxa"/>
            <w:vAlign w:val="center"/>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851" w:type="dxa"/>
          </w:tcPr>
          <w:p w:rsidR="00050EDB" w:rsidRPr="00D71C23" w:rsidRDefault="00050EDB" w:rsidP="00F94201">
            <w:pPr>
              <w:spacing w:line="240" w:lineRule="auto"/>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134"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850"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993" w:type="dxa"/>
          </w:tcPr>
          <w:p w:rsidR="00050EDB" w:rsidRPr="00D71C23" w:rsidRDefault="00050EDB" w:rsidP="00F94201">
            <w:pPr>
              <w:spacing w:line="240" w:lineRule="auto"/>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1289"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134"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r>
      <w:tr w:rsidR="00050EDB" w:rsidRPr="00D71C23" w:rsidTr="00F94201">
        <w:trPr>
          <w:trHeight w:val="377"/>
        </w:trPr>
        <w:tc>
          <w:tcPr>
            <w:tcW w:w="3701" w:type="dxa"/>
            <w:shd w:val="clear" w:color="auto" w:fill="auto"/>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r w:rsidRPr="00D71C23">
              <w:rPr>
                <w:rFonts w:asciiTheme="majorBidi" w:eastAsia="DengXian" w:hAnsiTheme="majorBidi" w:cstheme="majorBidi"/>
                <w:color w:val="000000"/>
                <w:sz w:val="16"/>
                <w:szCs w:val="16"/>
              </w:rPr>
              <w:t>9) If applicable, explain how missing data were handled in the analysis</w:t>
            </w:r>
          </w:p>
        </w:tc>
        <w:tc>
          <w:tcPr>
            <w:tcW w:w="841" w:type="dxa"/>
          </w:tcPr>
          <w:p w:rsidR="00050EDB" w:rsidRPr="00D71C23" w:rsidRDefault="00050EDB" w:rsidP="00F94201">
            <w:pPr>
              <w:spacing w:line="240" w:lineRule="auto"/>
              <w:jc w:val="center"/>
              <w:rPr>
                <w:rFonts w:asciiTheme="majorBidi" w:eastAsia="SimHei" w:hAnsiTheme="majorBidi" w:cstheme="majorBidi"/>
                <w:sz w:val="16"/>
                <w:szCs w:val="16"/>
              </w:rPr>
            </w:pPr>
            <w:r w:rsidRPr="00D71C23">
              <w:rPr>
                <w:rFonts w:ascii="Cambria Math" w:eastAsia="SimHei" w:hAnsi="Cambria Math" w:cs="Cambria Math"/>
                <w:bCs/>
                <w:color w:val="000000"/>
                <w:sz w:val="16"/>
                <w:szCs w:val="16"/>
              </w:rPr>
              <w:t>⊕</w:t>
            </w:r>
          </w:p>
        </w:tc>
        <w:tc>
          <w:tcPr>
            <w:tcW w:w="841" w:type="dxa"/>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841" w:type="dxa"/>
          </w:tcPr>
          <w:p w:rsidR="00050EDB" w:rsidRPr="00D71C23" w:rsidRDefault="00050EDB" w:rsidP="00F94201">
            <w:pPr>
              <w:spacing w:line="240" w:lineRule="auto"/>
              <w:jc w:val="center"/>
              <w:rPr>
                <w:rFonts w:asciiTheme="majorBidi" w:eastAsia="SimHei" w:hAnsiTheme="majorBidi" w:cstheme="majorBidi"/>
                <w:sz w:val="16"/>
                <w:szCs w:val="16"/>
              </w:rPr>
            </w:pPr>
            <w:r>
              <w:rPr>
                <w:rFonts w:ascii="Cambria Math" w:eastAsia="SimHei" w:hAnsi="Cambria Math" w:cs="Cambria Math"/>
                <w:bCs/>
                <w:color w:val="000000"/>
                <w:sz w:val="16"/>
                <w:szCs w:val="16"/>
              </w:rPr>
              <w:t xml:space="preserve">U </w:t>
            </w:r>
          </w:p>
        </w:tc>
        <w:tc>
          <w:tcPr>
            <w:tcW w:w="1134" w:type="dxa"/>
            <w:vAlign w:val="center"/>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c>
          <w:tcPr>
            <w:tcW w:w="851"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1134"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850"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c>
          <w:tcPr>
            <w:tcW w:w="993"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c>
          <w:tcPr>
            <w:tcW w:w="1289" w:type="dxa"/>
          </w:tcPr>
          <w:p w:rsidR="00050EDB" w:rsidRDefault="00050EDB" w:rsidP="00F94201">
            <w:pPr>
              <w:spacing w:line="240" w:lineRule="auto"/>
              <w:jc w:val="center"/>
              <w:rPr>
                <w:rFonts w:ascii="Cambria Math" w:eastAsia="SimHei" w:hAnsi="Cambria Math" w:cs="Cambria Math"/>
                <w:bCs/>
                <w:color w:val="000000"/>
                <w:sz w:val="16"/>
                <w:szCs w:val="16"/>
              </w:rPr>
            </w:pPr>
            <w:r>
              <w:rPr>
                <w:rFonts w:ascii="Cambria Math" w:eastAsia="SimHei" w:hAnsi="Cambria Math" w:cs="Cambria Math"/>
                <w:bCs/>
                <w:color w:val="000000"/>
                <w:sz w:val="16"/>
                <w:szCs w:val="16"/>
              </w:rPr>
              <w:t xml:space="preserve">     U </w:t>
            </w:r>
          </w:p>
          <w:p w:rsidR="00050EDB" w:rsidRPr="00D71C23" w:rsidRDefault="00050EDB" w:rsidP="00F94201">
            <w:pPr>
              <w:spacing w:line="240" w:lineRule="auto"/>
              <w:jc w:val="center"/>
              <w:rPr>
                <w:rFonts w:asciiTheme="majorBidi" w:eastAsia="SimHei" w:hAnsiTheme="majorBidi" w:cstheme="majorBidi"/>
                <w:bCs/>
                <w:color w:val="000000"/>
                <w:sz w:val="16"/>
                <w:szCs w:val="16"/>
              </w:rPr>
            </w:pPr>
          </w:p>
        </w:tc>
        <w:tc>
          <w:tcPr>
            <w:tcW w:w="1134"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r>
      <w:tr w:rsidR="00050EDB" w:rsidRPr="00D71C23" w:rsidTr="00F94201">
        <w:trPr>
          <w:trHeight w:val="624"/>
        </w:trPr>
        <w:tc>
          <w:tcPr>
            <w:tcW w:w="3701" w:type="dxa"/>
            <w:shd w:val="clear" w:color="auto" w:fill="auto"/>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r w:rsidRPr="00D71C23">
              <w:rPr>
                <w:rFonts w:asciiTheme="majorBidi" w:eastAsia="DengXian" w:hAnsiTheme="majorBidi" w:cstheme="majorBidi"/>
                <w:color w:val="000000"/>
                <w:sz w:val="16"/>
                <w:szCs w:val="16"/>
              </w:rPr>
              <w:t>10) Summarize patient response rates and completeness of data collection</w:t>
            </w:r>
          </w:p>
        </w:tc>
        <w:tc>
          <w:tcPr>
            <w:tcW w:w="841"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841"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Pr>
                <w:rFonts w:ascii="Cambria Math" w:eastAsia="SimHei" w:hAnsi="Cambria Math" w:cs="Cambria Math"/>
                <w:bCs/>
                <w:color w:val="000000"/>
                <w:sz w:val="16"/>
                <w:szCs w:val="16"/>
              </w:rPr>
              <w:t xml:space="preserve">U </w:t>
            </w:r>
          </w:p>
        </w:tc>
        <w:tc>
          <w:tcPr>
            <w:tcW w:w="841" w:type="dxa"/>
            <w:vAlign w:val="center"/>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1134" w:type="dxa"/>
            <w:vAlign w:val="center"/>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851"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Pr>
                <w:rFonts w:ascii="Cambria Math" w:eastAsia="SimHei" w:hAnsi="Cambria Math" w:cs="Cambria Math"/>
                <w:bCs/>
                <w:color w:val="000000"/>
                <w:sz w:val="16"/>
                <w:szCs w:val="16"/>
              </w:rPr>
              <w:t xml:space="preserve">U </w:t>
            </w:r>
          </w:p>
        </w:tc>
        <w:tc>
          <w:tcPr>
            <w:tcW w:w="1134"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850"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993" w:type="dxa"/>
          </w:tcPr>
          <w:p w:rsidR="00050EDB" w:rsidRPr="00D71C23" w:rsidRDefault="00050EDB" w:rsidP="00F94201">
            <w:pPr>
              <w:spacing w:line="240" w:lineRule="auto"/>
              <w:jc w:val="center"/>
              <w:rPr>
                <w:rFonts w:ascii="Cambria Math" w:eastAsia="SimHei" w:hAnsi="Cambria Math" w:cs="Cambria Math"/>
                <w:sz w:val="16"/>
                <w:szCs w:val="16"/>
              </w:rPr>
            </w:pPr>
            <w:r>
              <w:rPr>
                <w:rFonts w:ascii="Cambria Math" w:eastAsia="SimHei" w:hAnsi="Cambria Math" w:cs="Cambria Math"/>
                <w:sz w:val="16"/>
                <w:szCs w:val="16"/>
              </w:rPr>
              <w:t xml:space="preserve">U </w:t>
            </w:r>
          </w:p>
        </w:tc>
        <w:tc>
          <w:tcPr>
            <w:tcW w:w="1289"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c>
          <w:tcPr>
            <w:tcW w:w="1134" w:type="dxa"/>
          </w:tcPr>
          <w:p w:rsidR="00050EDB" w:rsidRPr="00D71C23" w:rsidRDefault="00050EDB" w:rsidP="00F94201">
            <w:pPr>
              <w:spacing w:line="240" w:lineRule="auto"/>
              <w:jc w:val="center"/>
              <w:rPr>
                <w:rFonts w:ascii="Cambria Math" w:eastAsia="SimHei" w:hAnsi="Cambria Math" w:cs="Cambria Math"/>
                <w:bCs/>
                <w:color w:val="000000"/>
                <w:sz w:val="16"/>
                <w:szCs w:val="16"/>
              </w:rPr>
            </w:pPr>
            <w:r w:rsidRPr="00D71C23">
              <w:rPr>
                <w:rFonts w:ascii="Cambria Math" w:eastAsia="SimHei" w:hAnsi="Cambria Math" w:cs="Cambria Math"/>
                <w:bCs/>
                <w:color w:val="000000"/>
                <w:sz w:val="16"/>
                <w:szCs w:val="16"/>
              </w:rPr>
              <w:t>⊕</w:t>
            </w:r>
          </w:p>
        </w:tc>
      </w:tr>
      <w:tr w:rsidR="00050EDB" w:rsidRPr="00D71C23" w:rsidTr="00F94201">
        <w:trPr>
          <w:trHeight w:val="421"/>
        </w:trPr>
        <w:tc>
          <w:tcPr>
            <w:tcW w:w="3701" w:type="dxa"/>
            <w:shd w:val="clear" w:color="000000" w:fill="FFFFFF"/>
            <w:vAlign w:val="center"/>
            <w:hideMark/>
          </w:tcPr>
          <w:p w:rsidR="00050EDB" w:rsidRPr="00D71C23" w:rsidRDefault="00050EDB" w:rsidP="00F94201">
            <w:pPr>
              <w:spacing w:line="240" w:lineRule="auto"/>
              <w:rPr>
                <w:rFonts w:asciiTheme="majorBidi" w:eastAsia="DengXian" w:hAnsiTheme="majorBidi" w:cstheme="majorBidi"/>
                <w:color w:val="000000"/>
                <w:sz w:val="16"/>
                <w:szCs w:val="16"/>
              </w:rPr>
            </w:pPr>
            <w:r w:rsidRPr="00D71C23">
              <w:rPr>
                <w:rFonts w:asciiTheme="majorBidi" w:eastAsia="DengXian" w:hAnsiTheme="majorBidi" w:cstheme="majorBidi"/>
                <w:color w:val="000000"/>
                <w:sz w:val="16"/>
                <w:szCs w:val="16"/>
              </w:rPr>
              <w:t>11) Clarify what follow-up, if any, was expected and the percentage of patients for which incomplete data or follow-up was obtained</w:t>
            </w:r>
          </w:p>
        </w:tc>
        <w:tc>
          <w:tcPr>
            <w:tcW w:w="841" w:type="dxa"/>
            <w:shd w:val="clear" w:color="000000" w:fill="FFFFFF"/>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841" w:type="dxa"/>
            <w:shd w:val="clear" w:color="000000" w:fill="FFFFFF"/>
          </w:tcPr>
          <w:p w:rsidR="00050EDB" w:rsidRPr="00D71C23" w:rsidRDefault="00050EDB" w:rsidP="00F94201">
            <w:pPr>
              <w:spacing w:line="240" w:lineRule="auto"/>
              <w:jc w:val="center"/>
              <w:rPr>
                <w:rFonts w:ascii="Cambria Math" w:eastAsia="SimHei" w:hAnsi="Cambria Math" w:cs="Cambria Math"/>
                <w:sz w:val="16"/>
                <w:szCs w:val="16"/>
              </w:rPr>
            </w:pPr>
            <w:r w:rsidRPr="00D71C23">
              <w:rPr>
                <w:rFonts w:ascii="Cambria Math" w:eastAsia="SimHei" w:hAnsi="Cambria Math" w:cs="Cambria Math"/>
                <w:bCs/>
                <w:color w:val="000000"/>
                <w:sz w:val="16"/>
                <w:szCs w:val="16"/>
              </w:rPr>
              <w:t>⊕</w:t>
            </w:r>
          </w:p>
        </w:tc>
        <w:tc>
          <w:tcPr>
            <w:tcW w:w="841" w:type="dxa"/>
            <w:shd w:val="clear" w:color="000000" w:fill="FFFFFF"/>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c>
          <w:tcPr>
            <w:tcW w:w="1134"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851"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1134"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850"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c>
          <w:tcPr>
            <w:tcW w:w="993" w:type="dxa"/>
          </w:tcPr>
          <w:p w:rsidR="00050EDB" w:rsidRPr="00D71C23" w:rsidRDefault="00050EDB" w:rsidP="00F94201">
            <w:pPr>
              <w:spacing w:line="240" w:lineRule="auto"/>
              <w:rPr>
                <w:rFonts w:ascii="Cambria Math" w:eastAsia="SimHei" w:hAnsi="Cambria Math" w:cs="Cambria Math"/>
                <w:sz w:val="16"/>
                <w:szCs w:val="16"/>
              </w:rPr>
            </w:pPr>
            <w:r>
              <w:rPr>
                <w:rFonts w:ascii="Cambria Math" w:eastAsia="SimHei" w:hAnsi="Cambria Math" w:cs="Cambria Math"/>
                <w:bCs/>
                <w:color w:val="000000"/>
                <w:sz w:val="16"/>
                <w:szCs w:val="16"/>
              </w:rPr>
              <w:t xml:space="preserve">     U </w:t>
            </w:r>
          </w:p>
        </w:tc>
        <w:tc>
          <w:tcPr>
            <w:tcW w:w="1289"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Pr>
                <w:rFonts w:asciiTheme="majorBidi" w:eastAsia="SimHei" w:hAnsiTheme="majorBidi" w:cstheme="majorBidi"/>
                <w:bCs/>
                <w:color w:val="000000"/>
                <w:sz w:val="16"/>
                <w:szCs w:val="16"/>
              </w:rPr>
              <w:t xml:space="preserve">U </w:t>
            </w:r>
          </w:p>
        </w:tc>
        <w:tc>
          <w:tcPr>
            <w:tcW w:w="1134" w:type="dxa"/>
          </w:tcPr>
          <w:p w:rsidR="00050EDB" w:rsidRPr="00D71C23" w:rsidRDefault="00050EDB" w:rsidP="00F94201">
            <w:pPr>
              <w:spacing w:line="240" w:lineRule="auto"/>
              <w:jc w:val="center"/>
              <w:rPr>
                <w:rFonts w:asciiTheme="majorBidi" w:eastAsia="SimHei" w:hAnsiTheme="majorBidi" w:cstheme="majorBidi"/>
                <w:bCs/>
                <w:color w:val="000000"/>
                <w:sz w:val="16"/>
                <w:szCs w:val="16"/>
              </w:rPr>
            </w:pPr>
            <w:r w:rsidRPr="00D71C23">
              <w:rPr>
                <w:rFonts w:ascii="Cambria Math" w:eastAsia="SimHei" w:hAnsi="Cambria Math" w:cs="Cambria Math"/>
                <w:bCs/>
                <w:color w:val="000000"/>
                <w:sz w:val="16"/>
                <w:szCs w:val="16"/>
              </w:rPr>
              <w:t>⊕</w:t>
            </w:r>
          </w:p>
        </w:tc>
      </w:tr>
      <w:tr w:rsidR="00050EDB" w:rsidRPr="00D71C23" w:rsidTr="00F94201">
        <w:trPr>
          <w:trHeight w:val="421"/>
        </w:trPr>
        <w:tc>
          <w:tcPr>
            <w:tcW w:w="3701" w:type="dxa"/>
            <w:shd w:val="clear" w:color="000000" w:fill="FFFFFF"/>
            <w:vAlign w:val="center"/>
          </w:tcPr>
          <w:p w:rsidR="00050EDB" w:rsidRPr="00D71C23" w:rsidRDefault="00050EDB" w:rsidP="00F94201">
            <w:pPr>
              <w:spacing w:line="240" w:lineRule="auto"/>
              <w:rPr>
                <w:rFonts w:asciiTheme="majorBidi" w:eastAsia="DengXian" w:hAnsiTheme="majorBidi" w:cstheme="majorBidi"/>
                <w:b/>
                <w:bCs/>
                <w:color w:val="000000"/>
                <w:sz w:val="16"/>
                <w:szCs w:val="16"/>
              </w:rPr>
            </w:pPr>
            <w:r w:rsidRPr="00D71C23">
              <w:rPr>
                <w:rFonts w:asciiTheme="majorBidi" w:eastAsia="DengXian" w:hAnsiTheme="majorBidi" w:cstheme="majorBidi"/>
                <w:b/>
                <w:bCs/>
                <w:color w:val="000000"/>
                <w:sz w:val="16"/>
                <w:szCs w:val="16"/>
              </w:rPr>
              <w:t xml:space="preserve">Final score </w:t>
            </w:r>
          </w:p>
        </w:tc>
        <w:tc>
          <w:tcPr>
            <w:tcW w:w="841" w:type="dxa"/>
            <w:shd w:val="clear" w:color="000000" w:fill="FFFFFF"/>
          </w:tcPr>
          <w:p w:rsidR="00050EDB" w:rsidRPr="00D71C23" w:rsidRDefault="00050EDB" w:rsidP="00F94201">
            <w:pPr>
              <w:spacing w:line="240" w:lineRule="auto"/>
              <w:jc w:val="center"/>
              <w:rPr>
                <w:rFonts w:asciiTheme="majorBidi" w:eastAsia="SimHei" w:hAnsiTheme="majorBidi" w:cstheme="majorBidi"/>
                <w:b/>
                <w:bCs/>
                <w:color w:val="000000"/>
                <w:sz w:val="16"/>
                <w:szCs w:val="16"/>
              </w:rPr>
            </w:pPr>
            <w:r>
              <w:rPr>
                <w:rFonts w:asciiTheme="majorBidi" w:eastAsia="SimHei" w:hAnsiTheme="majorBidi" w:cstheme="majorBidi"/>
                <w:b/>
                <w:bCs/>
                <w:color w:val="000000"/>
                <w:sz w:val="16"/>
                <w:szCs w:val="16"/>
              </w:rPr>
              <w:t xml:space="preserve">11 </w:t>
            </w:r>
          </w:p>
        </w:tc>
        <w:tc>
          <w:tcPr>
            <w:tcW w:w="841" w:type="dxa"/>
            <w:shd w:val="clear" w:color="000000" w:fill="FFFFFF"/>
          </w:tcPr>
          <w:p w:rsidR="00050EDB" w:rsidRPr="00D71C23" w:rsidRDefault="00050EDB" w:rsidP="00F94201">
            <w:pPr>
              <w:spacing w:line="240" w:lineRule="auto"/>
              <w:jc w:val="center"/>
              <w:rPr>
                <w:rFonts w:asciiTheme="majorBidi" w:eastAsia="SimHei" w:hAnsiTheme="majorBidi" w:cstheme="majorBidi"/>
                <w:b/>
                <w:bCs/>
                <w:color w:val="000000"/>
                <w:sz w:val="16"/>
                <w:szCs w:val="16"/>
              </w:rPr>
            </w:pPr>
            <w:r>
              <w:rPr>
                <w:rFonts w:asciiTheme="majorBidi" w:eastAsia="SimHei" w:hAnsiTheme="majorBidi" w:cstheme="majorBidi"/>
                <w:b/>
                <w:bCs/>
                <w:color w:val="000000"/>
                <w:sz w:val="16"/>
                <w:szCs w:val="16"/>
              </w:rPr>
              <w:t xml:space="preserve">9 </w:t>
            </w:r>
          </w:p>
        </w:tc>
        <w:tc>
          <w:tcPr>
            <w:tcW w:w="841" w:type="dxa"/>
            <w:shd w:val="clear" w:color="000000" w:fill="FFFFFF"/>
            <w:vAlign w:val="center"/>
          </w:tcPr>
          <w:p w:rsidR="00050EDB" w:rsidRPr="00D71C23" w:rsidRDefault="00050EDB" w:rsidP="00F94201">
            <w:pPr>
              <w:spacing w:line="240" w:lineRule="auto"/>
              <w:jc w:val="center"/>
              <w:rPr>
                <w:rFonts w:asciiTheme="majorBidi" w:eastAsia="SimHei" w:hAnsiTheme="majorBidi" w:cstheme="majorBidi"/>
                <w:b/>
                <w:bCs/>
                <w:color w:val="000000"/>
                <w:sz w:val="16"/>
                <w:szCs w:val="16"/>
              </w:rPr>
            </w:pPr>
            <w:r>
              <w:rPr>
                <w:rFonts w:asciiTheme="majorBidi" w:eastAsia="SimHei" w:hAnsiTheme="majorBidi" w:cstheme="majorBidi"/>
                <w:b/>
                <w:bCs/>
                <w:color w:val="000000"/>
                <w:sz w:val="16"/>
                <w:szCs w:val="16"/>
              </w:rPr>
              <w:t xml:space="preserve">5 </w:t>
            </w:r>
          </w:p>
        </w:tc>
        <w:tc>
          <w:tcPr>
            <w:tcW w:w="1134" w:type="dxa"/>
            <w:vAlign w:val="center"/>
          </w:tcPr>
          <w:p w:rsidR="00050EDB" w:rsidRPr="00D71C23" w:rsidRDefault="00050EDB" w:rsidP="00F94201">
            <w:pPr>
              <w:spacing w:line="240" w:lineRule="auto"/>
              <w:jc w:val="center"/>
              <w:rPr>
                <w:rFonts w:asciiTheme="majorBidi" w:eastAsia="SimHei" w:hAnsiTheme="majorBidi" w:cstheme="majorBidi"/>
                <w:b/>
                <w:bCs/>
                <w:color w:val="000000"/>
                <w:sz w:val="16"/>
                <w:szCs w:val="16"/>
              </w:rPr>
            </w:pPr>
            <w:r>
              <w:rPr>
                <w:rFonts w:asciiTheme="majorBidi" w:eastAsia="SimHei" w:hAnsiTheme="majorBidi" w:cstheme="majorBidi"/>
                <w:b/>
                <w:bCs/>
                <w:color w:val="000000"/>
                <w:sz w:val="16"/>
                <w:szCs w:val="16"/>
              </w:rPr>
              <w:t xml:space="preserve">9 </w:t>
            </w:r>
          </w:p>
        </w:tc>
        <w:tc>
          <w:tcPr>
            <w:tcW w:w="851" w:type="dxa"/>
          </w:tcPr>
          <w:p w:rsidR="00050EDB" w:rsidRPr="00D71C23" w:rsidRDefault="00050EDB" w:rsidP="00F94201">
            <w:pPr>
              <w:spacing w:line="240" w:lineRule="auto"/>
              <w:jc w:val="center"/>
              <w:rPr>
                <w:rFonts w:asciiTheme="majorBidi" w:eastAsia="SimHei" w:hAnsiTheme="majorBidi" w:cstheme="majorBidi"/>
                <w:b/>
                <w:bCs/>
                <w:color w:val="000000"/>
                <w:sz w:val="16"/>
                <w:szCs w:val="16"/>
              </w:rPr>
            </w:pPr>
            <w:r>
              <w:rPr>
                <w:rFonts w:asciiTheme="majorBidi" w:eastAsia="SimHei" w:hAnsiTheme="majorBidi" w:cstheme="majorBidi"/>
                <w:b/>
                <w:bCs/>
                <w:color w:val="000000"/>
                <w:sz w:val="16"/>
                <w:szCs w:val="16"/>
              </w:rPr>
              <w:t xml:space="preserve">9 </w:t>
            </w:r>
          </w:p>
        </w:tc>
        <w:tc>
          <w:tcPr>
            <w:tcW w:w="1134" w:type="dxa"/>
          </w:tcPr>
          <w:p w:rsidR="00050EDB" w:rsidRPr="00D71C23" w:rsidRDefault="00050EDB" w:rsidP="00F94201">
            <w:pPr>
              <w:spacing w:line="240" w:lineRule="auto"/>
              <w:rPr>
                <w:rFonts w:asciiTheme="majorBidi" w:eastAsia="SimHei" w:hAnsiTheme="majorBidi" w:cstheme="majorBidi"/>
                <w:b/>
                <w:bCs/>
                <w:color w:val="000000"/>
                <w:sz w:val="16"/>
                <w:szCs w:val="16"/>
              </w:rPr>
            </w:pPr>
            <w:r>
              <w:rPr>
                <w:rFonts w:asciiTheme="majorBidi" w:eastAsia="SimHei" w:hAnsiTheme="majorBidi" w:cstheme="majorBidi"/>
                <w:b/>
                <w:bCs/>
                <w:color w:val="000000"/>
                <w:sz w:val="16"/>
                <w:szCs w:val="16"/>
              </w:rPr>
              <w:t xml:space="preserve">         10 </w:t>
            </w:r>
          </w:p>
        </w:tc>
        <w:tc>
          <w:tcPr>
            <w:tcW w:w="850" w:type="dxa"/>
          </w:tcPr>
          <w:p w:rsidR="00050EDB" w:rsidRPr="00D71C23" w:rsidRDefault="00050EDB" w:rsidP="00F94201">
            <w:pPr>
              <w:spacing w:line="240" w:lineRule="auto"/>
              <w:jc w:val="center"/>
              <w:rPr>
                <w:rFonts w:asciiTheme="majorBidi" w:eastAsia="SimHei" w:hAnsiTheme="majorBidi" w:cstheme="majorBidi"/>
                <w:b/>
                <w:bCs/>
                <w:color w:val="000000"/>
                <w:sz w:val="16"/>
                <w:szCs w:val="16"/>
              </w:rPr>
            </w:pPr>
            <w:r>
              <w:rPr>
                <w:rFonts w:asciiTheme="majorBidi" w:eastAsia="SimHei" w:hAnsiTheme="majorBidi" w:cstheme="majorBidi"/>
                <w:b/>
                <w:bCs/>
                <w:color w:val="000000"/>
                <w:sz w:val="16"/>
                <w:szCs w:val="16"/>
              </w:rPr>
              <w:t xml:space="preserve">9 </w:t>
            </w:r>
          </w:p>
        </w:tc>
        <w:tc>
          <w:tcPr>
            <w:tcW w:w="993" w:type="dxa"/>
          </w:tcPr>
          <w:p w:rsidR="00050EDB" w:rsidRPr="00D71C23" w:rsidRDefault="00050EDB" w:rsidP="00F94201">
            <w:pPr>
              <w:spacing w:line="240" w:lineRule="auto"/>
              <w:jc w:val="center"/>
              <w:rPr>
                <w:rFonts w:asciiTheme="majorBidi" w:eastAsia="SimHei" w:hAnsiTheme="majorBidi" w:cstheme="majorBidi"/>
                <w:b/>
                <w:bCs/>
                <w:color w:val="000000"/>
                <w:sz w:val="16"/>
                <w:szCs w:val="16"/>
              </w:rPr>
            </w:pPr>
            <w:r>
              <w:rPr>
                <w:rFonts w:asciiTheme="majorBidi" w:eastAsia="SimHei" w:hAnsiTheme="majorBidi" w:cstheme="majorBidi"/>
                <w:b/>
                <w:bCs/>
                <w:color w:val="000000"/>
                <w:sz w:val="16"/>
                <w:szCs w:val="16"/>
              </w:rPr>
              <w:t>6</w:t>
            </w:r>
          </w:p>
        </w:tc>
        <w:tc>
          <w:tcPr>
            <w:tcW w:w="1289" w:type="dxa"/>
          </w:tcPr>
          <w:p w:rsidR="00050EDB" w:rsidRPr="00D71C23" w:rsidRDefault="00050EDB" w:rsidP="00F94201">
            <w:pPr>
              <w:spacing w:line="240" w:lineRule="auto"/>
              <w:jc w:val="center"/>
              <w:rPr>
                <w:rFonts w:asciiTheme="majorBidi" w:eastAsia="SimHei" w:hAnsiTheme="majorBidi" w:cstheme="majorBidi"/>
                <w:b/>
                <w:bCs/>
                <w:color w:val="000000"/>
                <w:sz w:val="16"/>
                <w:szCs w:val="16"/>
              </w:rPr>
            </w:pPr>
            <w:r>
              <w:rPr>
                <w:rFonts w:asciiTheme="majorBidi" w:eastAsia="SimHei" w:hAnsiTheme="majorBidi" w:cstheme="majorBidi"/>
                <w:b/>
                <w:bCs/>
                <w:color w:val="000000"/>
                <w:sz w:val="16"/>
                <w:szCs w:val="16"/>
              </w:rPr>
              <w:t xml:space="preserve">9 </w:t>
            </w:r>
          </w:p>
        </w:tc>
        <w:tc>
          <w:tcPr>
            <w:tcW w:w="1134" w:type="dxa"/>
          </w:tcPr>
          <w:p w:rsidR="00050EDB" w:rsidRPr="00D71C23" w:rsidRDefault="00050EDB" w:rsidP="00F94201">
            <w:pPr>
              <w:spacing w:line="240" w:lineRule="auto"/>
              <w:jc w:val="center"/>
              <w:rPr>
                <w:rFonts w:asciiTheme="majorBidi" w:eastAsia="SimHei" w:hAnsiTheme="majorBidi" w:cstheme="majorBidi"/>
                <w:b/>
                <w:bCs/>
                <w:color w:val="000000"/>
                <w:sz w:val="16"/>
                <w:szCs w:val="16"/>
              </w:rPr>
            </w:pPr>
            <w:r>
              <w:rPr>
                <w:rFonts w:asciiTheme="majorBidi" w:eastAsia="SimHei" w:hAnsiTheme="majorBidi" w:cstheme="majorBidi"/>
                <w:b/>
                <w:bCs/>
                <w:color w:val="000000"/>
                <w:sz w:val="16"/>
                <w:szCs w:val="16"/>
              </w:rPr>
              <w:t>11</w:t>
            </w:r>
          </w:p>
        </w:tc>
      </w:tr>
    </w:tbl>
    <w:p w:rsidR="00050EDB" w:rsidRDefault="00050EDB" w:rsidP="00F94201">
      <w:pPr>
        <w:adjustRightInd w:val="0"/>
        <w:snapToGrid w:val="0"/>
        <w:rPr>
          <w:rFonts w:asciiTheme="majorBidi" w:hAnsiTheme="majorBidi" w:cstheme="majorBidi"/>
          <w:b/>
          <w:sz w:val="18"/>
          <w:szCs w:val="18"/>
        </w:rPr>
        <w:sectPr w:rsidR="00050EDB" w:rsidSect="00F94201">
          <w:pgSz w:w="15840" w:h="12240" w:orient="landscape"/>
          <w:pgMar w:top="851" w:right="1440" w:bottom="1440" w:left="1440" w:header="720" w:footer="720" w:gutter="0"/>
          <w:cols w:space="720"/>
          <w:docGrid w:linePitch="360"/>
        </w:sectPr>
      </w:pPr>
    </w:p>
    <w:p w:rsidR="00050EDB" w:rsidRPr="00DF2C84" w:rsidRDefault="00050EDB" w:rsidP="00F94201">
      <w:pPr>
        <w:pStyle w:val="EndNoteBibliography"/>
        <w:spacing w:line="360" w:lineRule="auto"/>
        <w:ind w:left="360"/>
        <w:rPr>
          <w:rFonts w:asciiTheme="majorBidi" w:hAnsiTheme="majorBidi" w:cstheme="majorBidi"/>
          <w:b/>
          <w:bCs/>
          <w:sz w:val="22"/>
        </w:rPr>
      </w:pPr>
      <w:r>
        <w:rPr>
          <w:rFonts w:asciiTheme="majorBidi" w:hAnsiTheme="majorBidi" w:cstheme="majorBidi"/>
          <w:b/>
          <w:bCs/>
          <w:sz w:val="22"/>
        </w:rPr>
        <w:lastRenderedPageBreak/>
        <w:t xml:space="preserve">                                                                     (A)</w:t>
      </w:r>
    </w:p>
    <w:p w:rsidR="00050EDB" w:rsidRDefault="00050EDB" w:rsidP="00F94201">
      <w:pPr>
        <w:pStyle w:val="EndNoteBibliography"/>
        <w:spacing w:line="360" w:lineRule="auto"/>
        <w:ind w:left="720" w:hanging="11"/>
        <w:rPr>
          <w:rFonts w:asciiTheme="majorBidi" w:hAnsiTheme="majorBidi" w:cstheme="majorBidi"/>
          <w:b/>
          <w:bCs/>
          <w:sz w:val="22"/>
        </w:rPr>
      </w:pPr>
    </w:p>
    <w:p w:rsidR="00050EDB" w:rsidRDefault="00050EDB" w:rsidP="00F94201">
      <w:pPr>
        <w:pStyle w:val="EndNoteBibliography"/>
        <w:spacing w:line="360" w:lineRule="auto"/>
        <w:ind w:left="-709" w:hanging="11"/>
        <w:jc w:val="center"/>
        <w:rPr>
          <w:rFonts w:asciiTheme="majorBidi" w:hAnsiTheme="majorBidi" w:cstheme="majorBidi"/>
          <w:b/>
          <w:bCs/>
          <w:color w:val="1A1A1A"/>
        </w:rPr>
      </w:pPr>
      <w:r w:rsidRPr="004C74C2">
        <w:rPr>
          <w:rFonts w:asciiTheme="majorBidi" w:hAnsiTheme="majorBidi" w:cstheme="majorBidi"/>
          <w:b/>
          <w:bCs/>
          <w:sz w:val="22"/>
          <w:lang w:eastAsia="en-US"/>
        </w:rPr>
        <w:drawing>
          <wp:inline distT="0" distB="0" distL="0" distR="0">
            <wp:extent cx="4162425" cy="2876550"/>
            <wp:effectExtent l="0" t="0" r="9525" b="0"/>
            <wp:docPr id="1" name="Picture 1" descr="C:\Users\farhangi\Desktop\funnel-BM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hangi\Desktop\funnel-BMI.t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2822" cy="2876824"/>
                    </a:xfrm>
                    <a:prstGeom prst="rect">
                      <a:avLst/>
                    </a:prstGeom>
                    <a:noFill/>
                    <a:ln>
                      <a:noFill/>
                    </a:ln>
                  </pic:spPr>
                </pic:pic>
              </a:graphicData>
            </a:graphic>
          </wp:inline>
        </w:drawing>
      </w:r>
      <w:bookmarkEnd w:id="1"/>
      <w:bookmarkEnd w:id="2"/>
    </w:p>
    <w:p w:rsidR="00050EDB" w:rsidRDefault="00050EDB" w:rsidP="00F94201">
      <w:pPr>
        <w:pStyle w:val="EndNoteBibliography"/>
        <w:spacing w:line="360" w:lineRule="auto"/>
        <w:ind w:left="-709" w:hanging="11"/>
        <w:jc w:val="center"/>
        <w:rPr>
          <w:rFonts w:asciiTheme="majorBidi" w:hAnsiTheme="majorBidi" w:cstheme="majorBidi"/>
          <w:b/>
          <w:bCs/>
          <w:color w:val="1A1A1A"/>
        </w:rPr>
      </w:pPr>
    </w:p>
    <w:p w:rsidR="00050EDB" w:rsidRDefault="00050EDB" w:rsidP="00F94201">
      <w:pPr>
        <w:pStyle w:val="EndNoteBibliography"/>
        <w:spacing w:line="360" w:lineRule="auto"/>
        <w:ind w:left="-709" w:hanging="11"/>
        <w:jc w:val="center"/>
        <w:rPr>
          <w:rFonts w:asciiTheme="majorBidi" w:hAnsiTheme="majorBidi" w:cstheme="majorBidi"/>
          <w:b/>
          <w:bCs/>
          <w:color w:val="1A1A1A"/>
        </w:rPr>
      </w:pPr>
      <w:r>
        <w:rPr>
          <w:rFonts w:asciiTheme="majorBidi" w:hAnsiTheme="majorBidi" w:cstheme="majorBidi"/>
          <w:b/>
          <w:bCs/>
          <w:color w:val="1A1A1A"/>
        </w:rPr>
        <w:t>(B)</w:t>
      </w:r>
    </w:p>
    <w:p w:rsidR="00050EDB" w:rsidRDefault="00050EDB" w:rsidP="00F94201">
      <w:pPr>
        <w:pStyle w:val="EndNoteBibliography"/>
        <w:spacing w:line="360" w:lineRule="auto"/>
        <w:ind w:left="-709" w:hanging="11"/>
        <w:jc w:val="center"/>
        <w:rPr>
          <w:rFonts w:asciiTheme="majorBidi" w:hAnsiTheme="majorBidi" w:cstheme="majorBidi"/>
          <w:b/>
          <w:bCs/>
          <w:color w:val="1A1A1A"/>
        </w:rPr>
      </w:pPr>
      <w:r w:rsidRPr="00B17315">
        <w:rPr>
          <w:rFonts w:asciiTheme="majorBidi" w:hAnsiTheme="majorBidi" w:cstheme="majorBidi"/>
          <w:b/>
          <w:bCs/>
          <w:color w:val="1A1A1A"/>
          <w:lang w:eastAsia="en-US"/>
        </w:rPr>
        <w:drawing>
          <wp:inline distT="0" distB="0" distL="0" distR="0">
            <wp:extent cx="4244454" cy="2847648"/>
            <wp:effectExtent l="0" t="0" r="3810" b="0"/>
            <wp:docPr id="2" name="Picture 2" descr="C:\Users\farhangi\Desktop\funnel-TL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hangi\Desktop\funnel-TLT.ti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3175" cy="2866917"/>
                    </a:xfrm>
                    <a:prstGeom prst="rect">
                      <a:avLst/>
                    </a:prstGeom>
                    <a:noFill/>
                    <a:ln>
                      <a:noFill/>
                    </a:ln>
                  </pic:spPr>
                </pic:pic>
              </a:graphicData>
            </a:graphic>
          </wp:inline>
        </w:drawing>
      </w:r>
    </w:p>
    <w:p w:rsidR="00050EDB" w:rsidRDefault="00050EDB" w:rsidP="00F94201">
      <w:pPr>
        <w:autoSpaceDE w:val="0"/>
        <w:autoSpaceDN w:val="0"/>
        <w:adjustRightInd w:val="0"/>
        <w:spacing w:after="0" w:line="360" w:lineRule="auto"/>
        <w:ind w:right="146"/>
        <w:jc w:val="both"/>
        <w:rPr>
          <w:rFonts w:asciiTheme="majorBidi" w:hAnsiTheme="majorBidi" w:cstheme="majorBidi"/>
          <w:color w:val="1A1A1A"/>
          <w:sz w:val="20"/>
          <w:szCs w:val="20"/>
        </w:rPr>
      </w:pPr>
      <w:r>
        <w:rPr>
          <w:rFonts w:asciiTheme="majorBidi" w:hAnsiTheme="majorBidi" w:cstheme="majorBidi"/>
          <w:b/>
          <w:bCs/>
          <w:color w:val="1A1A1A"/>
          <w:sz w:val="20"/>
          <w:szCs w:val="20"/>
        </w:rPr>
        <w:t xml:space="preserve">Sup. </w:t>
      </w:r>
      <w:r w:rsidRPr="00AD0169">
        <w:rPr>
          <w:rFonts w:asciiTheme="majorBidi" w:hAnsiTheme="majorBidi" w:cstheme="majorBidi"/>
          <w:b/>
          <w:bCs/>
          <w:color w:val="1A1A1A"/>
          <w:sz w:val="20"/>
          <w:szCs w:val="20"/>
        </w:rPr>
        <w:t>Figure 1.</w:t>
      </w:r>
      <w:r w:rsidRPr="00AD0169">
        <w:rPr>
          <w:rFonts w:asciiTheme="majorBidi" w:hAnsiTheme="majorBidi" w:cstheme="majorBidi"/>
          <w:color w:val="1A1A1A"/>
          <w:sz w:val="20"/>
          <w:szCs w:val="20"/>
        </w:rPr>
        <w:t>Begg's</w:t>
      </w:r>
      <w:r>
        <w:rPr>
          <w:rFonts w:asciiTheme="majorBidi" w:hAnsiTheme="majorBidi" w:cstheme="majorBidi"/>
          <w:color w:val="1A1A1A"/>
          <w:sz w:val="20"/>
          <w:szCs w:val="20"/>
        </w:rPr>
        <w:t xml:space="preserve"> f</w:t>
      </w:r>
      <w:r w:rsidRPr="00AD0169">
        <w:rPr>
          <w:rFonts w:asciiTheme="majorBidi" w:hAnsiTheme="majorBidi" w:cstheme="majorBidi"/>
          <w:color w:val="1A1A1A"/>
          <w:sz w:val="20"/>
          <w:szCs w:val="20"/>
        </w:rPr>
        <w:t xml:space="preserve">unnel plot (with pseudo 95% CIs) of the WMD versus the se (WMD) for </w:t>
      </w:r>
      <w:r>
        <w:rPr>
          <w:rFonts w:asciiTheme="majorBidi" w:hAnsiTheme="majorBidi" w:cstheme="majorBidi"/>
          <w:color w:val="1A1A1A"/>
          <w:sz w:val="20"/>
          <w:szCs w:val="20"/>
        </w:rPr>
        <w:t>the comparison of BMIin those with the highest versus lowest relative telomere length (</w:t>
      </w:r>
      <w:proofErr w:type="spellStart"/>
      <w:r>
        <w:rPr>
          <w:rFonts w:asciiTheme="majorBidi" w:hAnsiTheme="majorBidi" w:cstheme="majorBidi"/>
          <w:color w:val="1A1A1A"/>
          <w:sz w:val="20"/>
          <w:szCs w:val="20"/>
        </w:rPr>
        <w:t>rTLT</w:t>
      </w:r>
      <w:proofErr w:type="spellEnd"/>
      <w:r>
        <w:rPr>
          <w:rFonts w:asciiTheme="majorBidi" w:hAnsiTheme="majorBidi" w:cstheme="majorBidi"/>
          <w:color w:val="1A1A1A"/>
          <w:sz w:val="20"/>
          <w:szCs w:val="20"/>
        </w:rPr>
        <w:t xml:space="preserve">) [P egger= </w:t>
      </w:r>
      <w:r w:rsidRPr="00BF4719">
        <w:rPr>
          <w:rFonts w:asciiTheme="majorBidi" w:hAnsiTheme="majorBidi" w:cstheme="majorBidi"/>
          <w:color w:val="1A1A1A"/>
          <w:sz w:val="20"/>
          <w:szCs w:val="20"/>
        </w:rPr>
        <w:t>0.131</w:t>
      </w:r>
      <w:r>
        <w:rPr>
          <w:rFonts w:asciiTheme="majorBidi" w:hAnsiTheme="majorBidi" w:cstheme="majorBidi"/>
          <w:color w:val="1A1A1A"/>
          <w:sz w:val="20"/>
          <w:szCs w:val="20"/>
        </w:rPr>
        <w:t xml:space="preserve">; P </w:t>
      </w:r>
      <w:proofErr w:type="spellStart"/>
      <w:r>
        <w:rPr>
          <w:rFonts w:asciiTheme="majorBidi" w:hAnsiTheme="majorBidi" w:cstheme="majorBidi"/>
          <w:color w:val="1A1A1A"/>
          <w:sz w:val="20"/>
          <w:szCs w:val="20"/>
        </w:rPr>
        <w:t>begg</w:t>
      </w:r>
      <w:proofErr w:type="spellEnd"/>
      <w:r>
        <w:rPr>
          <w:rFonts w:asciiTheme="majorBidi" w:hAnsiTheme="majorBidi" w:cstheme="majorBidi"/>
          <w:color w:val="1A1A1A"/>
          <w:sz w:val="20"/>
          <w:szCs w:val="20"/>
        </w:rPr>
        <w:t xml:space="preserve"> =0.131</w:t>
      </w:r>
      <w:proofErr w:type="gramStart"/>
      <w:r>
        <w:rPr>
          <w:rFonts w:asciiTheme="majorBidi" w:hAnsiTheme="majorBidi" w:cstheme="majorBidi"/>
          <w:color w:val="1A1A1A"/>
          <w:sz w:val="20"/>
          <w:szCs w:val="20"/>
        </w:rPr>
        <w:t>]</w:t>
      </w:r>
      <w:r w:rsidRPr="00AD0169">
        <w:rPr>
          <w:rFonts w:asciiTheme="majorBidi" w:hAnsiTheme="majorBidi" w:cstheme="majorBidi"/>
          <w:color w:val="1A1A1A"/>
          <w:sz w:val="20"/>
          <w:szCs w:val="20"/>
        </w:rPr>
        <w:t>(</w:t>
      </w:r>
      <w:proofErr w:type="gramEnd"/>
      <w:r w:rsidRPr="00AD0169">
        <w:rPr>
          <w:rFonts w:asciiTheme="majorBidi" w:hAnsiTheme="majorBidi" w:cstheme="majorBidi"/>
          <w:color w:val="1A1A1A"/>
          <w:sz w:val="20"/>
          <w:szCs w:val="20"/>
        </w:rPr>
        <w:t xml:space="preserve">A) </w:t>
      </w:r>
      <w:r>
        <w:rPr>
          <w:rFonts w:asciiTheme="majorBidi" w:hAnsiTheme="majorBidi" w:cstheme="majorBidi"/>
          <w:color w:val="1A1A1A"/>
          <w:sz w:val="20"/>
          <w:szCs w:val="20"/>
        </w:rPr>
        <w:t xml:space="preserve">and </w:t>
      </w:r>
      <w:r w:rsidRPr="00AD0169">
        <w:rPr>
          <w:rFonts w:asciiTheme="majorBidi" w:hAnsiTheme="majorBidi" w:cstheme="majorBidi"/>
          <w:color w:val="1A1A1A"/>
          <w:sz w:val="20"/>
          <w:szCs w:val="20"/>
        </w:rPr>
        <w:t xml:space="preserve">for </w:t>
      </w:r>
      <w:r>
        <w:rPr>
          <w:rFonts w:asciiTheme="majorBidi" w:hAnsiTheme="majorBidi" w:cstheme="majorBidi"/>
          <w:color w:val="1A1A1A"/>
          <w:sz w:val="20"/>
          <w:szCs w:val="20"/>
        </w:rPr>
        <w:t>the comparison of relative telomere length (</w:t>
      </w:r>
      <w:proofErr w:type="spellStart"/>
      <w:r>
        <w:rPr>
          <w:rFonts w:asciiTheme="majorBidi" w:hAnsiTheme="majorBidi" w:cstheme="majorBidi"/>
          <w:color w:val="1A1A1A"/>
          <w:sz w:val="20"/>
          <w:szCs w:val="20"/>
        </w:rPr>
        <w:t>rTLT</w:t>
      </w:r>
      <w:proofErr w:type="spellEnd"/>
      <w:r>
        <w:rPr>
          <w:rFonts w:asciiTheme="majorBidi" w:hAnsiTheme="majorBidi" w:cstheme="majorBidi"/>
          <w:color w:val="1A1A1A"/>
          <w:sz w:val="20"/>
          <w:szCs w:val="20"/>
        </w:rPr>
        <w:t xml:space="preserve">) in obese versus non-obese individuals[P egger= </w:t>
      </w:r>
      <w:r w:rsidRPr="00BF4719">
        <w:rPr>
          <w:rFonts w:asciiTheme="majorBidi" w:hAnsiTheme="majorBidi" w:cstheme="majorBidi"/>
          <w:color w:val="1A1A1A"/>
          <w:sz w:val="20"/>
          <w:szCs w:val="20"/>
        </w:rPr>
        <w:t>0.</w:t>
      </w:r>
      <w:r>
        <w:rPr>
          <w:rFonts w:asciiTheme="majorBidi" w:hAnsiTheme="majorBidi" w:cstheme="majorBidi"/>
          <w:color w:val="1A1A1A"/>
          <w:sz w:val="20"/>
          <w:szCs w:val="20"/>
        </w:rPr>
        <w:t xml:space="preserve">44; P </w:t>
      </w:r>
      <w:proofErr w:type="spellStart"/>
      <w:r>
        <w:rPr>
          <w:rFonts w:asciiTheme="majorBidi" w:hAnsiTheme="majorBidi" w:cstheme="majorBidi"/>
          <w:color w:val="1A1A1A"/>
          <w:sz w:val="20"/>
          <w:szCs w:val="20"/>
        </w:rPr>
        <w:t>begg</w:t>
      </w:r>
      <w:proofErr w:type="spellEnd"/>
      <w:r>
        <w:rPr>
          <w:rFonts w:asciiTheme="majorBidi" w:hAnsiTheme="majorBidi" w:cstheme="majorBidi"/>
          <w:color w:val="1A1A1A"/>
          <w:sz w:val="20"/>
          <w:szCs w:val="20"/>
        </w:rPr>
        <w:t xml:space="preserve"> =0.41]</w:t>
      </w:r>
      <w:r w:rsidRPr="00AD0169">
        <w:rPr>
          <w:rFonts w:asciiTheme="majorBidi" w:hAnsiTheme="majorBidi" w:cstheme="majorBidi"/>
          <w:color w:val="1A1A1A"/>
          <w:sz w:val="20"/>
          <w:szCs w:val="20"/>
        </w:rPr>
        <w:t xml:space="preserve"> (B) </w:t>
      </w:r>
    </w:p>
    <w:p w:rsidR="00050EDB" w:rsidRDefault="00050EDB" w:rsidP="00F94201">
      <w:pPr>
        <w:autoSpaceDE w:val="0"/>
        <w:autoSpaceDN w:val="0"/>
        <w:adjustRightInd w:val="0"/>
        <w:spacing w:after="0" w:line="360" w:lineRule="auto"/>
        <w:ind w:right="146"/>
        <w:jc w:val="both"/>
        <w:rPr>
          <w:rFonts w:asciiTheme="majorBidi" w:hAnsiTheme="majorBidi" w:cstheme="majorBidi"/>
          <w:color w:val="1A1A1A"/>
          <w:sz w:val="20"/>
          <w:szCs w:val="20"/>
        </w:rPr>
      </w:pPr>
    </w:p>
    <w:p w:rsidR="00050EDB" w:rsidRDefault="00050EDB" w:rsidP="00F94201">
      <w:pPr>
        <w:rPr>
          <w:rFonts w:asciiTheme="majorBidi" w:hAnsiTheme="majorBidi" w:cstheme="majorBidi"/>
          <w:b/>
          <w:bCs/>
        </w:rPr>
      </w:pPr>
    </w:p>
    <w:p w:rsidR="00050EDB" w:rsidRPr="00E47539" w:rsidRDefault="00050EDB" w:rsidP="00F94201">
      <w:pPr>
        <w:rPr>
          <w:rFonts w:asciiTheme="majorBidi" w:hAnsiTheme="majorBidi" w:cstheme="majorBidi"/>
          <w:b/>
          <w:bCs/>
        </w:rPr>
      </w:pPr>
      <w:r w:rsidRPr="00E47539">
        <w:rPr>
          <w:rFonts w:asciiTheme="majorBidi" w:hAnsiTheme="majorBidi" w:cstheme="majorBidi"/>
          <w:b/>
          <w:bCs/>
        </w:rPr>
        <w:lastRenderedPageBreak/>
        <w:t xml:space="preserve">References </w:t>
      </w:r>
    </w:p>
    <w:p w:rsidR="00050EDB" w:rsidRPr="005F0E4E" w:rsidRDefault="00050EDB" w:rsidP="00F94201">
      <w:pPr>
        <w:pStyle w:val="EndNoteBibliography"/>
        <w:ind w:left="720" w:hanging="720"/>
      </w:pPr>
      <w:r w:rsidRPr="005F0E4E">
        <w:t>1.</w:t>
      </w:r>
      <w:r w:rsidRPr="005F0E4E">
        <w:tab/>
        <w:t>Moher, D., A. Liberati, J. Tetzlaff, and D.G. Altman, Preferred reporting items for systematic reviews and meta-analyses: the PRISMA statement</w:t>
      </w:r>
      <w:r w:rsidRPr="005F0E4E">
        <w:rPr>
          <w:i/>
        </w:rPr>
        <w:t>.</w:t>
      </w:r>
      <w:r w:rsidRPr="005F0E4E">
        <w:t xml:space="preserve"> Annals of internal medicine, 2009. 151(4):264-269.</w:t>
      </w:r>
    </w:p>
    <w:p w:rsidR="00050EDB" w:rsidRPr="005F0E4E" w:rsidRDefault="00050EDB" w:rsidP="00F94201">
      <w:pPr>
        <w:pStyle w:val="EndNoteBibliography"/>
        <w:ind w:left="720" w:hanging="720"/>
      </w:pPr>
      <w:r w:rsidRPr="005F0E4E">
        <w:t>2.</w:t>
      </w:r>
      <w:r w:rsidRPr="005F0E4E">
        <w:tab/>
        <w:t>Linghui, D., Q. Shi, C. Chi, L. Xiaolei, Z. Lixing, Z. Zhiliang, et al., The Association Between Leukocyte Telomere Length and Cognitive Performance Among the American Elderly</w:t>
      </w:r>
      <w:r w:rsidRPr="005F0E4E">
        <w:rPr>
          <w:i/>
        </w:rPr>
        <w:t>.</w:t>
      </w:r>
      <w:r w:rsidRPr="005F0E4E">
        <w:t xml:space="preserve"> Front Aging Neurosci, 2020. 12:527658.</w:t>
      </w:r>
    </w:p>
    <w:p w:rsidR="00050EDB" w:rsidRPr="005F0E4E" w:rsidRDefault="00050EDB" w:rsidP="00F94201">
      <w:pPr>
        <w:pStyle w:val="EndNoteBibliography"/>
        <w:ind w:left="720" w:hanging="720"/>
      </w:pPr>
      <w:r w:rsidRPr="005F0E4E">
        <w:t>3.</w:t>
      </w:r>
      <w:r w:rsidRPr="005F0E4E">
        <w:tab/>
        <w:t>Zgheib, N.K., F. Sleiman, L. Nasreddine, M. Nasrallah, N. Nakhoul, H. Isma'eel, et al., Short telomere length is associated with aging, central obesity, poor sleep and hypertension in lebanese individuals</w:t>
      </w:r>
      <w:r w:rsidRPr="005F0E4E">
        <w:rPr>
          <w:i/>
        </w:rPr>
        <w:t>.</w:t>
      </w:r>
      <w:r w:rsidRPr="005F0E4E">
        <w:t xml:space="preserve"> Aging and Disease, 2018. 9(1):77-89.</w:t>
      </w:r>
    </w:p>
    <w:p w:rsidR="00050EDB" w:rsidRPr="005F0E4E" w:rsidRDefault="00050EDB" w:rsidP="00F94201">
      <w:pPr>
        <w:pStyle w:val="EndNoteBibliography"/>
        <w:ind w:left="720" w:hanging="720"/>
      </w:pPr>
      <w:r w:rsidRPr="005F0E4E">
        <w:t>4.</w:t>
      </w:r>
      <w:r w:rsidRPr="005F0E4E">
        <w:tab/>
        <w:t>Milte, C.M., A.P. Russell, K. Ball, D. Crawford, J. Salmon, and S.A. McNaughton, Diet quality and telomere length in older Australian men and women</w:t>
      </w:r>
      <w:r w:rsidRPr="005F0E4E">
        <w:rPr>
          <w:i/>
        </w:rPr>
        <w:t>.</w:t>
      </w:r>
      <w:r w:rsidRPr="005F0E4E">
        <w:t xml:space="preserve"> European Journal of Nutrition, 2018. 57(1):363-372.</w:t>
      </w:r>
    </w:p>
    <w:p w:rsidR="00050EDB" w:rsidRPr="005F0E4E" w:rsidRDefault="00050EDB" w:rsidP="00F94201">
      <w:pPr>
        <w:pStyle w:val="EndNoteBibliography"/>
        <w:ind w:left="720" w:hanging="720"/>
      </w:pPr>
      <w:r w:rsidRPr="005F0E4E">
        <w:t>5.</w:t>
      </w:r>
      <w:r w:rsidRPr="005F0E4E">
        <w:tab/>
        <w:t>Mazidi, M., A.P. Kengne, A. Sahebkar, and M. Banach, Telomere Length Is Associated With Cardiometabolic Factors in US Adults</w:t>
      </w:r>
      <w:r w:rsidRPr="005F0E4E">
        <w:rPr>
          <w:i/>
        </w:rPr>
        <w:t>.</w:t>
      </w:r>
      <w:r w:rsidRPr="005F0E4E">
        <w:t xml:space="preserve"> Angiology, 2018. 69(2):164-169.</w:t>
      </w:r>
    </w:p>
    <w:p w:rsidR="00050EDB" w:rsidRPr="005F0E4E" w:rsidRDefault="00050EDB" w:rsidP="00F94201">
      <w:pPr>
        <w:pStyle w:val="EndNoteBibliography"/>
        <w:ind w:left="720" w:hanging="720"/>
      </w:pPr>
      <w:r w:rsidRPr="005F0E4E">
        <w:t>6.</w:t>
      </w:r>
      <w:r w:rsidRPr="005F0E4E">
        <w:tab/>
        <w:t>Batsis, J.A., T.A. Mackenzie, E. Vasquez, C.M. Germain, R.T. Emeny, P. Rippberger, et al., Association of adiposity, telomere length and mortality: Data from the NHANES 1999-2002</w:t>
      </w:r>
      <w:r w:rsidRPr="005F0E4E">
        <w:rPr>
          <w:i/>
        </w:rPr>
        <w:t>.</w:t>
      </w:r>
      <w:r w:rsidRPr="005F0E4E">
        <w:t xml:space="preserve"> International Journal of Obesity, 2018. 42(2):198-204.</w:t>
      </w:r>
    </w:p>
    <w:p w:rsidR="00050EDB" w:rsidRPr="005F0E4E" w:rsidRDefault="00050EDB" w:rsidP="00F94201">
      <w:pPr>
        <w:pStyle w:val="EndNoteBibliography"/>
        <w:ind w:left="720" w:hanging="720"/>
      </w:pPr>
      <w:r w:rsidRPr="005F0E4E">
        <w:t>7.</w:t>
      </w:r>
      <w:r w:rsidRPr="005F0E4E">
        <w:tab/>
        <w:t>Zhao, H., L. Han, D. Chang, Y. Ye, J. Shen, C.R. Daniel, et al., Social-demographics, health behaviors, and telomere length in the Mexican American Mano a Mano Cohort</w:t>
      </w:r>
      <w:r w:rsidRPr="005F0E4E">
        <w:rPr>
          <w:i/>
        </w:rPr>
        <w:t>.</w:t>
      </w:r>
      <w:r w:rsidRPr="005F0E4E">
        <w:t xml:space="preserve"> Oncotarget, 2017. 8(57):96553-96567.</w:t>
      </w:r>
    </w:p>
    <w:p w:rsidR="00050EDB" w:rsidRPr="005F0E4E" w:rsidRDefault="00050EDB" w:rsidP="00F94201">
      <w:pPr>
        <w:pStyle w:val="EndNoteBibliography"/>
        <w:ind w:left="720" w:hanging="720"/>
      </w:pPr>
      <w:r w:rsidRPr="005F0E4E">
        <w:t>8.</w:t>
      </w:r>
      <w:r w:rsidRPr="005F0E4E">
        <w:tab/>
        <w:t>Mwasongwe, S., L. Raffield, Y. Gao, J.G. Wilson, A. Aviv, and A.P. Reiner, Leucocyte telomere length and cardiovascular disease in the jackson heart study</w:t>
      </w:r>
      <w:r w:rsidRPr="005F0E4E">
        <w:rPr>
          <w:i/>
        </w:rPr>
        <w:t>.</w:t>
      </w:r>
      <w:r w:rsidRPr="005F0E4E">
        <w:t xml:space="preserve"> Circulation, 2017. 135.</w:t>
      </w:r>
    </w:p>
    <w:p w:rsidR="00050EDB" w:rsidRPr="005F0E4E" w:rsidRDefault="00050EDB" w:rsidP="00F94201">
      <w:pPr>
        <w:pStyle w:val="EndNoteBibliography"/>
        <w:ind w:left="720" w:hanging="720"/>
      </w:pPr>
      <w:r w:rsidRPr="005F0E4E">
        <w:t>9.</w:t>
      </w:r>
      <w:r w:rsidRPr="005F0E4E">
        <w:tab/>
        <w:t>Min, K.B. and J.Y. Min, Association between leukocyte telomere length and serum carotenoid in US adults</w:t>
      </w:r>
      <w:r w:rsidRPr="005F0E4E">
        <w:rPr>
          <w:i/>
        </w:rPr>
        <w:t>.</w:t>
      </w:r>
      <w:r w:rsidRPr="005F0E4E">
        <w:t xml:space="preserve"> European Journal of Nutrition, 2017. 56(3):1045-1052.</w:t>
      </w:r>
    </w:p>
    <w:p w:rsidR="00050EDB" w:rsidRPr="005F0E4E" w:rsidRDefault="00050EDB" w:rsidP="00F94201">
      <w:pPr>
        <w:pStyle w:val="EndNoteBibliography"/>
        <w:ind w:left="720" w:hanging="720"/>
      </w:pPr>
      <w:r w:rsidRPr="005F0E4E">
        <w:t>10.</w:t>
      </w:r>
      <w:r w:rsidRPr="005F0E4E">
        <w:tab/>
        <w:t>Mazidi, M., P. Rezaie, A. Covic, J. Malyszko, J. Rysz, A.P. Kengne, et al., Telomere attrition, kidney function, and prevalent chronic kidney disease in the United States</w:t>
      </w:r>
      <w:r w:rsidRPr="005F0E4E">
        <w:rPr>
          <w:i/>
        </w:rPr>
        <w:t>.</w:t>
      </w:r>
      <w:r w:rsidRPr="005F0E4E">
        <w:t xml:space="preserve"> Oncotarget, 2017. 8(46):80175-80181.</w:t>
      </w:r>
    </w:p>
    <w:p w:rsidR="00050EDB" w:rsidRPr="005F0E4E" w:rsidRDefault="00050EDB" w:rsidP="00F94201">
      <w:pPr>
        <w:pStyle w:val="EndNoteBibliography"/>
        <w:ind w:left="720" w:hanging="720"/>
      </w:pPr>
      <w:r w:rsidRPr="005F0E4E">
        <w:t>11.</w:t>
      </w:r>
      <w:r w:rsidRPr="005F0E4E">
        <w:tab/>
        <w:t>Julin, B., I.M. Shui, J. Prescott, E.L. Giovannucci, and I. De Vivo, Plasma vitamin D biomarkers and leukocyte telomere length in men</w:t>
      </w:r>
      <w:r w:rsidRPr="005F0E4E">
        <w:rPr>
          <w:i/>
        </w:rPr>
        <w:t>.</w:t>
      </w:r>
      <w:r w:rsidRPr="005F0E4E">
        <w:t xml:space="preserve"> European Journal of Nutrition, 2017. 56(2):501-508.</w:t>
      </w:r>
    </w:p>
    <w:p w:rsidR="00050EDB" w:rsidRPr="005F0E4E" w:rsidRDefault="00050EDB" w:rsidP="00F94201">
      <w:pPr>
        <w:pStyle w:val="EndNoteBibliography"/>
        <w:ind w:left="720" w:hanging="720"/>
      </w:pPr>
      <w:r w:rsidRPr="005F0E4E">
        <w:t>12.</w:t>
      </w:r>
      <w:r w:rsidRPr="005F0E4E">
        <w:tab/>
        <w:t>Müezzinler, A., U. Mons, A.K. Dieffenbach, K. Butterbach, K.U. Saum, M. Schick, et al., Body mass index and leukocyte telomere length dynamics among older adults: Results from the ESTHER cohort</w:t>
      </w:r>
      <w:r w:rsidRPr="005F0E4E">
        <w:rPr>
          <w:i/>
        </w:rPr>
        <w:t>.</w:t>
      </w:r>
      <w:r w:rsidRPr="005F0E4E">
        <w:t xml:space="preserve"> Experimental Gerontology, 2016. 74:1-8.</w:t>
      </w:r>
    </w:p>
    <w:p w:rsidR="00050EDB" w:rsidRPr="005F0E4E" w:rsidRDefault="00050EDB" w:rsidP="00F94201">
      <w:pPr>
        <w:pStyle w:val="EndNoteBibliography"/>
        <w:ind w:left="720" w:hanging="720"/>
      </w:pPr>
      <w:r w:rsidRPr="005F0E4E">
        <w:t>13.</w:t>
      </w:r>
      <w:r w:rsidRPr="005F0E4E">
        <w:tab/>
        <w:t>Cui, Y., Y.T. Gao, Q. Cai, S. Qu, H. Cai, H.L. Li, et al., Associations of leukocyte telomere length with body anthropometric indices and weight change in chinese women</w:t>
      </w:r>
      <w:r w:rsidRPr="005F0E4E">
        <w:rPr>
          <w:i/>
        </w:rPr>
        <w:t>.</w:t>
      </w:r>
      <w:r w:rsidRPr="005F0E4E">
        <w:t xml:space="preserve"> Obesity, 2013. 21(12):2582-2588.</w:t>
      </w:r>
    </w:p>
    <w:p w:rsidR="00050EDB" w:rsidRPr="005F0E4E" w:rsidRDefault="00050EDB" w:rsidP="00F94201">
      <w:pPr>
        <w:pStyle w:val="EndNoteBibliography"/>
        <w:ind w:left="720" w:hanging="720"/>
      </w:pPr>
      <w:r w:rsidRPr="005F0E4E">
        <w:t>14.</w:t>
      </w:r>
      <w:r w:rsidRPr="005F0E4E">
        <w:tab/>
        <w:t>Strandberg, T.E., O. Saijonmaa, R.S. Tilvis, K.H. Pitkälä, A.Y. Strandberg, T.A. Miettinen, et al., Association of telomere length in older men with mortality and midlife body mass index and smoking</w:t>
      </w:r>
      <w:r w:rsidRPr="005F0E4E">
        <w:rPr>
          <w:i/>
        </w:rPr>
        <w:t>.</w:t>
      </w:r>
      <w:r w:rsidRPr="005F0E4E">
        <w:t xml:space="preserve"> Journals of Gerontology - Series A Biological Sciences and Medical Sciences, 2011. 66 A(7):815-820.</w:t>
      </w:r>
    </w:p>
    <w:p w:rsidR="00050EDB" w:rsidRPr="005F0E4E" w:rsidRDefault="00050EDB" w:rsidP="00F94201">
      <w:pPr>
        <w:pStyle w:val="EndNoteBibliography"/>
        <w:ind w:left="720" w:hanging="720"/>
      </w:pPr>
      <w:r w:rsidRPr="005F0E4E">
        <w:t>15.</w:t>
      </w:r>
      <w:r w:rsidRPr="005F0E4E">
        <w:tab/>
        <w:t>Fitzpatrick, A.L., R.A. Kronmal, M. Kimura, J.P. Gardner, B.M. Psaty, N.S. Jenny, et al., Leukocyte telomere length and mortality in the cardiovascular health study</w:t>
      </w:r>
      <w:r w:rsidRPr="005F0E4E">
        <w:rPr>
          <w:i/>
        </w:rPr>
        <w:t>.</w:t>
      </w:r>
      <w:r w:rsidRPr="005F0E4E">
        <w:t xml:space="preserve"> Journals of Gerontology - Series A Biological Sciences and Medical Sciences, 2011. 66 A(4):421-429.</w:t>
      </w:r>
    </w:p>
    <w:p w:rsidR="00050EDB" w:rsidRPr="005F0E4E" w:rsidRDefault="00050EDB" w:rsidP="00F94201">
      <w:pPr>
        <w:pStyle w:val="EndNoteBibliography"/>
        <w:ind w:left="720" w:hanging="720"/>
      </w:pPr>
      <w:r w:rsidRPr="005F0E4E">
        <w:t>16.</w:t>
      </w:r>
      <w:r w:rsidRPr="005F0E4E">
        <w:tab/>
        <w:t>Cassidy, A., I. De Vivo, Y. Liu, J. Han, J. Prescott, D.J. Hunter, et al., Associations between diet, lifestyle factors, and telomere length in women</w:t>
      </w:r>
      <w:r w:rsidRPr="005F0E4E">
        <w:rPr>
          <w:i/>
        </w:rPr>
        <w:t>.</w:t>
      </w:r>
      <w:r w:rsidRPr="005F0E4E">
        <w:t xml:space="preserve"> American Journal of Clinical Nutrition, 2010. 91(5):1273-1280.</w:t>
      </w:r>
    </w:p>
    <w:p w:rsidR="00050EDB" w:rsidRPr="005F0E4E" w:rsidRDefault="00050EDB" w:rsidP="00F94201">
      <w:pPr>
        <w:pStyle w:val="EndNoteBibliography"/>
        <w:ind w:left="720" w:hanging="720"/>
      </w:pPr>
      <w:r w:rsidRPr="005F0E4E">
        <w:t>17.</w:t>
      </w:r>
      <w:r w:rsidRPr="005F0E4E">
        <w:tab/>
        <w:t>Hardikar, S., X. Song, R.A. Risques, T.J. Montine, C. Duggan, P.L. Blount, et al., Obesity and inflammation markers in relation to leukocyte telomere length in a cross-sectional study of persons with Barrett's esophagus</w:t>
      </w:r>
      <w:r w:rsidRPr="005F0E4E">
        <w:rPr>
          <w:i/>
        </w:rPr>
        <w:t>.</w:t>
      </w:r>
      <w:r w:rsidRPr="005F0E4E">
        <w:t xml:space="preserve"> BMC Obesity, 2015. 2(1).</w:t>
      </w:r>
    </w:p>
    <w:p w:rsidR="00050EDB" w:rsidRPr="005F0E4E" w:rsidRDefault="00050EDB" w:rsidP="00F94201">
      <w:pPr>
        <w:pStyle w:val="EndNoteBibliography"/>
        <w:ind w:left="720" w:hanging="720"/>
      </w:pPr>
      <w:r w:rsidRPr="005F0E4E">
        <w:t>18.</w:t>
      </w:r>
      <w:r w:rsidRPr="005F0E4E">
        <w:tab/>
        <w:t>Zalli, A., L.A. Carvalho, J. Lin, M. Hamer, J.D. Erusalimsky, E.H. Blackburn, et al., Shorter telomeres with high telomerase activity are associated with raised allostatic load and impoverished psychosocial resources</w:t>
      </w:r>
      <w:r w:rsidRPr="005F0E4E">
        <w:rPr>
          <w:i/>
        </w:rPr>
        <w:t>.</w:t>
      </w:r>
      <w:r w:rsidRPr="005F0E4E">
        <w:t xml:space="preserve"> Proceedings of the National Academy of Sciences of the United States of America, 2014. 111(12):4519-4524.</w:t>
      </w:r>
    </w:p>
    <w:p w:rsidR="00050EDB" w:rsidRPr="005F0E4E" w:rsidRDefault="00050EDB" w:rsidP="00F94201">
      <w:pPr>
        <w:pStyle w:val="EndNoteBibliography"/>
        <w:ind w:left="720" w:hanging="720"/>
      </w:pPr>
      <w:r w:rsidRPr="005F0E4E">
        <w:t>19.</w:t>
      </w:r>
      <w:r w:rsidRPr="005F0E4E">
        <w:tab/>
        <w:t>Chen, S., F. Yeh, J. Lin, T. Matsuguchi, E. Blackburn, E.T. Lee, et al., Short leukocyte telomere length is associated with obesity in American Indians: The strong heart family study</w:t>
      </w:r>
      <w:r w:rsidRPr="005F0E4E">
        <w:rPr>
          <w:i/>
        </w:rPr>
        <w:t>.</w:t>
      </w:r>
      <w:r w:rsidRPr="005F0E4E">
        <w:t xml:space="preserve"> Aging, 2014. 6(5):380-389.</w:t>
      </w:r>
    </w:p>
    <w:p w:rsidR="00050EDB" w:rsidRPr="006A460C" w:rsidRDefault="00050EDB" w:rsidP="007C0D6E">
      <w:pPr>
        <w:pStyle w:val="EndNoteBibliography"/>
        <w:ind w:left="720" w:hanging="720"/>
        <w:rPr>
          <w:rFonts w:asciiTheme="majorBidi" w:hAnsiTheme="majorBidi" w:cstheme="majorBidi"/>
          <w:sz w:val="18"/>
          <w:szCs w:val="18"/>
        </w:rPr>
      </w:pPr>
      <w:r w:rsidRPr="005F0E4E">
        <w:t>20.</w:t>
      </w:r>
      <w:r w:rsidRPr="005F0E4E">
        <w:tab/>
        <w:t>Liu, J.J., J. Prescott, E. Giovannucci, S.E. Hankinson, B. Rosner, J. Han, et al., Plasma vitamin D biomarkers and leukocyte telomere length</w:t>
      </w:r>
      <w:r w:rsidRPr="005F0E4E">
        <w:rPr>
          <w:i/>
        </w:rPr>
        <w:t>.</w:t>
      </w:r>
      <w:r w:rsidRPr="005F0E4E">
        <w:t xml:space="preserve"> American Journal of Epidemiology, 2013. 177(12):1411-1417.</w:t>
      </w:r>
    </w:p>
    <w:p w:rsidR="0018777F" w:rsidRDefault="0018777F"/>
    <w:sectPr w:rsidR="0018777F" w:rsidSect="00F9420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00000000" w:usb1="38CF7CFA" w:usb2="00000016" w:usb3="00000000" w:csb0="0004000F" w:csb1="00000000"/>
  </w:font>
  <w:font w:name="Cambria Math">
    <w:panose1 w:val="00000000000000000000"/>
    <w:charset w:val="00"/>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8B433D"/>
    <w:multiLevelType w:val="hybridMultilevel"/>
    <w:tmpl w:val="0B3A0CDC"/>
    <w:lvl w:ilvl="0" w:tplc="86AC00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C572F1"/>
    <w:multiLevelType w:val="hybridMultilevel"/>
    <w:tmpl w:val="25EC53E2"/>
    <w:lvl w:ilvl="0" w:tplc="16AE979E">
      <w:numFmt w:val="bullet"/>
      <w:lvlText w:val=""/>
      <w:lvlJc w:val="left"/>
      <w:pPr>
        <w:ind w:left="720" w:hanging="360"/>
      </w:pPr>
      <w:rPr>
        <w:rFonts w:ascii="Wingdings" w:eastAsiaTheme="minorHAnsi"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A8261E"/>
    <w:multiLevelType w:val="hybridMultilevel"/>
    <w:tmpl w:val="662E744E"/>
    <w:lvl w:ilvl="0" w:tplc="B80AFE90">
      <w:start w:val="1"/>
      <w:numFmt w:val="decimal"/>
      <w:lvlText w:val="%1."/>
      <w:lvlJc w:val="left"/>
      <w:pPr>
        <w:ind w:left="-1058" w:hanging="360"/>
      </w:pPr>
      <w:rPr>
        <w:rFonts w:hint="default"/>
        <w:b/>
      </w:rPr>
    </w:lvl>
    <w:lvl w:ilvl="1" w:tplc="04090019" w:tentative="1">
      <w:start w:val="1"/>
      <w:numFmt w:val="lowerLetter"/>
      <w:lvlText w:val="%2."/>
      <w:lvlJc w:val="left"/>
      <w:pPr>
        <w:ind w:left="-338" w:hanging="360"/>
      </w:pPr>
    </w:lvl>
    <w:lvl w:ilvl="2" w:tplc="0409001B" w:tentative="1">
      <w:start w:val="1"/>
      <w:numFmt w:val="lowerRoman"/>
      <w:lvlText w:val="%3."/>
      <w:lvlJc w:val="right"/>
      <w:pPr>
        <w:ind w:left="382" w:hanging="180"/>
      </w:pPr>
    </w:lvl>
    <w:lvl w:ilvl="3" w:tplc="0409000F" w:tentative="1">
      <w:start w:val="1"/>
      <w:numFmt w:val="decimal"/>
      <w:lvlText w:val="%4."/>
      <w:lvlJc w:val="left"/>
      <w:pPr>
        <w:ind w:left="1102" w:hanging="360"/>
      </w:pPr>
    </w:lvl>
    <w:lvl w:ilvl="4" w:tplc="04090019" w:tentative="1">
      <w:start w:val="1"/>
      <w:numFmt w:val="lowerLetter"/>
      <w:lvlText w:val="%5."/>
      <w:lvlJc w:val="left"/>
      <w:pPr>
        <w:ind w:left="1822" w:hanging="360"/>
      </w:pPr>
    </w:lvl>
    <w:lvl w:ilvl="5" w:tplc="0409001B" w:tentative="1">
      <w:start w:val="1"/>
      <w:numFmt w:val="lowerRoman"/>
      <w:lvlText w:val="%6."/>
      <w:lvlJc w:val="right"/>
      <w:pPr>
        <w:ind w:left="2542" w:hanging="180"/>
      </w:pPr>
    </w:lvl>
    <w:lvl w:ilvl="6" w:tplc="0409000F" w:tentative="1">
      <w:start w:val="1"/>
      <w:numFmt w:val="decimal"/>
      <w:lvlText w:val="%7."/>
      <w:lvlJc w:val="left"/>
      <w:pPr>
        <w:ind w:left="3262" w:hanging="360"/>
      </w:pPr>
    </w:lvl>
    <w:lvl w:ilvl="7" w:tplc="04090019" w:tentative="1">
      <w:start w:val="1"/>
      <w:numFmt w:val="lowerLetter"/>
      <w:lvlText w:val="%8."/>
      <w:lvlJc w:val="left"/>
      <w:pPr>
        <w:ind w:left="3982" w:hanging="360"/>
      </w:pPr>
    </w:lvl>
    <w:lvl w:ilvl="8" w:tplc="0409001B" w:tentative="1">
      <w:start w:val="1"/>
      <w:numFmt w:val="lowerRoman"/>
      <w:lvlText w:val="%9."/>
      <w:lvlJc w:val="right"/>
      <w:pPr>
        <w:ind w:left="4702" w:hanging="180"/>
      </w:pPr>
    </w:lvl>
  </w:abstractNum>
  <w:abstractNum w:abstractNumId="3">
    <w:nsid w:val="5713340A"/>
    <w:multiLevelType w:val="hybridMultilevel"/>
    <w:tmpl w:val="DCF2D502"/>
    <w:lvl w:ilvl="0" w:tplc="1CCC0F2E">
      <w:start w:val="2"/>
      <w:numFmt w:val="bullet"/>
      <w:lvlText w:val=""/>
      <w:lvlJc w:val="left"/>
      <w:pPr>
        <w:ind w:left="-65" w:hanging="360"/>
      </w:pPr>
      <w:rPr>
        <w:rFonts w:ascii="Symbol" w:eastAsiaTheme="minorHAnsi" w:hAnsi="Symbol" w:cstheme="majorBidi" w:hint="default"/>
      </w:rPr>
    </w:lvl>
    <w:lvl w:ilvl="1" w:tplc="04090003" w:tentative="1">
      <w:start w:val="1"/>
      <w:numFmt w:val="bullet"/>
      <w:lvlText w:val="o"/>
      <w:lvlJc w:val="left"/>
      <w:pPr>
        <w:ind w:left="655" w:hanging="360"/>
      </w:pPr>
      <w:rPr>
        <w:rFonts w:ascii="Courier New" w:hAnsi="Courier New" w:cs="Courier New" w:hint="default"/>
      </w:rPr>
    </w:lvl>
    <w:lvl w:ilvl="2" w:tplc="04090005" w:tentative="1">
      <w:start w:val="1"/>
      <w:numFmt w:val="bullet"/>
      <w:lvlText w:val=""/>
      <w:lvlJc w:val="left"/>
      <w:pPr>
        <w:ind w:left="1375" w:hanging="360"/>
      </w:pPr>
      <w:rPr>
        <w:rFonts w:ascii="Wingdings" w:hAnsi="Wingdings" w:hint="default"/>
      </w:rPr>
    </w:lvl>
    <w:lvl w:ilvl="3" w:tplc="04090001" w:tentative="1">
      <w:start w:val="1"/>
      <w:numFmt w:val="bullet"/>
      <w:lvlText w:val=""/>
      <w:lvlJc w:val="left"/>
      <w:pPr>
        <w:ind w:left="2095" w:hanging="360"/>
      </w:pPr>
      <w:rPr>
        <w:rFonts w:ascii="Symbol" w:hAnsi="Symbol" w:hint="default"/>
      </w:rPr>
    </w:lvl>
    <w:lvl w:ilvl="4" w:tplc="04090003" w:tentative="1">
      <w:start w:val="1"/>
      <w:numFmt w:val="bullet"/>
      <w:lvlText w:val="o"/>
      <w:lvlJc w:val="left"/>
      <w:pPr>
        <w:ind w:left="2815" w:hanging="360"/>
      </w:pPr>
      <w:rPr>
        <w:rFonts w:ascii="Courier New" w:hAnsi="Courier New" w:cs="Courier New" w:hint="default"/>
      </w:rPr>
    </w:lvl>
    <w:lvl w:ilvl="5" w:tplc="04090005" w:tentative="1">
      <w:start w:val="1"/>
      <w:numFmt w:val="bullet"/>
      <w:lvlText w:val=""/>
      <w:lvlJc w:val="left"/>
      <w:pPr>
        <w:ind w:left="3535" w:hanging="360"/>
      </w:pPr>
      <w:rPr>
        <w:rFonts w:ascii="Wingdings" w:hAnsi="Wingdings" w:hint="default"/>
      </w:rPr>
    </w:lvl>
    <w:lvl w:ilvl="6" w:tplc="04090001" w:tentative="1">
      <w:start w:val="1"/>
      <w:numFmt w:val="bullet"/>
      <w:lvlText w:val=""/>
      <w:lvlJc w:val="left"/>
      <w:pPr>
        <w:ind w:left="4255" w:hanging="360"/>
      </w:pPr>
      <w:rPr>
        <w:rFonts w:ascii="Symbol" w:hAnsi="Symbol" w:hint="default"/>
      </w:rPr>
    </w:lvl>
    <w:lvl w:ilvl="7" w:tplc="04090003" w:tentative="1">
      <w:start w:val="1"/>
      <w:numFmt w:val="bullet"/>
      <w:lvlText w:val="o"/>
      <w:lvlJc w:val="left"/>
      <w:pPr>
        <w:ind w:left="4975" w:hanging="360"/>
      </w:pPr>
      <w:rPr>
        <w:rFonts w:ascii="Courier New" w:hAnsi="Courier New" w:cs="Courier New" w:hint="default"/>
      </w:rPr>
    </w:lvl>
    <w:lvl w:ilvl="8" w:tplc="04090005" w:tentative="1">
      <w:start w:val="1"/>
      <w:numFmt w:val="bullet"/>
      <w:lvlText w:val=""/>
      <w:lvlJc w:val="left"/>
      <w:pPr>
        <w:ind w:left="5695"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docVars>
    <w:docVar w:name="EN.InstantFormat" w:val="&lt;ENInstantFormat&gt;&lt;Enabled&gt;1&lt;/Enabled&gt;&lt;ScanUnformatted&gt;1&lt;/ScanUnformatted&gt;&lt;ScanChanges&gt;1&lt;/ScanChanges&gt;&lt;Suspended&gt;1&lt;/Suspended&gt;&lt;/ENInstantFormat&gt;"/>
  </w:docVars>
  <w:rsids>
    <w:rsidRoot w:val="00050EDB"/>
    <w:rsid w:val="00050EDB"/>
    <w:rsid w:val="00071FA1"/>
    <w:rsid w:val="0018777F"/>
    <w:rsid w:val="005A62D0"/>
    <w:rsid w:val="00671FA4"/>
    <w:rsid w:val="007770D4"/>
    <w:rsid w:val="007C0D6E"/>
    <w:rsid w:val="008471C0"/>
    <w:rsid w:val="00930E51"/>
    <w:rsid w:val="009C6E19"/>
    <w:rsid w:val="00A43739"/>
    <w:rsid w:val="00AD3FC6"/>
    <w:rsid w:val="00B5313A"/>
    <w:rsid w:val="00CD34E4"/>
    <w:rsid w:val="00F942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E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0EDB"/>
    <w:rPr>
      <w:color w:val="0563C1" w:themeColor="hyperlink"/>
      <w:u w:val="single"/>
    </w:rPr>
  </w:style>
  <w:style w:type="character" w:styleId="Strong">
    <w:name w:val="Strong"/>
    <w:basedOn w:val="DefaultParagraphFont"/>
    <w:uiPriority w:val="22"/>
    <w:qFormat/>
    <w:rsid w:val="00050EDB"/>
    <w:rPr>
      <w:b/>
      <w:bCs/>
    </w:rPr>
  </w:style>
  <w:style w:type="character" w:customStyle="1" w:styleId="icon3">
    <w:name w:val="icon3"/>
    <w:basedOn w:val="DefaultParagraphFont"/>
    <w:rsid w:val="00050EDB"/>
    <w:rPr>
      <w:vanish w:val="0"/>
      <w:webHidden w:val="0"/>
      <w:shd w:val="clear" w:color="auto" w:fill="FFFFFF"/>
      <w:specVanish w:val="0"/>
    </w:rPr>
  </w:style>
  <w:style w:type="table" w:styleId="TableGrid">
    <w:name w:val="Table Grid"/>
    <w:basedOn w:val="TableNormal"/>
    <w:uiPriority w:val="39"/>
    <w:rsid w:val="00050E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50EDB"/>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CM1">
    <w:name w:val="CM1"/>
    <w:basedOn w:val="Default"/>
    <w:next w:val="Default"/>
    <w:rsid w:val="00050EDB"/>
    <w:rPr>
      <w:rFonts w:cs="Times New Roman"/>
      <w:color w:val="auto"/>
    </w:rPr>
  </w:style>
  <w:style w:type="paragraph" w:customStyle="1" w:styleId="EndNoteBibliography">
    <w:name w:val="EndNote Bibliography"/>
    <w:basedOn w:val="Normal"/>
    <w:link w:val="EndNoteBibliographyChar"/>
    <w:rsid w:val="00050EDB"/>
    <w:pPr>
      <w:widowControl w:val="0"/>
      <w:spacing w:after="0" w:line="240" w:lineRule="auto"/>
      <w:jc w:val="both"/>
    </w:pPr>
    <w:rPr>
      <w:rFonts w:ascii="Calibri" w:eastAsiaTheme="minorEastAsia" w:hAnsi="Calibri"/>
      <w:noProof/>
      <w:kern w:val="2"/>
      <w:sz w:val="20"/>
      <w:lang w:eastAsia="zh-CN"/>
    </w:rPr>
  </w:style>
  <w:style w:type="character" w:customStyle="1" w:styleId="EndNoteBibliographyChar">
    <w:name w:val="EndNote Bibliography Char"/>
    <w:basedOn w:val="DefaultParagraphFont"/>
    <w:link w:val="EndNoteBibliography"/>
    <w:rsid w:val="00050EDB"/>
    <w:rPr>
      <w:rFonts w:ascii="Calibri" w:eastAsiaTheme="minorEastAsia" w:hAnsi="Calibri"/>
      <w:noProof/>
      <w:kern w:val="2"/>
      <w:sz w:val="20"/>
      <w:lang w:eastAsia="zh-CN"/>
    </w:rPr>
  </w:style>
  <w:style w:type="paragraph" w:styleId="Header">
    <w:name w:val="header"/>
    <w:basedOn w:val="Normal"/>
    <w:link w:val="HeaderChar"/>
    <w:uiPriority w:val="99"/>
    <w:unhideWhenUsed/>
    <w:rsid w:val="00050E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0EDB"/>
  </w:style>
  <w:style w:type="paragraph" w:styleId="Footer">
    <w:name w:val="footer"/>
    <w:basedOn w:val="Normal"/>
    <w:link w:val="FooterChar"/>
    <w:uiPriority w:val="99"/>
    <w:unhideWhenUsed/>
    <w:rsid w:val="00050E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EDB"/>
  </w:style>
  <w:style w:type="paragraph" w:customStyle="1" w:styleId="EndNoteBibliographyTitle">
    <w:name w:val="EndNote Bibliography Title"/>
    <w:basedOn w:val="Normal"/>
    <w:link w:val="EndNoteBibliographyTitleChar"/>
    <w:rsid w:val="00050EDB"/>
    <w:pPr>
      <w:spacing w:after="0"/>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050EDB"/>
    <w:rPr>
      <w:rFonts w:ascii="Calibri" w:hAnsi="Calibri"/>
      <w:noProof/>
      <w:sz w:val="20"/>
    </w:rPr>
  </w:style>
  <w:style w:type="paragraph" w:styleId="ListParagraph">
    <w:name w:val="List Paragraph"/>
    <w:basedOn w:val="Normal"/>
    <w:link w:val="ListParagraphChar"/>
    <w:uiPriority w:val="34"/>
    <w:qFormat/>
    <w:rsid w:val="00050EDB"/>
    <w:pPr>
      <w:ind w:left="720"/>
      <w:contextualSpacing/>
    </w:pPr>
  </w:style>
  <w:style w:type="character" w:customStyle="1" w:styleId="e24kjd">
    <w:name w:val="e24kjd"/>
    <w:basedOn w:val="DefaultParagraphFont"/>
    <w:rsid w:val="00050EDB"/>
  </w:style>
  <w:style w:type="character" w:customStyle="1" w:styleId="ListParagraphChar">
    <w:name w:val="List Paragraph Char"/>
    <w:basedOn w:val="DefaultParagraphFont"/>
    <w:link w:val="ListParagraph"/>
    <w:uiPriority w:val="34"/>
    <w:rsid w:val="00050EDB"/>
  </w:style>
  <w:style w:type="table" w:customStyle="1" w:styleId="PlainTable1">
    <w:name w:val="Plain Table 1"/>
    <w:basedOn w:val="TableNormal"/>
    <w:uiPriority w:val="41"/>
    <w:rsid w:val="00050ED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5">
    <w:name w:val="Grid Table 4 Accent 5"/>
    <w:basedOn w:val="TableNormal"/>
    <w:uiPriority w:val="49"/>
    <w:rsid w:val="00050EDB"/>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A437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7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E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0EDB"/>
    <w:rPr>
      <w:color w:val="0563C1" w:themeColor="hyperlink"/>
      <w:u w:val="single"/>
    </w:rPr>
  </w:style>
  <w:style w:type="character" w:styleId="Strong">
    <w:name w:val="Strong"/>
    <w:basedOn w:val="DefaultParagraphFont"/>
    <w:uiPriority w:val="22"/>
    <w:qFormat/>
    <w:rsid w:val="00050EDB"/>
    <w:rPr>
      <w:b/>
      <w:bCs/>
    </w:rPr>
  </w:style>
  <w:style w:type="character" w:customStyle="1" w:styleId="icon3">
    <w:name w:val="icon3"/>
    <w:basedOn w:val="DefaultParagraphFont"/>
    <w:rsid w:val="00050EDB"/>
    <w:rPr>
      <w:vanish w:val="0"/>
      <w:webHidden w:val="0"/>
      <w:shd w:val="clear" w:color="auto" w:fill="FFFFFF"/>
      <w:specVanish w:val="0"/>
    </w:rPr>
  </w:style>
  <w:style w:type="table" w:styleId="TableGrid">
    <w:name w:val="Table Grid"/>
    <w:basedOn w:val="TableNormal"/>
    <w:uiPriority w:val="39"/>
    <w:rsid w:val="00050E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50EDB"/>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CM1">
    <w:name w:val="CM1"/>
    <w:basedOn w:val="Default"/>
    <w:next w:val="Default"/>
    <w:rsid w:val="00050EDB"/>
    <w:rPr>
      <w:rFonts w:cs="Times New Roman"/>
      <w:color w:val="auto"/>
    </w:rPr>
  </w:style>
  <w:style w:type="paragraph" w:customStyle="1" w:styleId="EndNoteBibliography">
    <w:name w:val="EndNote Bibliography"/>
    <w:basedOn w:val="Normal"/>
    <w:link w:val="EndNoteBibliographyChar"/>
    <w:rsid w:val="00050EDB"/>
    <w:pPr>
      <w:widowControl w:val="0"/>
      <w:spacing w:after="0" w:line="240" w:lineRule="auto"/>
      <w:jc w:val="both"/>
    </w:pPr>
    <w:rPr>
      <w:rFonts w:ascii="Calibri" w:eastAsiaTheme="minorEastAsia" w:hAnsi="Calibri"/>
      <w:noProof/>
      <w:kern w:val="2"/>
      <w:sz w:val="20"/>
      <w:lang w:eastAsia="zh-CN"/>
    </w:rPr>
  </w:style>
  <w:style w:type="character" w:customStyle="1" w:styleId="EndNoteBibliographyChar">
    <w:name w:val="EndNote Bibliography Char"/>
    <w:basedOn w:val="DefaultParagraphFont"/>
    <w:link w:val="EndNoteBibliography"/>
    <w:rsid w:val="00050EDB"/>
    <w:rPr>
      <w:rFonts w:ascii="Calibri" w:eastAsiaTheme="minorEastAsia" w:hAnsi="Calibri"/>
      <w:noProof/>
      <w:kern w:val="2"/>
      <w:sz w:val="20"/>
      <w:lang w:eastAsia="zh-CN"/>
    </w:rPr>
  </w:style>
  <w:style w:type="paragraph" w:styleId="Header">
    <w:name w:val="header"/>
    <w:basedOn w:val="Normal"/>
    <w:link w:val="HeaderChar"/>
    <w:uiPriority w:val="99"/>
    <w:unhideWhenUsed/>
    <w:rsid w:val="00050E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0EDB"/>
  </w:style>
  <w:style w:type="paragraph" w:styleId="Footer">
    <w:name w:val="footer"/>
    <w:basedOn w:val="Normal"/>
    <w:link w:val="FooterChar"/>
    <w:uiPriority w:val="99"/>
    <w:unhideWhenUsed/>
    <w:rsid w:val="00050E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EDB"/>
  </w:style>
  <w:style w:type="paragraph" w:customStyle="1" w:styleId="EndNoteBibliographyTitle">
    <w:name w:val="EndNote Bibliography Title"/>
    <w:basedOn w:val="Normal"/>
    <w:link w:val="EndNoteBibliographyTitleChar"/>
    <w:rsid w:val="00050EDB"/>
    <w:pPr>
      <w:spacing w:after="0"/>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050EDB"/>
    <w:rPr>
      <w:rFonts w:ascii="Calibri" w:hAnsi="Calibri"/>
      <w:noProof/>
      <w:sz w:val="20"/>
    </w:rPr>
  </w:style>
  <w:style w:type="paragraph" w:styleId="ListParagraph">
    <w:name w:val="List Paragraph"/>
    <w:basedOn w:val="Normal"/>
    <w:link w:val="ListParagraphChar"/>
    <w:uiPriority w:val="34"/>
    <w:qFormat/>
    <w:rsid w:val="00050EDB"/>
    <w:pPr>
      <w:ind w:left="720"/>
      <w:contextualSpacing/>
    </w:pPr>
  </w:style>
  <w:style w:type="character" w:customStyle="1" w:styleId="e24kjd">
    <w:name w:val="e24kjd"/>
    <w:basedOn w:val="DefaultParagraphFont"/>
    <w:rsid w:val="00050EDB"/>
  </w:style>
  <w:style w:type="character" w:customStyle="1" w:styleId="ListParagraphChar">
    <w:name w:val="List Paragraph Char"/>
    <w:basedOn w:val="DefaultParagraphFont"/>
    <w:link w:val="ListParagraph"/>
    <w:uiPriority w:val="34"/>
    <w:rsid w:val="00050EDB"/>
  </w:style>
  <w:style w:type="table" w:customStyle="1" w:styleId="PlainTable1">
    <w:name w:val="Plain Table 1"/>
    <w:basedOn w:val="TableNormal"/>
    <w:uiPriority w:val="41"/>
    <w:rsid w:val="00050ED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5">
    <w:name w:val="Grid Table 4 Accent 5"/>
    <w:basedOn w:val="TableNormal"/>
    <w:uiPriority w:val="49"/>
    <w:rsid w:val="00050EDB"/>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A437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7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hyperlink" Target="mailto:abbasalizadm@tbzmmed.az.ir" TargetMode="Externa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bbasalizad_m@yahoo.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29FAD-710A-4403-913F-A60266324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2524</Words>
  <Characters>13558</Characters>
  <Application>Microsoft Office Word</Application>
  <DocSecurity>0</DocSecurity>
  <Lines>677</Lines>
  <Paragraphs>536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farhangi</dc:creator>
  <cp:keywords/>
  <dc:description/>
  <cp:lastModifiedBy>Vijay</cp:lastModifiedBy>
  <cp:revision>5</cp:revision>
  <dcterms:created xsi:type="dcterms:W3CDTF">2022-05-17T09:19:00Z</dcterms:created>
  <dcterms:modified xsi:type="dcterms:W3CDTF">2022-05-19T09:33:00Z</dcterms:modified>
</cp:coreProperties>
</file>