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7323B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04EED1A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05B8C161" wp14:editId="1BDF60E9">
            <wp:extent cx="5274310" cy="28647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FF53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rFonts w:ascii="Times New Roman" w:eastAsia="DengXi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F</w:t>
      </w:r>
      <w:r w:rsidRPr="00215DBD">
        <w:rPr>
          <w:rFonts w:ascii="Times New Roman" w:eastAsia="DengXi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igure S1. 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Functional enrichment analyses of differentially expressed ER </w:t>
      </w: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stress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-related genes. (A) Gene ontology analysis. (B) The top 30 most significant Kyoto</w:t>
      </w:r>
    </w:p>
    <w:p w14:paraId="3851D6D0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Encyclopedia of Genes and Genomes pathways.</w:t>
      </w:r>
    </w:p>
    <w:p w14:paraId="36AAC43A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639586BC" wp14:editId="7A5ECE0F">
            <wp:extent cx="5274310" cy="3298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B6AB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S2. Construction of a prognostic 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ERG-related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model in TCGA-LIHC.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 w:rsidRPr="00215DBD">
        <w:rPr>
          <w:color w:val="000000" w:themeColor="text1"/>
        </w:rPr>
        <w:t xml:space="preserve"> 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>Forest plot illustrating 48 DE ERGs identified through the univariate Cox analysis. (B)</w:t>
      </w:r>
      <w:r w:rsidRPr="00215DB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10-Fold cross-validation analysis of the </w:t>
      </w:r>
      <w:r w:rsidRPr="00215DB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selected ERGs in the LASSO model. (C). X-tile for the coefficients of 6 ERGs of HCC.</w:t>
      </w:r>
    </w:p>
    <w:p w14:paraId="5E0A908A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57F6D7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587DA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595F54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AB0F01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B6C02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1B6FFA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3AF59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221407A4" wp14:editId="7575F185">
            <wp:extent cx="5274310" cy="32245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C7E4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S3. The expression levels of 6 ER stress-related genes in the high- and low-risk subgroups in the TCGA-LIHC COHORT-LIHC cohort. </w:t>
      </w:r>
    </w:p>
    <w:p w14:paraId="28235883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075588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48BF7E71" wp14:editId="75628A17">
            <wp:extent cx="5274310" cy="3138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283D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S4.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Kaplan-Meier survival curves based on the expression of six DE-ERGs with HCC in the TCGA-LIHC cohort.</w:t>
      </w:r>
    </w:p>
    <w:p w14:paraId="683959F0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3C4BB6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318B2A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EB4A273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2C8E799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60589AC6" wp14:editId="42369909">
            <wp:extent cx="5274310" cy="47224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BFE8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igure S5.</w:t>
      </w:r>
      <w:r w:rsidRPr="00215DBD">
        <w:rPr>
          <w:color w:val="000000" w:themeColor="text1"/>
        </w:rPr>
        <w:t xml:space="preserve"> 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KM survival analysis, risk score assessment by the ERG-related gene signature and time-dependent ROC curves in the ICGC cohort.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(A) ROC curve for overall survival of the validation set. The AUC was assessed at 1, 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2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and 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3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years. (B)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KM survival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analysis of high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 low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risk samples. (C) Six ERGs expression patterns for patients in high- and low-risk groups by the six ERG signature. (D) and (E). Relationship between the risk score rank/ survival status and risk score rank/ survival time (days). (F). PCA analysis for HCC patients.</w:t>
      </w:r>
    </w:p>
    <w:p w14:paraId="03F413A2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4399D8D1" wp14:editId="001FAF02">
            <wp:extent cx="5274310" cy="441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3FD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S6. The relationships between the ERGs related risk signature and (A)a</w:t>
      </w: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ge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gender, grade, AJCC stage, T stage, N stage and M stage in TCGA-LIHC cohort; and (B) </w:t>
      </w: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age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gender</w:t>
      </w: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,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clinical stage in ICGC-LIRI-JP.</w:t>
      </w:r>
    </w:p>
    <w:p w14:paraId="6C4E7C35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5A89947A" wp14:editId="6B11E15D">
            <wp:extent cx="5274310" cy="5024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DB4B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igure S7. 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Stratification analysis of various clinical features by Kaplan-Meier survival curves for the patients with CRC in the TCGA-LIHC cohort.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A-B. age; C-D. gender; E-F. T stage; G-H. N stage; I-J.M stage; K-L. AJCC </w:t>
      </w:r>
      <w:r w:rsidRPr="00215DB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stage</w:t>
      </w:r>
      <w:r w:rsidRPr="00215D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8C7E3A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33077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72450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38FE28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7B305A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FAD539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D2AE2B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7085E1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CCF5E9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02B811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C6EDF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161CE1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5EC299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5C3FC6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0760C1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27FF9B3B" wp14:editId="13F2F663">
            <wp:extent cx="5274310" cy="45713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8D14" w14:textId="77777777" w:rsidR="00BE7A74" w:rsidRPr="00215DBD" w:rsidRDefault="00BE7A74" w:rsidP="00BE7A7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igure S8. The mutation profile and TMB among Low-risk and High-risk groups.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top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 most frequently mutated genes’ mutation profile in (A) High-risk and (B) Low-risk groups. (C) The relationship between the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immune related risk signature and TMB. (D) The association of TMB and OS in the TCGA-LIHC cohort dataset. </w:t>
      </w:r>
    </w:p>
    <w:p w14:paraId="068BFE41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6AE2E02C" wp14:editId="1CBED845">
            <wp:extent cx="5274310" cy="22193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A9C0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6E160C" w14:textId="77777777" w:rsidR="00BE7A74" w:rsidRPr="00215DBD" w:rsidRDefault="00BE7A74" w:rsidP="00BE7A7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igure S9. The </w:t>
      </w:r>
      <w:r w:rsidRPr="00215DB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heatmap</w:t>
      </w:r>
      <w:r w:rsidRPr="00215D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immune-checkpoint expression in TCGA-LIHC cohort (A) and ICGC-LIRI-JP(B).</w:t>
      </w:r>
    </w:p>
    <w:p w14:paraId="2B50A865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5902F5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D349CC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C2D3F4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DBD">
        <w:rPr>
          <w:noProof/>
          <w:color w:val="000000" w:themeColor="text1"/>
        </w:rPr>
        <w:drawing>
          <wp:inline distT="0" distB="0" distL="0" distR="0" wp14:anchorId="607B9247" wp14:editId="7FA78502">
            <wp:extent cx="5274310" cy="61321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FE00" w14:textId="77777777" w:rsidR="00BE7A74" w:rsidRPr="00215DBD" w:rsidRDefault="00BE7A74" w:rsidP="00BE7A74">
      <w:pPr>
        <w:adjustRightInd w:val="0"/>
        <w:snapToGrid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15D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Figure 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15D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</w:t>
      </w:r>
      <w:r w:rsidRPr="00215D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0. Immune-checkpoint gene expression analysis in risk model.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The gene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expression of PD1, PD-L1 and CTLA4 in low-risk and high- risk groups in the TCGA-LIHC cohort. (D-F) The association between 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immune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-checkpoint and the ERG-related risk signature in the TCGA-LIHC cohort. (G-I) The gene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expression of PD1, PD-L1 and CTLA4 in low-risk and high- risk groups in the ICGC cohort. (J-L) The association between </w:t>
      </w:r>
      <w:r w:rsidRPr="00215DBD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immune</w:t>
      </w:r>
      <w:r w:rsidRPr="00215D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-checkpoint and the ERG-related risk signature in the ICGA cohort.</w:t>
      </w:r>
    </w:p>
    <w:p w14:paraId="13A225FC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98022C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9832B8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DE836D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64CA7C" w14:textId="77777777" w:rsidR="00BE7A74" w:rsidRPr="00215DBD" w:rsidRDefault="00BE7A74" w:rsidP="00BE7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3E0615" w14:textId="77777777" w:rsidR="007B4EA7" w:rsidRPr="00215DBD" w:rsidRDefault="007B4EA7">
      <w:pPr>
        <w:rPr>
          <w:color w:val="000000" w:themeColor="text1"/>
        </w:rPr>
      </w:pPr>
    </w:p>
    <w:sectPr w:rsidR="007B4EA7" w:rsidRPr="00215D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FA1DA" w14:textId="77777777" w:rsidR="009A4D7B" w:rsidRDefault="009A4D7B" w:rsidP="00BE7A74">
      <w:r>
        <w:separator/>
      </w:r>
    </w:p>
  </w:endnote>
  <w:endnote w:type="continuationSeparator" w:id="0">
    <w:p w14:paraId="43354FF0" w14:textId="77777777" w:rsidR="009A4D7B" w:rsidRDefault="009A4D7B" w:rsidP="00BE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0DC35" w14:textId="77777777" w:rsidR="009A4D7B" w:rsidRDefault="009A4D7B" w:rsidP="00BE7A74">
      <w:r>
        <w:separator/>
      </w:r>
    </w:p>
  </w:footnote>
  <w:footnote w:type="continuationSeparator" w:id="0">
    <w:p w14:paraId="6D8E43B5" w14:textId="77777777" w:rsidR="009A4D7B" w:rsidRDefault="009A4D7B" w:rsidP="00BE7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A7"/>
    <w:rsid w:val="00215DBD"/>
    <w:rsid w:val="007B4EA7"/>
    <w:rsid w:val="007C0357"/>
    <w:rsid w:val="009A4D7B"/>
    <w:rsid w:val="00BE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9751948-7CFD-4733-B680-E4689D58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A7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7A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7A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dingli</dc:creator>
  <cp:keywords/>
  <dc:description/>
  <cp:lastModifiedBy>Bindhu Krishnan</cp:lastModifiedBy>
  <cp:revision>2</cp:revision>
  <dcterms:created xsi:type="dcterms:W3CDTF">2022-04-19T10:22:00Z</dcterms:created>
  <dcterms:modified xsi:type="dcterms:W3CDTF">2022-04-19T10:22:00Z</dcterms:modified>
</cp:coreProperties>
</file>