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C45" w:rsidRPr="00B013C7" w:rsidRDefault="008C27FA" w:rsidP="00B013C7">
      <w:pPr>
        <w:pStyle w:val="Title"/>
        <w:spacing w:before="240" w:after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13C7">
        <w:rPr>
          <w:rFonts w:ascii="Times New Roman" w:hAnsi="Times New Roman" w:cs="Times New Roman"/>
          <w:b/>
          <w:sz w:val="32"/>
          <w:szCs w:val="32"/>
        </w:rPr>
        <w:t>Supplementary materials</w:t>
      </w:r>
    </w:p>
    <w:p w:rsidR="00154BF8" w:rsidRPr="00B013C7" w:rsidRDefault="00154BF8" w:rsidP="00B013C7">
      <w:pPr>
        <w:pStyle w:val="Caption"/>
        <w:keepNext/>
        <w:spacing w:before="240" w:after="240"/>
        <w:rPr>
          <w:rFonts w:ascii="Times New Roman" w:hAnsi="Times New Roman"/>
          <w:i w:val="0"/>
          <w:color w:val="auto"/>
          <w:sz w:val="24"/>
          <w:szCs w:val="24"/>
        </w:rPr>
      </w:pPr>
      <w:r w:rsidRPr="00B013C7">
        <w:rPr>
          <w:rFonts w:ascii="Times New Roman" w:hAnsi="Times New Roman"/>
          <w:b/>
          <w:i w:val="0"/>
          <w:color w:val="auto"/>
          <w:sz w:val="24"/>
          <w:szCs w:val="24"/>
        </w:rPr>
        <w:t>Supplementary Figure 1</w:t>
      </w:r>
      <w:r w:rsidRPr="00B013C7">
        <w:rPr>
          <w:rFonts w:ascii="Times New Roman" w:hAnsi="Times New Roman"/>
          <w:i w:val="0"/>
          <w:color w:val="auto"/>
          <w:sz w:val="24"/>
          <w:szCs w:val="24"/>
        </w:rPr>
        <w:t xml:space="preserve"> Percentage of patients treated with curative versus palliative intent, non-SABR radiotherapy year on year from 2005 to 2020. </w:t>
      </w:r>
    </w:p>
    <w:p w:rsidR="00154BF8" w:rsidRPr="00B013C7" w:rsidRDefault="008C27FA" w:rsidP="00B013C7">
      <w:pPr>
        <w:pStyle w:val="Caption"/>
        <w:keepNext/>
        <w:spacing w:before="240" w:after="24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013C7">
        <w:rPr>
          <w:noProof/>
          <w:color w:val="auto"/>
          <w:sz w:val="24"/>
          <w:szCs w:val="24"/>
          <w:lang w:eastAsia="en-GB"/>
        </w:rPr>
        <w:drawing>
          <wp:inline distT="0" distB="0" distL="0" distR="0" wp14:anchorId="0B3F2252" wp14:editId="10146940">
            <wp:extent cx="5731510" cy="34791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2_increaseRadicalYears_NoSABR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F8" w:rsidRPr="00B013C7" w:rsidRDefault="00154BF8" w:rsidP="00B013C7">
      <w:pPr>
        <w:spacing w:before="240" w:after="240" w:line="240" w:lineRule="auto"/>
        <w:rPr>
          <w:sz w:val="24"/>
          <w:szCs w:val="24"/>
        </w:rPr>
      </w:pPr>
    </w:p>
    <w:p w:rsidR="008C27FA" w:rsidRPr="00B013C7" w:rsidRDefault="00154BF8" w:rsidP="00B013C7">
      <w:pPr>
        <w:pStyle w:val="Caption"/>
        <w:keepNext/>
        <w:spacing w:before="240" w:after="24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B013C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Supplementary </w:t>
      </w:r>
      <w:r w:rsidR="008C27FA" w:rsidRPr="00B013C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Figure 2</w:t>
      </w:r>
      <w:r w:rsidR="008C27FA" w:rsidRPr="00B013C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Percentage of patients treated with curative versus palliative intent</w:t>
      </w:r>
      <w:r w:rsidRPr="00B013C7">
        <w:rPr>
          <w:rFonts w:ascii="Times New Roman" w:hAnsi="Times New Roman" w:cs="Times New Roman"/>
          <w:i w:val="0"/>
          <w:color w:val="auto"/>
          <w:sz w:val="24"/>
          <w:szCs w:val="24"/>
        </w:rPr>
        <w:t>, non-SABR</w:t>
      </w:r>
      <w:r w:rsidR="008C27FA" w:rsidRPr="00B013C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radiotherapy in each of the pre-specified time periods.</w:t>
      </w:r>
    </w:p>
    <w:p w:rsidR="008C27FA" w:rsidRPr="00B013C7" w:rsidRDefault="008C27FA" w:rsidP="00B013C7">
      <w:pPr>
        <w:spacing w:before="240" w:after="240" w:line="240" w:lineRule="auto"/>
        <w:rPr>
          <w:sz w:val="24"/>
          <w:szCs w:val="24"/>
        </w:rPr>
      </w:pPr>
      <w:r w:rsidRPr="00B013C7">
        <w:rPr>
          <w:noProof/>
          <w:sz w:val="24"/>
          <w:szCs w:val="24"/>
          <w:lang w:eastAsia="en-GB"/>
        </w:rPr>
        <w:drawing>
          <wp:inline distT="0" distB="0" distL="0" distR="0">
            <wp:extent cx="5731510" cy="37865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1_increaseRadicalABC_NoSAB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48" w:rsidRDefault="00AC2348" w:rsidP="00B013C7">
      <w:pPr>
        <w:pStyle w:val="Caption"/>
        <w:keepNext/>
        <w:spacing w:before="240" w:after="240"/>
        <w:rPr>
          <w:rFonts w:ascii="Times New Roman" w:hAnsi="Times New Roman"/>
          <w:b/>
          <w:i w:val="0"/>
          <w:color w:val="auto"/>
          <w:sz w:val="24"/>
          <w:szCs w:val="24"/>
        </w:rPr>
      </w:pPr>
    </w:p>
    <w:p w:rsidR="00154BF8" w:rsidRPr="00B013C7" w:rsidRDefault="00680C83" w:rsidP="00B013C7">
      <w:pPr>
        <w:pStyle w:val="Caption"/>
        <w:keepNext/>
        <w:spacing w:before="240" w:after="240"/>
        <w:rPr>
          <w:rFonts w:ascii="Times New Roman" w:hAnsi="Times New Roman"/>
          <w:i w:val="0"/>
          <w:color w:val="auto"/>
          <w:sz w:val="24"/>
          <w:szCs w:val="24"/>
        </w:rPr>
      </w:pPr>
      <w:bookmarkStart w:id="0" w:name="_GoBack"/>
      <w:bookmarkEnd w:id="0"/>
      <w:r w:rsidRPr="00B013C7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Supplementary </w:t>
      </w:r>
      <w:r w:rsidR="00154BF8" w:rsidRPr="00B013C7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Table </w:t>
      </w:r>
      <w:r w:rsidR="00A1572B" w:rsidRPr="00B013C7">
        <w:rPr>
          <w:rFonts w:ascii="Times New Roman" w:hAnsi="Times New Roman"/>
          <w:b/>
          <w:i w:val="0"/>
          <w:color w:val="auto"/>
          <w:sz w:val="24"/>
          <w:szCs w:val="24"/>
        </w:rPr>
        <w:t>1</w:t>
      </w:r>
      <w:r w:rsidR="00154BF8" w:rsidRPr="00B013C7">
        <w:rPr>
          <w:rFonts w:ascii="Times New Roman" w:hAnsi="Times New Roman"/>
          <w:i w:val="0"/>
          <w:color w:val="auto"/>
          <w:sz w:val="24"/>
          <w:szCs w:val="24"/>
        </w:rPr>
        <w:t xml:space="preserve"> Proportion of patients treated with curative-intent, non-SABR radiotherapy across each PS and time period.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20" w:firstRow="1" w:lastRow="0" w:firstColumn="0" w:lastColumn="0" w:noHBand="0" w:noVBand="1"/>
      </w:tblPr>
      <w:tblGrid>
        <w:gridCol w:w="1545"/>
        <w:gridCol w:w="2689"/>
        <w:gridCol w:w="2518"/>
        <w:gridCol w:w="2490"/>
      </w:tblGrid>
      <w:tr w:rsidR="00154BF8" w:rsidRPr="00B013C7" w:rsidTr="00154BF8">
        <w:trPr>
          <w:trHeight w:val="690"/>
        </w:trPr>
        <w:tc>
          <w:tcPr>
            <w:tcW w:w="836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PS</w:t>
            </w:r>
          </w:p>
        </w:tc>
        <w:tc>
          <w:tcPr>
            <w:tcW w:w="1455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A: 2005-2008</w:t>
            </w:r>
          </w:p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% curative-intent</w:t>
            </w:r>
          </w:p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(n curative-intent/n PS)</w:t>
            </w:r>
          </w:p>
        </w:tc>
        <w:tc>
          <w:tcPr>
            <w:tcW w:w="1362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B: 2009-2012</w:t>
            </w:r>
          </w:p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% curative-intent</w:t>
            </w:r>
          </w:p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(n curative-intent/n PS)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C: 2013-2020</w:t>
            </w:r>
          </w:p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% curative-intent</w:t>
            </w:r>
          </w:p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(n curative-intent/n PS)</w:t>
            </w:r>
          </w:p>
        </w:tc>
      </w:tr>
      <w:tr w:rsidR="00154BF8" w:rsidRPr="00B013C7" w:rsidTr="00680C83">
        <w:trPr>
          <w:trHeight w:val="690"/>
        </w:trPr>
        <w:tc>
          <w:tcPr>
            <w:tcW w:w="836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bCs/>
                <w:kern w:val="24"/>
                <w:lang w:val="en-GB"/>
              </w:rPr>
              <w:t>0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bCs/>
                <w:kern w:val="24"/>
                <w:lang w:val="en-GB"/>
              </w:rPr>
              <w:t>(n=1119)</w:t>
            </w:r>
          </w:p>
        </w:tc>
        <w:tc>
          <w:tcPr>
            <w:tcW w:w="1455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bCs/>
                <w:kern w:val="24"/>
                <w:lang w:val="en-GB"/>
              </w:rPr>
              <w:t>52.1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bCs/>
                <w:kern w:val="24"/>
                <w:lang w:val="en-GB"/>
              </w:rPr>
              <w:t>(148/284)</w:t>
            </w:r>
          </w:p>
        </w:tc>
        <w:tc>
          <w:tcPr>
            <w:tcW w:w="1362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bCs/>
                <w:kern w:val="24"/>
                <w:lang w:val="en-GB"/>
              </w:rPr>
              <w:t>65.1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bCs/>
                <w:kern w:val="24"/>
                <w:lang w:val="en-GB"/>
              </w:rPr>
              <w:t>(181/278)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bCs/>
                <w:kern w:val="24"/>
                <w:lang w:val="en-GB"/>
              </w:rPr>
              <w:t>69.7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bCs/>
                <w:kern w:val="24"/>
                <w:lang w:val="en-GB"/>
              </w:rPr>
              <w:t>(388/557)</w:t>
            </w:r>
          </w:p>
        </w:tc>
      </w:tr>
      <w:tr w:rsidR="00154BF8" w:rsidRPr="00B013C7" w:rsidTr="00680C83">
        <w:trPr>
          <w:trHeight w:val="690"/>
        </w:trPr>
        <w:tc>
          <w:tcPr>
            <w:tcW w:w="836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kern w:val="24"/>
                <w:lang w:val="en-GB"/>
              </w:rPr>
              <w:t>1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kern w:val="24"/>
                <w:lang w:val="en-GB"/>
              </w:rPr>
              <w:t>(n=3938)</w:t>
            </w:r>
          </w:p>
        </w:tc>
        <w:tc>
          <w:tcPr>
            <w:tcW w:w="1455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43.9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(374/852)</w:t>
            </w:r>
          </w:p>
        </w:tc>
        <w:tc>
          <w:tcPr>
            <w:tcW w:w="1362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60.1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(636/1059)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66.7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(1353/2027)</w:t>
            </w:r>
          </w:p>
        </w:tc>
      </w:tr>
      <w:tr w:rsidR="00154BF8" w:rsidRPr="00B013C7" w:rsidTr="00680C83">
        <w:trPr>
          <w:trHeight w:val="690"/>
        </w:trPr>
        <w:tc>
          <w:tcPr>
            <w:tcW w:w="836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kern w:val="24"/>
                <w:lang w:val="en-GB"/>
              </w:rPr>
              <w:t>2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kern w:val="24"/>
                <w:lang w:val="en-GB"/>
              </w:rPr>
              <w:t>(n=2863)</w:t>
            </w:r>
          </w:p>
        </w:tc>
        <w:tc>
          <w:tcPr>
            <w:tcW w:w="1455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34.8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(165/474)</w:t>
            </w:r>
          </w:p>
        </w:tc>
        <w:tc>
          <w:tcPr>
            <w:tcW w:w="1362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59.7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(381/752)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60.5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(990/1637)</w:t>
            </w:r>
          </w:p>
        </w:tc>
      </w:tr>
      <w:tr w:rsidR="00154BF8" w:rsidRPr="00B013C7" w:rsidTr="00680C83">
        <w:trPr>
          <w:trHeight w:val="690"/>
        </w:trPr>
        <w:tc>
          <w:tcPr>
            <w:tcW w:w="836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kern w:val="24"/>
                <w:lang w:val="en-GB"/>
              </w:rPr>
              <w:t>3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kern w:val="24"/>
                <w:lang w:val="en-GB"/>
              </w:rPr>
              <w:t>(n=1190)</w:t>
            </w:r>
          </w:p>
        </w:tc>
        <w:tc>
          <w:tcPr>
            <w:tcW w:w="1455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15.6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(26/167)</w:t>
            </w:r>
          </w:p>
        </w:tc>
        <w:tc>
          <w:tcPr>
            <w:tcW w:w="1362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21.4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(74/346)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37.4</w:t>
            </w:r>
          </w:p>
          <w:p w:rsidR="00154BF8" w:rsidRPr="00B013C7" w:rsidRDefault="00154BF8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(253/677)</w:t>
            </w:r>
          </w:p>
        </w:tc>
      </w:tr>
    </w:tbl>
    <w:p w:rsidR="00154BF8" w:rsidRPr="00B013C7" w:rsidRDefault="00154BF8" w:rsidP="00B013C7">
      <w:pPr>
        <w:spacing w:before="240" w:after="240" w:line="240" w:lineRule="auto"/>
        <w:rPr>
          <w:rFonts w:ascii="Times New Roman" w:hAnsi="Times New Roman"/>
          <w:sz w:val="24"/>
          <w:szCs w:val="24"/>
        </w:rPr>
      </w:pPr>
    </w:p>
    <w:p w:rsidR="00154BF8" w:rsidRPr="00B013C7" w:rsidRDefault="00680C83" w:rsidP="00B013C7">
      <w:pPr>
        <w:pStyle w:val="Caption"/>
        <w:keepNext/>
        <w:spacing w:before="240" w:after="240"/>
        <w:rPr>
          <w:rFonts w:ascii="Times New Roman" w:hAnsi="Times New Roman"/>
          <w:i w:val="0"/>
          <w:color w:val="auto"/>
          <w:sz w:val="24"/>
          <w:szCs w:val="24"/>
        </w:rPr>
      </w:pPr>
      <w:r w:rsidRPr="00B013C7"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 xml:space="preserve">Supplementary </w:t>
      </w:r>
      <w:r w:rsidR="00154BF8" w:rsidRPr="00B013C7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Table </w:t>
      </w:r>
      <w:r w:rsidR="00A1572B" w:rsidRPr="00B013C7">
        <w:rPr>
          <w:rFonts w:ascii="Times New Roman" w:hAnsi="Times New Roman"/>
          <w:b/>
          <w:i w:val="0"/>
          <w:color w:val="auto"/>
          <w:sz w:val="24"/>
          <w:szCs w:val="24"/>
        </w:rPr>
        <w:t>2</w:t>
      </w:r>
      <w:r w:rsidR="00154BF8" w:rsidRPr="00B013C7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</w:t>
      </w:r>
      <w:r w:rsidR="00154BF8" w:rsidRPr="00B013C7">
        <w:rPr>
          <w:rFonts w:ascii="Times New Roman" w:hAnsi="Times New Roman"/>
          <w:i w:val="0"/>
          <w:color w:val="auto"/>
          <w:sz w:val="24"/>
          <w:szCs w:val="24"/>
        </w:rPr>
        <w:t>Proportion of patients treated with curative-intent, non-SABR radiotherapy across each stage and time period.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20" w:firstRow="1" w:lastRow="0" w:firstColumn="0" w:lastColumn="0" w:noHBand="0" w:noVBand="1"/>
      </w:tblPr>
      <w:tblGrid>
        <w:gridCol w:w="1545"/>
        <w:gridCol w:w="2689"/>
        <w:gridCol w:w="2518"/>
        <w:gridCol w:w="2490"/>
      </w:tblGrid>
      <w:tr w:rsidR="00154BF8" w:rsidRPr="00B013C7" w:rsidTr="00680C83">
        <w:trPr>
          <w:trHeight w:val="690"/>
        </w:trPr>
        <w:tc>
          <w:tcPr>
            <w:tcW w:w="836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Stage</w:t>
            </w:r>
          </w:p>
        </w:tc>
        <w:tc>
          <w:tcPr>
            <w:tcW w:w="1455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A: 2005-2008</w:t>
            </w:r>
          </w:p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% curative-intent</w:t>
            </w:r>
          </w:p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(n curative-intent/n stage)</w:t>
            </w:r>
          </w:p>
        </w:tc>
        <w:tc>
          <w:tcPr>
            <w:tcW w:w="1362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B: 2009-2012</w:t>
            </w:r>
          </w:p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% curative-intent</w:t>
            </w:r>
          </w:p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(n curative-intent/n stage)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C: 2013-2020</w:t>
            </w:r>
          </w:p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% curative-intent</w:t>
            </w:r>
          </w:p>
          <w:p w:rsidR="00154BF8" w:rsidRPr="00B013C7" w:rsidRDefault="00154BF8" w:rsidP="00B013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013C7">
              <w:rPr>
                <w:rFonts w:ascii="Times New Roman" w:hAnsi="Times New Roman"/>
                <w:b/>
                <w:bCs/>
                <w:sz w:val="24"/>
                <w:szCs w:val="24"/>
              </w:rPr>
              <w:t>(n curative-intent/n stage)</w:t>
            </w:r>
          </w:p>
        </w:tc>
      </w:tr>
      <w:tr w:rsidR="00680C83" w:rsidRPr="00B013C7" w:rsidTr="00680C83">
        <w:trPr>
          <w:trHeight w:val="690"/>
        </w:trPr>
        <w:tc>
          <w:tcPr>
            <w:tcW w:w="836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bCs/>
                <w:kern w:val="24"/>
                <w:lang w:val="en-GB"/>
              </w:rPr>
              <w:t>I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bCs/>
                <w:kern w:val="24"/>
                <w:lang w:val="en-GB"/>
              </w:rPr>
              <w:t>(n=1420)</w:t>
            </w:r>
          </w:p>
        </w:tc>
        <w:tc>
          <w:tcPr>
            <w:tcW w:w="1455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bCs/>
                <w:kern w:val="24"/>
                <w:lang w:val="en-GB"/>
              </w:rPr>
              <w:t>76.9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bCs/>
                <w:kern w:val="24"/>
                <w:lang w:val="en-GB"/>
              </w:rPr>
              <w:t>(247/321)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bCs/>
                <w:kern w:val="24"/>
                <w:lang w:val="en-GB"/>
              </w:rPr>
              <w:t>90.9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bCs/>
                <w:kern w:val="24"/>
                <w:lang w:val="en-GB"/>
              </w:rPr>
              <w:t>(378/416)</w:t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bCs/>
                <w:kern w:val="24"/>
                <w:lang w:val="en-GB"/>
              </w:rPr>
              <w:t>94.6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bCs/>
                <w:kern w:val="24"/>
                <w:lang w:val="en-GB"/>
              </w:rPr>
              <w:t>(646/683)</w:t>
            </w:r>
          </w:p>
        </w:tc>
      </w:tr>
      <w:tr w:rsidR="00680C83" w:rsidRPr="00B013C7" w:rsidTr="00680C83">
        <w:trPr>
          <w:trHeight w:val="690"/>
        </w:trPr>
        <w:tc>
          <w:tcPr>
            <w:tcW w:w="836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kern w:val="24"/>
                <w:lang w:val="en-GB"/>
              </w:rPr>
              <w:t>II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kern w:val="24"/>
                <w:lang w:val="en-GB"/>
              </w:rPr>
              <w:t>(n=1008)</w:t>
            </w:r>
          </w:p>
        </w:tc>
        <w:tc>
          <w:tcPr>
            <w:tcW w:w="1455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70.3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(111/158)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84.8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(206/243)</w:t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91.3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(554/607)</w:t>
            </w:r>
          </w:p>
        </w:tc>
      </w:tr>
      <w:tr w:rsidR="00680C83" w:rsidRPr="00B013C7" w:rsidTr="00680C83">
        <w:trPr>
          <w:trHeight w:val="690"/>
        </w:trPr>
        <w:tc>
          <w:tcPr>
            <w:tcW w:w="836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kern w:val="24"/>
                <w:lang w:val="en-GB"/>
              </w:rPr>
              <w:t>III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kern w:val="24"/>
                <w:lang w:val="en-GB"/>
              </w:rPr>
              <w:t>(n=3231)</w:t>
            </w:r>
          </w:p>
        </w:tc>
        <w:tc>
          <w:tcPr>
            <w:tcW w:w="1455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40.4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(223/552)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66.3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(536/808)</w:t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75.9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(1420/1871)</w:t>
            </w:r>
          </w:p>
        </w:tc>
      </w:tr>
      <w:tr w:rsidR="00680C83" w:rsidRPr="00B013C7" w:rsidTr="00680C83">
        <w:trPr>
          <w:trHeight w:val="690"/>
        </w:trPr>
        <w:tc>
          <w:tcPr>
            <w:tcW w:w="836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kern w:val="24"/>
                <w:lang w:val="en-GB"/>
              </w:rPr>
              <w:t>IV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kern w:val="24"/>
                <w:lang w:val="en-GB"/>
              </w:rPr>
              <w:t>(n=2351)</w:t>
            </w:r>
          </w:p>
        </w:tc>
        <w:tc>
          <w:tcPr>
            <w:tcW w:w="1455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2.11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(3/142)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9.96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(51/512)</w:t>
            </w:r>
          </w:p>
        </w:tc>
        <w:tc>
          <w:tcPr>
            <w:tcW w:w="1347" w:type="pct"/>
            <w:shd w:val="clear" w:color="auto" w:fill="auto"/>
            <w:vAlign w:val="center"/>
          </w:tcPr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14.5</w:t>
            </w:r>
          </w:p>
          <w:p w:rsidR="00680C83" w:rsidRPr="00B013C7" w:rsidRDefault="00680C83" w:rsidP="00B013C7">
            <w:pPr>
              <w:pStyle w:val="NormalWeb"/>
              <w:spacing w:before="0" w:beforeAutospacing="0" w:after="0" w:afterAutospacing="0"/>
              <w:jc w:val="center"/>
            </w:pPr>
            <w:r w:rsidRPr="00B013C7">
              <w:rPr>
                <w:rFonts w:eastAsia="Calibri"/>
                <w:kern w:val="24"/>
                <w:lang w:val="en-GB"/>
              </w:rPr>
              <w:t>(246/1697)</w:t>
            </w:r>
          </w:p>
        </w:tc>
      </w:tr>
    </w:tbl>
    <w:p w:rsidR="00154BF8" w:rsidRPr="00B013C7" w:rsidRDefault="00154BF8" w:rsidP="00B013C7">
      <w:pPr>
        <w:spacing w:before="240" w:after="240" w:line="240" w:lineRule="auto"/>
        <w:rPr>
          <w:sz w:val="24"/>
          <w:szCs w:val="24"/>
        </w:rPr>
      </w:pPr>
    </w:p>
    <w:p w:rsidR="00680C83" w:rsidRDefault="00680C83" w:rsidP="00B013C7">
      <w:pPr>
        <w:spacing w:before="240" w:after="240" w:line="240" w:lineRule="auto"/>
        <w:rPr>
          <w:rFonts w:ascii="Times New Roman" w:hAnsi="Times New Roman"/>
          <w:sz w:val="24"/>
          <w:szCs w:val="24"/>
        </w:rPr>
      </w:pPr>
    </w:p>
    <w:p w:rsidR="00B013C7" w:rsidRPr="00B013C7" w:rsidRDefault="00B013C7" w:rsidP="00B013C7">
      <w:pPr>
        <w:spacing w:before="240" w:after="240" w:line="240" w:lineRule="auto"/>
        <w:rPr>
          <w:rFonts w:ascii="Times New Roman" w:hAnsi="Times New Roman"/>
          <w:sz w:val="24"/>
          <w:szCs w:val="24"/>
        </w:rPr>
      </w:pPr>
    </w:p>
    <w:p w:rsidR="000B665E" w:rsidRPr="00B013C7" w:rsidRDefault="003A5F07" w:rsidP="000B665E">
      <w:pPr>
        <w:pStyle w:val="Caption"/>
        <w:keepNext/>
        <w:spacing w:before="240" w:after="24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Supplementary Table 3 </w:t>
      </w:r>
      <w:r w:rsidR="000B665E">
        <w:rPr>
          <w:rFonts w:ascii="Times New Roman" w:hAnsi="Times New Roman" w:cs="Times New Roman"/>
          <w:i w:val="0"/>
          <w:color w:val="auto"/>
          <w:sz w:val="24"/>
          <w:szCs w:val="24"/>
        </w:rPr>
        <w:t>Survival analysis results from the multivariable analysis</w:t>
      </w:r>
      <w:r w:rsidR="00A1313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of all curative-intent patients</w:t>
      </w:r>
      <w:r w:rsidR="000B665E" w:rsidRPr="00B013C7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A1313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3188 patients with no missing variables were included. 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080"/>
        <w:gridCol w:w="2582"/>
        <w:gridCol w:w="2580"/>
      </w:tblGrid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7C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HR (95% CI)_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7C5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P</w:t>
            </w:r>
            <w:r w:rsidRPr="00CE7C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value</w:t>
            </w: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Time period (ref A: 2005-2008)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B: 2009-2012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0.953 (</w:t>
            </w:r>
            <w:r w:rsidR="00CE7C50"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0.822, 1.11</w:t>
            </w:r>
            <w:r w:rsidRPr="00CE7C5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0.523</w:t>
            </w: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C: 2013-2020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0.725 (</w:t>
            </w:r>
            <w:r w:rsidR="00CE7C50"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0.632,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0.831)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&lt;0.001 </w:t>
            </w: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PS (ref 0)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1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1.31 (</w:t>
            </w:r>
            <w:r w:rsidR="00CE7C50"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1.15, 1.50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2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1.64 (</w:t>
            </w:r>
            <w:r w:rsidR="00CE7C50"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1.42, 1.89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3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1.73 (1.4</w:t>
            </w:r>
            <w:r w:rsidR="00CE7C50"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4, 2.08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4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1.28 (0.318</w:t>
            </w:r>
            <w:r w:rsidR="00CE7C50"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5.16)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0.726</w:t>
            </w: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Stage (ref I)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II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1.54 (1.36</w:t>
            </w:r>
            <w:r w:rsidR="00CE7C50"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, 1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.74)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III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1.67 (1.50</w:t>
            </w:r>
            <w:r w:rsidR="00CE7C50"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, 1.86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IV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2.04 (1.70</w:t>
            </w:r>
            <w:r w:rsidR="00CE7C50"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2.43)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Age at start of treatment (years)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1.01 (</w:t>
            </w:r>
            <w:r w:rsidR="00CE7C50"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1.01,1.02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A13135" w:rsidRPr="00CE7C50" w:rsidTr="00CE7C50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GTV (cm</w:t>
            </w: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pStyle w:val="HTMLPreformatted"/>
              <w:shd w:val="clear" w:color="auto" w:fill="FFFFFF"/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1.00 (1.00</w:t>
            </w:r>
            <w:r w:rsidR="00CE7C50"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1.00)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A13135" w:rsidRPr="00CE7C50" w:rsidRDefault="00A13135" w:rsidP="00CE7C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</w:tbl>
    <w:p w:rsidR="00CE7C50" w:rsidRPr="00B013C7" w:rsidRDefault="003A5F07" w:rsidP="00EE5AB4">
      <w:pPr>
        <w:pStyle w:val="Caption"/>
        <w:keepNext/>
        <w:keepLines/>
        <w:spacing w:before="240" w:after="24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Supplementary Table 4</w:t>
      </w:r>
      <w:r w:rsidR="00CE7C50" w:rsidRPr="00B013C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CE7C50">
        <w:rPr>
          <w:rFonts w:ascii="Times New Roman" w:hAnsi="Times New Roman" w:cs="Times New Roman"/>
          <w:i w:val="0"/>
          <w:color w:val="auto"/>
          <w:sz w:val="24"/>
          <w:szCs w:val="24"/>
        </w:rPr>
        <w:t>Survival analysis results from the multivariable analysis of curative-intent patients without SABR</w:t>
      </w:r>
      <w:r w:rsidR="00CE7C50" w:rsidRPr="00B013C7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CE7C5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2749 patients with no missing variables were included. 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080"/>
        <w:gridCol w:w="2582"/>
        <w:gridCol w:w="2580"/>
      </w:tblGrid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7C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HR (95% CI)_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7C5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P</w:t>
            </w:r>
            <w:r w:rsidRPr="00CE7C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value</w:t>
            </w: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Time period (ref A: 2005-2008)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B: 2009-2012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0.966</w:t>
            </w:r>
            <w:r w:rsidRPr="00CE7C5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0.832, 1.12</w:t>
            </w:r>
            <w:r w:rsidRPr="00CE7C5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0.646</w:t>
            </w: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C: 2013-2020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0.757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0.658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,</w:t>
            </w: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0.870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&lt;0.001 </w:t>
            </w: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PS (ref 0)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1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1.29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1.12, 1.47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2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1.58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A245FD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1.37, 1.83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3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1.62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A245FD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1.33, 1.97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4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1.04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A245FD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0.145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r w:rsidR="00A245FD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7.40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0.972</w:t>
            </w: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Stage (ref I)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II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1.41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A245FD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1.24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, 1</w:t>
            </w:r>
            <w:r w:rsidR="00A245FD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.61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III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1.53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A245FD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1.37, 1.72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IV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1.93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A245FD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1.59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, </w:t>
            </w:r>
            <w:r w:rsidR="00A245FD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2.33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Age at start of treatment (years)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1.01 (1.01,1.02)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CE7C50" w:rsidRPr="00CE7C50" w:rsidTr="008F0219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GTV (cm</w:t>
            </w: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1.00 (1.00, 1.00)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CE7C50" w:rsidRPr="00CE7C50" w:rsidRDefault="00CE7C50" w:rsidP="00EE5AB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</w:tbl>
    <w:p w:rsidR="002E33C6" w:rsidRPr="00B013C7" w:rsidRDefault="002E33C6" w:rsidP="002E33C6">
      <w:pPr>
        <w:pStyle w:val="Caption"/>
        <w:keepNext/>
        <w:keepLines/>
        <w:spacing w:before="240" w:after="24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Supplementary Table 5</w:t>
      </w:r>
      <w:r w:rsidRPr="00B013C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Survival analysis results from the multivariable analysis </w:t>
      </w:r>
      <w:r w:rsidRPr="002E33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of </w:t>
      </w:r>
      <w:r w:rsidRPr="002E33C6">
        <w:rPr>
          <w:rFonts w:ascii="Times New Roman" w:hAnsi="Times New Roman"/>
          <w:i w:val="0"/>
          <w:color w:val="auto"/>
          <w:sz w:val="24"/>
          <w:szCs w:val="24"/>
        </w:rPr>
        <w:t>stage III</w:t>
      </w:r>
      <w:r w:rsidRPr="002E33C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curative-intent patients</w:t>
      </w:r>
      <w:r w:rsidRPr="00B013C7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1370 patients with no missing variables were included. 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080"/>
        <w:gridCol w:w="2582"/>
        <w:gridCol w:w="2580"/>
      </w:tblGrid>
      <w:tr w:rsidR="002E33C6" w:rsidRPr="00CE7C50" w:rsidTr="00522BC7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7C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HR (95% CI)_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7C5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P</w:t>
            </w:r>
            <w:r w:rsidRPr="00CE7C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value</w:t>
            </w:r>
          </w:p>
        </w:tc>
      </w:tr>
      <w:tr w:rsidR="002E33C6" w:rsidRPr="00CE7C50" w:rsidTr="00522BC7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Time period (ref A: 2005-2008)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2E33C6" w:rsidRPr="00CE7C50" w:rsidTr="00522BC7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B: 2009-2012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2E33C6" w:rsidRPr="00CE7C50" w:rsidRDefault="002E33C6" w:rsidP="002E33C6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0.966</w:t>
            </w:r>
            <w:r w:rsidRPr="00CE7C5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0.771, 1.21</w:t>
            </w:r>
            <w:r w:rsidRPr="00CE7C5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0.767</w:t>
            </w:r>
          </w:p>
        </w:tc>
      </w:tr>
      <w:tr w:rsidR="002E33C6" w:rsidRPr="00CE7C50" w:rsidTr="00522BC7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C: 2013-2020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2E33C6" w:rsidRPr="00CE7C50" w:rsidRDefault="002E33C6" w:rsidP="002E33C6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0.740 (0.600, 0.913)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0.00489</w:t>
            </w:r>
          </w:p>
        </w:tc>
      </w:tr>
      <w:tr w:rsidR="002E33C6" w:rsidRPr="00CE7C50" w:rsidTr="00522BC7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PS (ref 0)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2E33C6" w:rsidRPr="00CE7C50" w:rsidTr="00522BC7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1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1.30 (1.09, 1.54)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0.00282</w:t>
            </w:r>
          </w:p>
        </w:tc>
      </w:tr>
      <w:tr w:rsidR="002E33C6" w:rsidRPr="00CE7C50" w:rsidTr="00522BC7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2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2E33C6" w:rsidRPr="00CE7C50" w:rsidRDefault="002E33C6" w:rsidP="002E33C6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1.58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(</w:t>
            </w: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1.30, 1.91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2E33C6" w:rsidRPr="00CE7C50" w:rsidTr="00522BC7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3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2E33C6" w:rsidRPr="00CE7C50" w:rsidRDefault="002E33C6" w:rsidP="002E33C6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1.86 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(</w:t>
            </w:r>
            <w:r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1.37, 2.52</w:t>
            </w: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2E33C6" w:rsidRPr="00CE7C50" w:rsidTr="00522BC7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Age at start of treatment (years)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1.01 (1.01,1.02)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  <w:tr w:rsidR="002E33C6" w:rsidRPr="00CE7C50" w:rsidTr="00522BC7">
        <w:trPr>
          <w:trHeight w:val="290"/>
        </w:trPr>
        <w:tc>
          <w:tcPr>
            <w:tcW w:w="220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GTV (cm</w:t>
            </w: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97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pStyle w:val="HTMLPreformatted"/>
              <w:keepNext/>
              <w:keepLines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7C50">
              <w:rPr>
                <w:rStyle w:val="ggboefpdpvb"/>
                <w:rFonts w:ascii="Times New Roman" w:eastAsiaTheme="majorEastAsia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1.00 (1.00, 1.00)</w:t>
            </w:r>
          </w:p>
        </w:tc>
        <w:tc>
          <w:tcPr>
            <w:tcW w:w="1396" w:type="pct"/>
            <w:shd w:val="clear" w:color="auto" w:fill="auto"/>
            <w:noWrap/>
            <w:vAlign w:val="center"/>
          </w:tcPr>
          <w:p w:rsidR="002E33C6" w:rsidRPr="00CE7C50" w:rsidRDefault="002E33C6" w:rsidP="00522BC7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</w:tr>
    </w:tbl>
    <w:p w:rsidR="002E33C6" w:rsidRPr="00B013C7" w:rsidRDefault="002E33C6" w:rsidP="00B013C7">
      <w:pPr>
        <w:spacing w:before="240" w:after="240" w:line="240" w:lineRule="auto"/>
        <w:rPr>
          <w:sz w:val="24"/>
          <w:szCs w:val="24"/>
        </w:rPr>
      </w:pPr>
    </w:p>
    <w:sectPr w:rsidR="002E33C6" w:rsidRPr="00B013C7" w:rsidSect="00B013C7"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3C7" w:rsidRDefault="00B013C7" w:rsidP="00B013C7">
      <w:pPr>
        <w:spacing w:after="0" w:line="240" w:lineRule="auto"/>
      </w:pPr>
      <w:r>
        <w:separator/>
      </w:r>
    </w:p>
  </w:endnote>
  <w:endnote w:type="continuationSeparator" w:id="0">
    <w:p w:rsidR="00B013C7" w:rsidRDefault="00B013C7" w:rsidP="00B01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3C7" w:rsidRDefault="00B013C7" w:rsidP="00B013C7">
      <w:pPr>
        <w:spacing w:after="0" w:line="240" w:lineRule="auto"/>
      </w:pPr>
      <w:r>
        <w:separator/>
      </w:r>
    </w:p>
  </w:footnote>
  <w:footnote w:type="continuationSeparator" w:id="0">
    <w:p w:rsidR="00B013C7" w:rsidRDefault="00B013C7" w:rsidP="00B01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3C7" w:rsidRDefault="00B013C7">
    <w:pPr>
      <w:pStyle w:val="Header"/>
    </w:pPr>
    <w:r w:rsidRPr="005A1D84">
      <w:rPr>
        <w:noProof/>
        <w:color w:val="A6A6A6" w:themeColor="background1" w:themeShade="A6"/>
        <w:lang w:eastAsia="en-GB"/>
      </w:rPr>
      <w:drawing>
        <wp:inline distT="0" distB="0" distL="0" distR="0" wp14:anchorId="01F7EE6F" wp14:editId="1F82BCF7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86C"/>
    <w:rsid w:val="00073C45"/>
    <w:rsid w:val="000B665E"/>
    <w:rsid w:val="00154BF8"/>
    <w:rsid w:val="002E33C6"/>
    <w:rsid w:val="003A5F07"/>
    <w:rsid w:val="00432820"/>
    <w:rsid w:val="004C5A09"/>
    <w:rsid w:val="0062486C"/>
    <w:rsid w:val="006652B0"/>
    <w:rsid w:val="00680C83"/>
    <w:rsid w:val="008A5729"/>
    <w:rsid w:val="008C27FA"/>
    <w:rsid w:val="00A13135"/>
    <w:rsid w:val="00A1572B"/>
    <w:rsid w:val="00A245FD"/>
    <w:rsid w:val="00AC2348"/>
    <w:rsid w:val="00B013C7"/>
    <w:rsid w:val="00CE7C50"/>
    <w:rsid w:val="00EE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27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27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8C27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54B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4B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154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01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C7"/>
  </w:style>
  <w:style w:type="paragraph" w:styleId="Footer">
    <w:name w:val="footer"/>
    <w:basedOn w:val="Normal"/>
    <w:link w:val="FooterChar"/>
    <w:uiPriority w:val="99"/>
    <w:unhideWhenUsed/>
    <w:rsid w:val="00B01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C7"/>
  </w:style>
  <w:style w:type="paragraph" w:styleId="HTMLPreformatted">
    <w:name w:val="HTML Preformatted"/>
    <w:basedOn w:val="Normal"/>
    <w:link w:val="HTMLPreformattedChar"/>
    <w:uiPriority w:val="99"/>
    <w:unhideWhenUsed/>
    <w:rsid w:val="00A131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3135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ggboefpdpvb">
    <w:name w:val="ggboefpdpvb"/>
    <w:basedOn w:val="DefaultParagraphFont"/>
    <w:rsid w:val="00A13135"/>
  </w:style>
  <w:style w:type="paragraph" w:styleId="BalloonText">
    <w:name w:val="Balloon Text"/>
    <w:basedOn w:val="Normal"/>
    <w:link w:val="BalloonTextChar"/>
    <w:uiPriority w:val="99"/>
    <w:semiHidden/>
    <w:unhideWhenUsed/>
    <w:rsid w:val="008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27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27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8C27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54B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4B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154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01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C7"/>
  </w:style>
  <w:style w:type="paragraph" w:styleId="Footer">
    <w:name w:val="footer"/>
    <w:basedOn w:val="Normal"/>
    <w:link w:val="FooterChar"/>
    <w:uiPriority w:val="99"/>
    <w:unhideWhenUsed/>
    <w:rsid w:val="00B01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C7"/>
  </w:style>
  <w:style w:type="paragraph" w:styleId="HTMLPreformatted">
    <w:name w:val="HTML Preformatted"/>
    <w:basedOn w:val="Normal"/>
    <w:link w:val="HTMLPreformattedChar"/>
    <w:uiPriority w:val="99"/>
    <w:unhideWhenUsed/>
    <w:rsid w:val="00A131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3135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ggboefpdpvb">
    <w:name w:val="ggboefpdpvb"/>
    <w:basedOn w:val="DefaultParagraphFont"/>
    <w:rsid w:val="00A13135"/>
  </w:style>
  <w:style w:type="paragraph" w:styleId="BalloonText">
    <w:name w:val="Balloon Text"/>
    <w:basedOn w:val="Normal"/>
    <w:link w:val="BalloonTextChar"/>
    <w:uiPriority w:val="99"/>
    <w:semiHidden/>
    <w:unhideWhenUsed/>
    <w:rsid w:val="008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Isabella Fornacon-Wood</dc:creator>
  <cp:lastModifiedBy>Chan Clara (RBV) NHS Christie Tr</cp:lastModifiedBy>
  <cp:revision>3</cp:revision>
  <dcterms:created xsi:type="dcterms:W3CDTF">2021-11-16T21:53:00Z</dcterms:created>
  <dcterms:modified xsi:type="dcterms:W3CDTF">2021-11-16T21:55:00Z</dcterms:modified>
</cp:coreProperties>
</file>