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3AAE" w14:textId="77777777" w:rsidR="004652F7" w:rsidRPr="004448EC" w:rsidRDefault="004652F7" w:rsidP="004652F7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</w:rPr>
      </w:pPr>
      <w:r w:rsidRPr="004448EC">
        <w:rPr>
          <w:rFonts w:ascii="Times New Roman" w:hAnsi="Times New Roman" w:cs="Times New Roman"/>
          <w:b/>
          <w:bCs/>
          <w:sz w:val="24"/>
        </w:rPr>
        <w:t>Supplementary Methods</w:t>
      </w:r>
    </w:p>
    <w:p w14:paraId="6819111B" w14:textId="77777777" w:rsidR="004652F7" w:rsidRDefault="004652F7" w:rsidP="004652F7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i/>
          <w:sz w:val="24"/>
        </w:rPr>
      </w:pPr>
      <w:r w:rsidRPr="004448EC">
        <w:rPr>
          <w:rFonts w:ascii="Times New Roman" w:hAnsi="Times New Roman" w:cs="Times New Roman"/>
          <w:bCs/>
          <w:i/>
          <w:sz w:val="24"/>
        </w:rPr>
        <w:t xml:space="preserve">Analysis of circulating CD16+CD56+ NK cells </w:t>
      </w:r>
    </w:p>
    <w:p w14:paraId="175CFD83" w14:textId="12793170" w:rsidR="006F253E" w:rsidRDefault="004652F7" w:rsidP="004652F7">
      <w:pPr>
        <w:spacing w:before="100" w:beforeAutospacing="1" w:after="100" w:afterAutospacing="1" w:line="480" w:lineRule="auto"/>
        <w:rPr>
          <w:rFonts w:ascii="Times New Roman" w:eastAsia="SimSun" w:hAnsi="Times New Roman" w:cs="Times New Roman"/>
          <w:sz w:val="24"/>
        </w:rPr>
      </w:pPr>
      <w:r w:rsidRPr="004448EC">
        <w:rPr>
          <w:rFonts w:ascii="Times New Roman" w:hAnsi="Times New Roman" w:cs="Times New Roman"/>
          <w:bCs/>
          <w:iCs/>
          <w:sz w:val="24"/>
        </w:rPr>
        <w:t>The proportions of circulating CD16</w:t>
      </w:r>
      <w:r w:rsidRPr="004448EC">
        <w:rPr>
          <w:rFonts w:ascii="Times New Roman" w:hAnsi="Times New Roman" w:cs="Times New Roman"/>
          <w:bCs/>
          <w:iCs/>
          <w:sz w:val="24"/>
          <w:vertAlign w:val="superscript"/>
        </w:rPr>
        <w:t>+</w:t>
      </w:r>
      <w:r w:rsidRPr="004448EC">
        <w:rPr>
          <w:rFonts w:ascii="Times New Roman" w:hAnsi="Times New Roman" w:cs="Times New Roman"/>
          <w:bCs/>
          <w:iCs/>
          <w:sz w:val="24"/>
        </w:rPr>
        <w:t>CD56</w:t>
      </w:r>
      <w:r w:rsidRPr="004448EC">
        <w:rPr>
          <w:rFonts w:ascii="Times New Roman" w:hAnsi="Times New Roman" w:cs="Times New Roman"/>
          <w:bCs/>
          <w:iCs/>
          <w:sz w:val="24"/>
          <w:vertAlign w:val="superscript"/>
        </w:rPr>
        <w:t>+</w:t>
      </w:r>
      <w:r w:rsidRPr="004448EC">
        <w:rPr>
          <w:rFonts w:ascii="Times New Roman" w:hAnsi="Times New Roman" w:cs="Times New Roman"/>
          <w:bCs/>
          <w:iCs/>
          <w:sz w:val="24"/>
        </w:rPr>
        <w:t xml:space="preserve"> NK cells were determined using a flow cytometer.</w:t>
      </w:r>
      <w:r w:rsidRPr="004448EC">
        <w:rPr>
          <w:rFonts w:ascii="Times New Roman" w:hAnsi="Times New Roman" w:cs="Times New Roman"/>
          <w:bCs/>
          <w:iCs/>
          <w:sz w:val="24"/>
          <w:vertAlign w:val="superscript"/>
        </w:rPr>
        <w:t xml:space="preserve"> </w:t>
      </w:r>
      <w:r w:rsidRPr="004448EC">
        <w:rPr>
          <w:rFonts w:ascii="Times New Roman" w:eastAsia="SimSun" w:hAnsi="Times New Roman" w:cs="Times New Roman"/>
          <w:sz w:val="24"/>
        </w:rPr>
        <w:t>Briefly, peripheral venous blood was collected and anticoagulated with EDTA from each patient in a</w:t>
      </w:r>
      <w:r w:rsidRPr="004448EC" w:rsidDel="008F27B0">
        <w:rPr>
          <w:rFonts w:ascii="Times New Roman" w:eastAsia="SimSun" w:hAnsi="Times New Roman" w:cs="Times New Roman"/>
          <w:sz w:val="24"/>
        </w:rPr>
        <w:t xml:space="preserve"> </w:t>
      </w:r>
      <w:r w:rsidRPr="004448EC">
        <w:rPr>
          <w:rFonts w:ascii="Times New Roman" w:eastAsia="SimSun" w:hAnsi="Times New Roman" w:cs="Times New Roman"/>
          <w:sz w:val="24"/>
        </w:rPr>
        <w:t xml:space="preserve">tube and kept at room temperature. </w:t>
      </w:r>
      <w:bookmarkStart w:id="0" w:name="OLE_LINK7"/>
      <w:bookmarkStart w:id="1" w:name="OLE_LINK8"/>
      <w:r w:rsidRPr="004448EC">
        <w:rPr>
          <w:rFonts w:ascii="Times New Roman" w:eastAsia="SimSun" w:hAnsi="Times New Roman" w:cs="Times New Roman"/>
          <w:sz w:val="24"/>
        </w:rPr>
        <w:t xml:space="preserve">One hundred </w:t>
      </w:r>
      <w:proofErr w:type="spellStart"/>
      <w:r w:rsidRPr="004448EC">
        <w:rPr>
          <w:rFonts w:ascii="Times New Roman" w:eastAsia="SimSun" w:hAnsi="Times New Roman" w:cs="Times New Roman"/>
          <w:sz w:val="24"/>
        </w:rPr>
        <w:t>μL</w:t>
      </w:r>
      <w:proofErr w:type="spellEnd"/>
      <w:r w:rsidRPr="004448EC">
        <w:rPr>
          <w:rFonts w:ascii="Times New Roman" w:eastAsia="SimSun" w:hAnsi="Times New Roman" w:cs="Times New Roman"/>
          <w:sz w:val="24"/>
        </w:rPr>
        <w:t xml:space="preserve"> of freshly collected blood was transferred into a flow-specific tube and then 20 </w:t>
      </w:r>
      <w:proofErr w:type="spellStart"/>
      <w:r w:rsidRPr="004448EC">
        <w:rPr>
          <w:rFonts w:ascii="Times New Roman" w:eastAsia="SimSun" w:hAnsi="Times New Roman" w:cs="Times New Roman"/>
          <w:sz w:val="24"/>
        </w:rPr>
        <w:t>μL</w:t>
      </w:r>
      <w:proofErr w:type="spellEnd"/>
      <w:r w:rsidRPr="004448EC">
        <w:rPr>
          <w:rFonts w:ascii="Times New Roman" w:eastAsia="SimSun" w:hAnsi="Times New Roman" w:cs="Times New Roman"/>
          <w:sz w:val="24"/>
        </w:rPr>
        <w:t xml:space="preserve"> of 4-color TBNK reagent (Ref # 6607013 including CD45-FITC, CD4-PE, CD8-ECD, CD3-PC5 and Ref # 6607073 including CD45-FITC, CD56-PE, CD19-ECD, CD3-PC5, Beckman Coulter, USA) was added per manufacturer’s instruction.</w:t>
      </w:r>
      <w:bookmarkEnd w:id="0"/>
      <w:bookmarkEnd w:id="1"/>
      <w:r w:rsidRPr="004448EC">
        <w:rPr>
          <w:rFonts w:ascii="Times New Roman" w:eastAsia="SimSun" w:hAnsi="Times New Roman" w:cs="Times New Roman"/>
          <w:sz w:val="24"/>
        </w:rPr>
        <w:t xml:space="preserve"> After incubation at room temperature for 30 min in the dark, the mixture was incubated with 2.5 mL red blood cell lysis buffer (Sigma-Aldrich) for 15 min at room temperature in the dark.  Then the sample was analyzed using a </w:t>
      </w:r>
      <w:r w:rsidRPr="004448EC">
        <w:rPr>
          <w:rFonts w:ascii="Times New Roman" w:hAnsi="Times New Roman" w:cs="Times New Roman"/>
          <w:sz w:val="24"/>
        </w:rPr>
        <w:t>CYTOMICS-FC500 flow cytometer</w:t>
      </w:r>
      <w:r w:rsidRPr="004448EC">
        <w:rPr>
          <w:rFonts w:ascii="Times New Roman" w:hAnsi="Times New Roman" w:cs="Times New Roman"/>
          <w:sz w:val="24"/>
        </w:rPr>
        <w:t>（</w:t>
      </w:r>
      <w:r w:rsidRPr="004448EC">
        <w:rPr>
          <w:rFonts w:ascii="Times New Roman" w:hAnsi="Times New Roman" w:cs="Times New Roman"/>
          <w:sz w:val="24"/>
        </w:rPr>
        <w:t>Beckman Coulter</w:t>
      </w:r>
      <w:r w:rsidRPr="004448EC">
        <w:rPr>
          <w:rFonts w:ascii="Times New Roman" w:hAnsi="Times New Roman" w:cs="Times New Roman"/>
          <w:sz w:val="24"/>
        </w:rPr>
        <w:t>）</w:t>
      </w:r>
      <w:r w:rsidRPr="004448EC">
        <w:rPr>
          <w:rFonts w:ascii="Times New Roman" w:hAnsi="Times New Roman" w:cs="Times New Roman"/>
          <w:sz w:val="24"/>
        </w:rPr>
        <w:t>with CXP software</w:t>
      </w:r>
      <w:r w:rsidRPr="004448EC">
        <w:rPr>
          <w:rFonts w:ascii="Times New Roman" w:eastAsia="SimSun" w:hAnsi="Times New Roman" w:cs="Times New Roman"/>
          <w:sz w:val="24"/>
        </w:rPr>
        <w:t xml:space="preserve">. </w:t>
      </w:r>
    </w:p>
    <w:p w14:paraId="4E6A6243" w14:textId="77777777" w:rsidR="006F253E" w:rsidRDefault="006F253E">
      <w:pPr>
        <w:widowControl/>
        <w:jc w:val="left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br w:type="page"/>
      </w:r>
    </w:p>
    <w:p w14:paraId="6F63ACA7" w14:textId="77777777" w:rsidR="006F253E" w:rsidRDefault="006F253E" w:rsidP="006F253E">
      <w:pPr>
        <w:widowControl/>
        <w:spacing w:line="480" w:lineRule="auto"/>
        <w:jc w:val="left"/>
        <w:rPr>
          <w:rFonts w:ascii="Times New Roman" w:eastAsia="TimesNewRomanPSMT" w:hAnsi="Times New Roman" w:cs="Times New Roman"/>
          <w:b/>
          <w:bCs/>
          <w:sz w:val="24"/>
        </w:rPr>
      </w:pPr>
      <w:r>
        <w:rPr>
          <w:rFonts w:ascii="Times New Roman" w:eastAsia="TimesNewRomanPSMT" w:hAnsi="Times New Roman" w:cs="Times New Roman"/>
          <w:b/>
          <w:bCs/>
          <w:sz w:val="24"/>
        </w:rPr>
        <w:lastRenderedPageBreak/>
        <w:t>Supplementary Figure Legends</w:t>
      </w:r>
    </w:p>
    <w:p w14:paraId="5DE37083" w14:textId="77777777" w:rsidR="006F253E" w:rsidRDefault="006F253E" w:rsidP="006F253E">
      <w:pPr>
        <w:pStyle w:val="NormalWeb"/>
        <w:spacing w:line="480" w:lineRule="auto"/>
        <w:rPr>
          <w:rStyle w:val="cf01"/>
          <w:rFonts w:ascii="Times New Roman" w:hAnsi="Times New Roman" w:hint="default"/>
        </w:rPr>
      </w:pPr>
      <w:r>
        <w:rPr>
          <w:rFonts w:ascii="Times New Roman" w:hAnsi="Times New Roman"/>
          <w:b/>
          <w:bCs/>
        </w:rPr>
        <w:t>Supplementary Figure 1.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hd w:val="clear" w:color="auto" w:fill="FFFFFF"/>
        </w:rPr>
        <w:t>The spider plot presents individual changes in AFP levels over time relative to baseline AFP</w:t>
      </w:r>
      <w:r>
        <w:rPr>
          <w:rFonts w:ascii="Times New Roman" w:hAnsi="Times New Roman"/>
        </w:rPr>
        <w:t xml:space="preserve"> in the study patients. Patients are coded in different colors. (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>) The Kaplan-Meier curves of progression-free survival (PFS) of efficacy-evaluable patients stratified by the presence or absence of AFP response</w:t>
      </w:r>
      <w:r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</w:rPr>
        <w:t xml:space="preserve">) </w:t>
      </w:r>
      <w:bookmarkStart w:id="2" w:name="_Hlk81821501"/>
      <w:r>
        <w:rPr>
          <w:rFonts w:ascii="Times New Roman" w:hAnsi="Times New Roman"/>
        </w:rPr>
        <w:t>The Kaplan-Meier curves of PFS of efficacy-evaluable patients stratified by LDH changes</w:t>
      </w:r>
      <w:r>
        <w:rPr>
          <w:rFonts w:ascii="Times New Roman" w:hAnsi="Times New Roman"/>
          <w:shd w:val="clear" w:color="auto" w:fill="FFFFFF"/>
        </w:rPr>
        <w:t xml:space="preserve"> between the baseline and the nadir within 9 weeks after treatment.</w:t>
      </w:r>
      <w:bookmarkEnd w:id="2"/>
    </w:p>
    <w:p w14:paraId="13A3EAF3" w14:textId="520075F9" w:rsidR="00EE47BA" w:rsidRPr="006F253E" w:rsidRDefault="006F253E" w:rsidP="006F253E">
      <w:pPr>
        <w:pStyle w:val="NormalWeb"/>
        <w:spacing w:line="480" w:lineRule="auto"/>
      </w:pPr>
      <w:bookmarkStart w:id="3" w:name="_Hlk81821470"/>
      <w:r>
        <w:rPr>
          <w:rFonts w:ascii="Times New Roman" w:hAnsi="Times New Roman"/>
          <w:b/>
          <w:bCs/>
        </w:rPr>
        <w:t xml:space="preserve">Supplementary Figure 2. </w:t>
      </w:r>
      <w:bookmarkEnd w:id="3"/>
      <w:r>
        <w:rPr>
          <w:rFonts w:ascii="Times New Roman" w:hAnsi="Times New Roman"/>
          <w:bCs/>
        </w:rPr>
        <w:t xml:space="preserve">Box and whisker graphs show </w:t>
      </w:r>
      <w:r>
        <w:rPr>
          <w:rFonts w:ascii="Times New Roman" w:hAnsi="Times New Roman"/>
          <w:shd w:val="clear" w:color="auto" w:fill="FFFFFF"/>
        </w:rPr>
        <w:t xml:space="preserve">the proportion of </w:t>
      </w:r>
      <w:r>
        <w:rPr>
          <w:rStyle w:val="cf01"/>
          <w:rFonts w:ascii="Times New Roman" w:hAnsi="Times New Roman" w:hint="default"/>
        </w:rPr>
        <w:t>CD16</w:t>
      </w:r>
      <w:r>
        <w:rPr>
          <w:rStyle w:val="cf01"/>
          <w:rFonts w:ascii="Times New Roman" w:hAnsi="Times New Roman" w:hint="default"/>
          <w:vertAlign w:val="superscript"/>
        </w:rPr>
        <w:t>+</w:t>
      </w:r>
      <w:r>
        <w:rPr>
          <w:rStyle w:val="cf01"/>
          <w:rFonts w:ascii="Times New Roman" w:hAnsi="Times New Roman" w:hint="default"/>
        </w:rPr>
        <w:t>CD56</w:t>
      </w:r>
      <w:r>
        <w:rPr>
          <w:rStyle w:val="cf01"/>
          <w:rFonts w:ascii="Times New Roman" w:hAnsi="Times New Roman" w:hint="default"/>
          <w:vertAlign w:val="superscript"/>
        </w:rPr>
        <w:t>+</w:t>
      </w:r>
      <w:r>
        <w:rPr>
          <w:rStyle w:val="cf01"/>
          <w:rFonts w:ascii="Times New Roman" w:hAnsi="Times New Roman" w:hint="default"/>
        </w:rPr>
        <w:t xml:space="preserve"> </w:t>
      </w:r>
      <w:r>
        <w:rPr>
          <w:rFonts w:ascii="Times New Roman" w:hAnsi="Times New Roman"/>
          <w:shd w:val="clear" w:color="auto" w:fill="FFFFFF"/>
        </w:rPr>
        <w:t>NK cells</w:t>
      </w:r>
      <w:r>
        <w:rPr>
          <w:rFonts w:ascii="Times New Roman" w:eastAsia="SimSun" w:hAnsi="Times New Roman"/>
        </w:rPr>
        <w:t xml:space="preserve"> in the plasma at baseline of HCC patients who achieved CR or PR (left) or who had SD or PD (right).  </w:t>
      </w:r>
      <w:r>
        <w:rPr>
          <w:rFonts w:ascii="Times New Roman" w:eastAsia="HardingText-Regular" w:hAnsi="Times New Roman"/>
          <w:bCs/>
        </w:rPr>
        <w:t>Boxes represent the 25</w:t>
      </w:r>
      <w:r>
        <w:rPr>
          <w:rFonts w:ascii="Times New Roman" w:eastAsia="HardingText-Regular" w:hAnsi="Times New Roman"/>
          <w:bCs/>
          <w:vertAlign w:val="superscript"/>
        </w:rPr>
        <w:t>th</w:t>
      </w:r>
      <w:r>
        <w:rPr>
          <w:rFonts w:ascii="Times New Roman" w:eastAsia="HardingText-Regular" w:hAnsi="Times New Roman"/>
          <w:bCs/>
        </w:rPr>
        <w:t xml:space="preserve"> to 75</w:t>
      </w:r>
      <w:r>
        <w:rPr>
          <w:rFonts w:ascii="Times New Roman" w:eastAsia="HardingText-Regular" w:hAnsi="Times New Roman"/>
          <w:bCs/>
          <w:vertAlign w:val="superscript"/>
        </w:rPr>
        <w:t>th</w:t>
      </w:r>
      <w:r>
        <w:rPr>
          <w:rFonts w:ascii="Times New Roman" w:eastAsia="HardingText-Regular" w:hAnsi="Times New Roman"/>
          <w:bCs/>
        </w:rPr>
        <w:t xml:space="preserve"> percentiles, and whiskers extend to the highest and lowest values within 1.5× the upper/lower quartile distance, </w:t>
      </w:r>
      <w:r>
        <w:rPr>
          <w:rFonts w:ascii="Times New Roman" w:hAnsi="Times New Roman"/>
        </w:rPr>
        <w:t>with outliers shown as dots</w:t>
      </w:r>
      <w:r>
        <w:rPr>
          <w:rFonts w:ascii="Times New Roman" w:eastAsia="HardingText-Regular" w:hAnsi="Times New Roman"/>
          <w:bCs/>
        </w:rPr>
        <w:t xml:space="preserve">. </w:t>
      </w:r>
      <w:bookmarkStart w:id="4" w:name="_Hlk87273854"/>
      <w:r>
        <w:rPr>
          <w:rFonts w:ascii="Times New Roman" w:eastAsia="SimSun" w:hAnsi="Times New Roman"/>
        </w:rPr>
        <w:t xml:space="preserve"> </w:t>
      </w:r>
      <w:bookmarkEnd w:id="4"/>
    </w:p>
    <w:sectPr w:rsidR="00EE47BA" w:rsidRPr="006F253E" w:rsidSect="00A86D7D">
      <w:pgSz w:w="11906" w:h="16838"/>
      <w:pgMar w:top="720" w:right="720" w:bottom="720" w:left="72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Gothic"/>
    <w:charset w:val="00"/>
    <w:family w:val="roman"/>
    <w:pitch w:val="default"/>
  </w:font>
  <w:font w:name="HardingText-Regular">
    <w:altName w:val="SimSun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F7"/>
    <w:rsid w:val="004652F7"/>
    <w:rsid w:val="006F253E"/>
    <w:rsid w:val="00A86D7D"/>
    <w:rsid w:val="00E121E2"/>
    <w:rsid w:val="00E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4334"/>
  <w15:chartTrackingRefBased/>
  <w15:docId w15:val="{4B283F25-636B-436F-A619-FDCFB8A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F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652F7"/>
  </w:style>
  <w:style w:type="paragraph" w:styleId="NormalWeb">
    <w:name w:val="Normal (Web)"/>
    <w:basedOn w:val="Normal"/>
    <w:uiPriority w:val="99"/>
    <w:unhideWhenUsed/>
    <w:qFormat/>
    <w:rsid w:val="006F253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f01">
    <w:name w:val="cf01"/>
    <w:basedOn w:val="DefaultParagraphFont"/>
    <w:rsid w:val="006F253E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WANG</dc:creator>
  <cp:keywords/>
  <dc:description/>
  <cp:lastModifiedBy>Steffan Davies</cp:lastModifiedBy>
  <cp:revision>3</cp:revision>
  <dcterms:created xsi:type="dcterms:W3CDTF">2022-05-18T10:46:00Z</dcterms:created>
  <dcterms:modified xsi:type="dcterms:W3CDTF">2022-05-18T14:51:00Z</dcterms:modified>
</cp:coreProperties>
</file>