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spacing w:after="120" w:line="360" w:lineRule="auto"/>
      </w:pPr>
      <w:bookmarkStart w:id="0" w:name="_p5byi3arjjj5"/>
      <w:r/>
      <w:bookmarkEnd w:id="0"/>
      <w:r>
        <w:t xml:space="preserve">Table S2A. Protein Phosphorylation - CAT+P </w:t>
      </w:r>
    </w:p>
    <w:p>
      <w:pPr>
        <w:spacing w:after="120" w:line="360" w:lineRule="auto"/>
      </w:pPr>
      <w:r>
        <w:t xml:space="preserve">Based on pre to post changes of the following proteoforms: ACSM2B, ACTA1, ACTG2, CKM, MB, YWHAG. </w:t>
      </w:r>
    </w:p>
    <w:p>
      <w:pPr>
        <w:spacing w:after="120" w:line="360" w:lineRule="auto"/>
        <w:rPr>
          <w:b/>
          <w:sz w:val="14"/>
          <w:szCs w:val="14"/>
        </w:rPr>
      </w:pPr>
      <w:hyperlink r:id="rId8" w:history="1">
        <w:r>
          <w:rPr>
            <w:b/>
            <w:color w:val="d90000"/>
            <w:sz w:val="14"/>
            <w:szCs w:val="14"/>
          </w:rPr>
          <w:t>KEGG 2021 Human</w:t>
        </w:r>
      </w:hyperlink>
    </w:p>
    <w:tbl>
      <w:tblPr>
        <w:tblStyle w:val=""/>
        <w:name w:val="Table6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843"/>
        <w:gridCol w:w="2746"/>
        <w:gridCol w:w="1047"/>
        <w:gridCol w:w="1047"/>
        <w:gridCol w:w="1047"/>
        <w:gridCol w:w="1493"/>
        <w:gridCol w:w="1096"/>
        <w:gridCol w:w="1481"/>
      </w:tblGrid>
      <w:tr>
        <w:trPr>
          <w:tblHeader w:val="0"/>
          <w:cantSplit w:val="0"/>
          <w:trHeight w:val="39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</w:p>
        </w:tc>
      </w:tr>
      <w:tr>
        <w:trPr>
          <w:tblHeader w:val="0"/>
          <w:cantSplit w:val="0"/>
          <w:trHeight w:val="23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Butanoate metabolism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ACSM2B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01/28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0.008372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147.90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707.41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Arginine and proline metabolism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CKM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1/50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0.01491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81.41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342.39</w:t>
            </w:r>
          </w:p>
        </w:tc>
      </w:tr>
      <w:tr>
        <w:trPr>
          <w:tblHeader w:val="0"/>
          <w:cantSplit w:val="0"/>
          <w:trHeight w:val="22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Cell cycle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1/124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0.03663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32.31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106.85</w:t>
            </w:r>
          </w:p>
        </w:tc>
      </w:tr>
      <w:tr>
        <w:trPr>
          <w:tblHeader w:val="0"/>
          <w:cantSplit w:val="0"/>
          <w:trHeight w:val="22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Oocyte meiosis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1/129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0.03809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31.04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101.44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Vascular smooth muscle contraction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ACTG2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1/133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0.03925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30.09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97.44</w:t>
            </w:r>
          </w:p>
        </w:tc>
      </w:tr>
      <w:tr>
        <w:trPr>
          <w:tblHeader w:val="0"/>
          <w:cantSplit w:val="0"/>
          <w:trHeight w:val="22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Hepatitis C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1/157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0.04619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25.43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78.21</w:t>
            </w:r>
          </w:p>
        </w:tc>
      </w:tr>
      <w:tr>
        <w:trPr>
          <w:tblHeader w:val="0"/>
          <w:cantSplit w:val="0"/>
          <w:trHeight w:val="22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Hippo signaling pathway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1/163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0.04792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0.06161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24.48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74.39</w:t>
            </w:r>
          </w:p>
        </w:tc>
      </w:tr>
      <w:tr>
        <w:trPr>
          <w:tblHeader w:val="0"/>
          <w:cantSplit w:val="0"/>
          <w:trHeight w:val="22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Viral carcinogenesis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1/203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0.05938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0.06681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19.60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55.33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7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PI3K-Akt signaling pathway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1/354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0.1016</w:t>
            </w:r>
          </w:p>
        </w:tc>
        <w:tc>
          <w:tcPr>
            <w:tcW w:w="149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0.1016</w:t>
            </w:r>
          </w:p>
        </w:tc>
        <w:tc>
          <w:tcPr>
            <w:tcW w:w="109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11.13</w:t>
            </w:r>
          </w:p>
        </w:tc>
        <w:tc>
          <w:tcPr>
            <w:tcW w:w="148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25.44</w:t>
            </w:r>
          </w:p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spacing w:after="120" w:line="360" w:lineRule="auto"/>
        <w:rPr>
          <w:sz w:val="14"/>
          <w:szCs w:val="14"/>
        </w:rPr>
      </w:pPr>
      <w:hyperlink r:id="rId8" w:history="1">
        <w:r>
          <w:rPr>
            <w:b/>
            <w:color w:val="d90000"/>
            <w:sz w:val="14"/>
            <w:szCs w:val="14"/>
          </w:rPr>
          <w:t>GO Biological Process 2021</w:t>
        </w:r>
      </w:hyperlink>
    </w:p>
    <w:tbl>
      <w:tblPr>
        <w:tblStyle w:val=""/>
        <w:name w:val="Table7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843"/>
        <w:gridCol w:w="3529"/>
        <w:gridCol w:w="1047"/>
        <w:gridCol w:w="1047"/>
        <w:gridCol w:w="1047"/>
        <w:gridCol w:w="1168"/>
        <w:gridCol w:w="830"/>
        <w:gridCol w:w="1289"/>
      </w:tblGrid>
      <w:tr>
        <w:trPr>
          <w:tblHeader w:val="0"/>
          <w:cantSplit w:val="0"/>
          <w:trHeight w:val="54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  <w:r>
              <w:rPr>
                <w:sz w:val="14"/>
                <w:szCs w:val="14"/>
              </w:rPr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  <w:r>
              <w:rPr>
                <w:sz w:val="14"/>
                <w:szCs w:val="14"/>
              </w:rPr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  <w:r>
              <w:rPr>
                <w:sz w:val="14"/>
                <w:szCs w:val="14"/>
              </w:rPr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  <w:r>
              <w:rPr>
                <w:sz w:val="14"/>
                <w:szCs w:val="14"/>
              </w:rPr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  <w:r>
              <w:rPr>
                <w:sz w:val="14"/>
                <w:szCs w:val="14"/>
              </w:rPr>
            </w:r>
          </w:p>
        </w:tc>
      </w:tr>
      <w:tr>
        <w:trPr>
          <w:tblHeader w:val="0"/>
          <w:cantSplit w:val="0"/>
          <w:trHeight w:val="54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skeletal muscle thin filament assembly (GO:0030240)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01/06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0.001799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799.56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5053.71</w:t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oxygen transport (GO:0015671)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MB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01/07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0.002098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666.27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4108.59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creatine metabolic process (GO:0006600)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CKM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01/07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0.002098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666.27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4108.59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skeletal myofibril assembly (GO:0014866)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01/08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0.002398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571.06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3445.29</w:t>
            </w:r>
          </w:p>
        </w:tc>
      </w:tr>
      <w:tr>
        <w:trPr>
          <w:tblHeader w:val="0"/>
          <w:cantSplit w:val="0"/>
          <w:trHeight w:val="54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skeletal muscle fiber development (GO:0048741)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01/09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0.002697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499.65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2955.69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myotube cell development (GO:0014904)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01/11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0.003296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399.68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2284.21</w:t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gas transport (GO:0015669)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MB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01/12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0.003595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0.02112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363.33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2044.88</w:t>
            </w:r>
          </w:p>
        </w:tc>
      </w:tr>
      <w:tr>
        <w:trPr>
          <w:tblHeader w:val="0"/>
          <w:cantSplit w:val="0"/>
          <w:trHeight w:val="767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protein insertion into mitochondrial membrane involved in apoptotic signaling pathway (GO:1900739)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01/26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0.007776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0.02667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159.75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775.88</w:t>
            </w:r>
          </w:p>
        </w:tc>
      </w:tr>
      <w:tr>
        <w:trPr>
          <w:tblHeader w:val="0"/>
          <w:cantSplit w:val="0"/>
          <w:trHeight w:val="767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positive regulation of protein insertion into mitochondrial membrane involved in apoptotic signaling pathway (GO:1900740)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YWHAG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01/26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0.007776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0.02667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159.75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775.88</w:t>
            </w:r>
          </w:p>
        </w:tc>
      </w:tr>
      <w:tr>
        <w:trPr>
          <w:tblHeader w:val="0"/>
          <w:cantSplit w:val="0"/>
          <w:trHeight w:val="540" w:hRule="atLeast"/>
        </w:trPr>
        <w:tc>
          <w:tcPr>
            <w:tcW w:w="84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52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purine nucleoside bisphosphate metabolic process (GO:0034032)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ACSM2B</w:t>
            </w:r>
          </w:p>
        </w:tc>
        <w:tc>
          <w:tcPr>
            <w:tcW w:w="1047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01/31</w:t>
            </w:r>
          </w:p>
        </w:tc>
        <w:tc>
          <w:tcPr>
            <w:tcW w:w="10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0.009265</w:t>
            </w:r>
          </w:p>
        </w:tc>
        <w:tc>
          <w:tcPr>
            <w:tcW w:w="11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0.02667</w:t>
            </w:r>
          </w:p>
        </w:tc>
        <w:tc>
          <w:tcPr>
            <w:tcW w:w="83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133.09</w:t>
            </w:r>
          </w:p>
        </w:tc>
        <w:tc>
          <w:tcPr>
            <w:tcW w:w="128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623.08</w:t>
            </w:r>
          </w:p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spacing w:after="120" w:line="360" w:lineRule="auto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120" w:line="360" w:lineRule="auto"/>
      </w:pPr>
      <w:r/>
    </w:p>
    <w:p>
      <w:pPr>
        <w:pStyle w:val="para2"/>
      </w:pPr>
      <w:r>
        <w:br w:type="page"/>
      </w:r>
      <w:r>
        <w:t>Table S2B. Protein Phosphorylation - CAT+T</w:t>
      </w:r>
    </w:p>
    <w:p>
      <w:pPr>
        <w:spacing w:after="120" w:line="360" w:lineRule="auto"/>
      </w:pPr>
      <w:r>
        <w:t xml:space="preserve">Based on pre to post changes of the following proteoforms: ACTG2, ANKRD2, ARHGEF25, BCORP1, MACF1, MYL1. </w:t>
      </w:r>
    </w:p>
    <w:p>
      <w:pPr>
        <w:spacing w:after="120" w:line="360" w:lineRule="auto"/>
        <w:rPr>
          <w:b/>
          <w:sz w:val="14"/>
          <w:szCs w:val="14"/>
        </w:rPr>
      </w:pPr>
      <w:hyperlink r:id="rId8" w:history="1">
        <w:r>
          <w:rPr>
            <w:b/>
            <w:color w:val="d90000"/>
            <w:sz w:val="14"/>
            <w:szCs w:val="14"/>
          </w:rPr>
          <w:t>KEGG 2021 Human</w:t>
        </w:r>
      </w:hyperlink>
    </w:p>
    <w:tbl>
      <w:tblPr>
        <w:tblStyle w:val=""/>
        <w:name w:val="Table8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861"/>
        <w:gridCol w:w="2813"/>
        <w:gridCol w:w="958"/>
        <w:gridCol w:w="962"/>
        <w:gridCol w:w="958"/>
        <w:gridCol w:w="1559"/>
        <w:gridCol w:w="1142"/>
        <w:gridCol w:w="1547"/>
      </w:tblGrid>
      <w:tr>
        <w:trPr>
          <w:tblHeader w:val="0"/>
          <w:cantSplit w:val="0"/>
          <w:trHeight w:val="510" w:hRule="atLeast"/>
        </w:trPr>
        <w:tc>
          <w:tcPr>
            <w:tcW w:w="861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</w:p>
        </w:tc>
        <w:tc>
          <w:tcPr>
            <w:tcW w:w="2813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95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962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95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1559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</w:p>
        </w:tc>
        <w:tc>
          <w:tcPr>
            <w:tcW w:w="1142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</w:p>
        </w:tc>
        <w:tc>
          <w:tcPr>
            <w:tcW w:w="154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</w:p>
        </w:tc>
      </w:tr>
      <w:tr>
        <w:trPr>
          <w:tblHeader w:val="0"/>
          <w:cantSplit w:val="0"/>
          <w:trHeight w:val="522" w:hRule="atLeast"/>
        </w:trPr>
        <w:tc>
          <w:tcPr>
            <w:tcW w:w="86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13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Vascular smooth muscle contraction</w:t>
            </w:r>
          </w:p>
        </w:tc>
        <w:tc>
          <w:tcPr>
            <w:tcW w:w="95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ACTG2</w:t>
            </w:r>
          </w:p>
        </w:tc>
        <w:tc>
          <w:tcPr>
            <w:tcW w:w="9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1/133</w:t>
            </w:r>
          </w:p>
        </w:tc>
        <w:tc>
          <w:tcPr>
            <w:tcW w:w="95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0.03925</w:t>
            </w:r>
          </w:p>
        </w:tc>
        <w:tc>
          <w:tcPr>
            <w:tcW w:w="1559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0.03925</w:t>
            </w:r>
          </w:p>
        </w:tc>
        <w:tc>
          <w:tcPr>
            <w:tcW w:w="1142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30.09</w:t>
            </w:r>
          </w:p>
        </w:tc>
        <w:tc>
          <w:tcPr>
            <w:tcW w:w="154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97.44</w:t>
            </w:r>
          </w:p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spacing w:after="120"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spacing w:after="120" w:line="360" w:lineRule="auto"/>
        <w:rPr>
          <w:sz w:val="14"/>
          <w:szCs w:val="14"/>
        </w:rPr>
      </w:pPr>
      <w:hyperlink r:id="rId8" w:history="1">
        <w:r>
          <w:rPr>
            <w:b/>
            <w:color w:val="d90000"/>
            <w:sz w:val="14"/>
            <w:szCs w:val="14"/>
          </w:rPr>
          <w:t>GO Biological Process 2021</w:t>
        </w:r>
      </w:hyperlink>
    </w:p>
    <w:tbl>
      <w:tblPr>
        <w:tblStyle w:val=""/>
        <w:name w:val="Table9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806"/>
        <w:gridCol w:w="2720"/>
        <w:gridCol w:w="1679"/>
        <w:gridCol w:w="1238"/>
        <w:gridCol w:w="1268"/>
        <w:gridCol w:w="1091"/>
        <w:gridCol w:w="798"/>
        <w:gridCol w:w="1200"/>
      </w:tblGrid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  <w:r>
              <w:rPr>
                <w:sz w:val="14"/>
                <w:szCs w:val="14"/>
              </w:rPr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</w:r>
          </w:p>
        </w:tc>
        <w:tc>
          <w:tcPr>
            <w:tcW w:w="1679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123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  <w:r>
              <w:rPr>
                <w:sz w:val="14"/>
                <w:szCs w:val="14"/>
              </w:rPr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  <w:r>
              <w:rPr>
                <w:sz w:val="14"/>
                <w:szCs w:val="14"/>
              </w:rPr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  <w:r>
              <w:rPr>
                <w:sz w:val="14"/>
                <w:szCs w:val="14"/>
              </w:rPr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  <w:r>
              <w:rPr>
                <w:sz w:val="14"/>
                <w:szCs w:val="14"/>
              </w:rPr>
            </w:r>
          </w:p>
        </w:tc>
      </w:tr>
      <w:tr>
        <w:trPr>
          <w:tblHeader w:val="0"/>
          <w:cantSplit w:val="0"/>
          <w:trHeight w:val="592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transcription from RNA polymerase II promoter in response to oxidative stress (GO:0043619)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ANKRD2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01/08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0.002398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571.06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3445.29</w:t>
            </w:r>
          </w:p>
        </w:tc>
      </w:tr>
      <w:tr>
        <w:trPr>
          <w:tblHeader w:val="0"/>
          <w:cantSplit w:val="0"/>
          <w:trHeight w:val="180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muscle contraction (GO:0006936)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MYL1;ANKRD2;ACTG2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3/129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0.000005169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0.0002068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157.68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1919.44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negative regulation of myoblast differentiation (GO:0045662)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ANKRD2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01/13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0.003894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333.03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1847.77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cell projection organization (GO:0031344)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01/14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0.004193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307.40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1682.80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neuron projection arborization (GO:0150011)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01/15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0.004492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285.43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1542.87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cell-substrate junction assembly (GO:0090109)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01/21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0.006284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199.74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1012.63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positive regulation of axon extension (GO:0045773)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01/22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0.006583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190.22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955.53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Golgi to plasma membrane protein transport (GO:0043001)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01/30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0.008967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137.69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649.09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cell morphogenesis (GO:0022604)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MACF1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1/32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0.009563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128.79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598.87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80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myoblast differentiation (GO:0045661)</w:t>
            </w:r>
          </w:p>
        </w:tc>
        <w:tc>
          <w:tcPr>
            <w:tcW w:w="1679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ANKRD2</w:t>
            </w:r>
          </w:p>
        </w:tc>
        <w:tc>
          <w:tcPr>
            <w:tcW w:w="123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1/34</w:t>
            </w:r>
          </w:p>
        </w:tc>
        <w:tc>
          <w:tcPr>
            <w:tcW w:w="126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0.01016</w:t>
            </w:r>
          </w:p>
        </w:tc>
        <w:tc>
          <w:tcPr>
            <w:tcW w:w="1091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0.03026</w:t>
            </w:r>
          </w:p>
        </w:tc>
        <w:tc>
          <w:tcPr>
            <w:tcW w:w="7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120.98</w:t>
            </w:r>
          </w:p>
        </w:tc>
        <w:tc>
          <w:tcPr>
            <w:tcW w:w="120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555.22</w:t>
            </w:r>
          </w:p>
        </w:tc>
      </w:tr>
    </w:tbl>
    <w:p>
      <w:pPr>
        <w:spacing w:after="120" w:line="360" w:lineRule="auto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para2"/>
        <w:spacing w:after="120" w:line="360" w:lineRule="auto"/>
      </w:pPr>
      <w:bookmarkStart w:id="1" w:name="_1g4jjwiu6l7n"/>
      <w:r/>
      <w:bookmarkEnd w:id="1"/>
      <w:r/>
    </w:p>
    <w:p>
      <w:pPr>
        <w:spacing w:after="120" w:line="360" w:lineRule="auto"/>
        <w:rPr>
          <w:sz w:val="14"/>
          <w:szCs w:val="14"/>
        </w:rPr>
      </w:pPr>
      <w:r>
        <w:br w:type="page"/>
      </w:r>
      <w:r>
        <w:rPr>
          <w:b/>
          <w:sz w:val="28"/>
          <w:szCs w:val="28"/>
        </w:rPr>
      </w:r>
      <w:bookmarkStart w:id="2" w:name="_h8zsy8lcwccn"/>
      <w:r>
        <w:rPr>
          <w:b/>
          <w:sz w:val="28"/>
          <w:szCs w:val="28"/>
        </w:rPr>
      </w:r>
      <w:bookmarkEnd w:id="2"/>
      <w:r>
        <w:rPr>
          <w:b/>
          <w:sz w:val="28"/>
          <w:szCs w:val="28"/>
        </w:rPr>
      </w:r>
      <w:hyperlink r:id="rId8" w:history="1">
        <w:r>
          <w:rPr>
            <w:b/>
            <w:color w:val="d90000"/>
            <w:sz w:val="14"/>
            <w:szCs w:val="14"/>
          </w:rPr>
          <w:t>an</w:t>
        </w:r>
      </w:hyperlink>
    </w:p>
    <w:tbl>
      <w:tblPr>
        <w:tblStyle w:val=""/>
        <w:name w:val="Table10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807"/>
        <w:gridCol w:w="1998"/>
        <w:gridCol w:w="2262"/>
        <w:gridCol w:w="1148"/>
        <w:gridCol w:w="1225"/>
        <w:gridCol w:w="1217"/>
        <w:gridCol w:w="898"/>
        <w:gridCol w:w="1245"/>
      </w:tblGrid>
      <w:tr>
        <w:trPr>
          <w:tblHeader w:val="0"/>
          <w:cantSplit w:val="0"/>
          <w:trHeight w:val="300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  <w:r>
              <w:rPr>
                <w:sz w:val="14"/>
                <w:szCs w:val="14"/>
              </w:rPr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</w:r>
          </w:p>
        </w:tc>
        <w:tc>
          <w:tcPr>
            <w:tcW w:w="2262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114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  <w:r>
              <w:rPr>
                <w:sz w:val="14"/>
                <w:szCs w:val="14"/>
              </w:rPr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  <w:r>
              <w:rPr>
                <w:sz w:val="14"/>
                <w:szCs w:val="14"/>
              </w:rPr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  <w:r>
              <w:rPr>
                <w:sz w:val="14"/>
                <w:szCs w:val="14"/>
              </w:rPr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  <w:r>
              <w:rPr>
                <w:sz w:val="14"/>
                <w:szCs w:val="14"/>
              </w:rPr>
            </w:r>
          </w:p>
        </w:tc>
      </w:tr>
      <w:tr>
        <w:trPr>
          <w:tblHeader w:val="0"/>
          <w:cantSplit w:val="0"/>
          <w:trHeight w:val="307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Hypertrophic cardiomyopathy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MYL2;TPM1;EMD;ACTG1;MYH7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5/90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0.000001088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0.00004722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32.47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445.92</w:t>
            </w:r>
          </w:p>
        </w:tc>
      </w:tr>
      <w:tr>
        <w:trPr>
          <w:tblHeader w:val="0"/>
          <w:cantSplit w:val="0"/>
          <w:trHeight w:val="171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Dilated cardiomyopathy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MYL2;TPM1;EMD;ACTG1;MYH7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5/96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0.000001499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0.00004722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30.32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406.66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Glycolysis / Gluconeogenesis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PKM;ALDOC;ENO1;ALDOA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4/67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0.00001061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0.0002228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34.14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391.05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Pentose phosphate pathway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ALDOC;ALDOA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2/30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0.001720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0.01806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36.50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232.36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Fructose and mannose metabolism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ALDOC;ALDOA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2/33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0.002079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0.01872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32.97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203.59</w:t>
            </w:r>
          </w:p>
        </w:tc>
      </w:tr>
      <w:tr>
        <w:trPr>
          <w:tblHeader w:val="0"/>
          <w:cantSplit w:val="0"/>
          <w:trHeight w:val="171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Cardiac muscle contraction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MYL2;TPM1;MYH7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3/87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0.0007521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0.01184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18.68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134.36</w:t>
            </w:r>
          </w:p>
        </w:tc>
      </w:tr>
      <w:tr>
        <w:trPr>
          <w:tblHeader w:val="0"/>
          <w:cantSplit w:val="0"/>
          <w:trHeight w:val="171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Thiamine metabolism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AK1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01/15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0.03032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0.1274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35.62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124.51</w:t>
            </w:r>
          </w:p>
        </w:tc>
      </w:tr>
      <w:tr>
        <w:trPr>
          <w:tblHeader w:val="0"/>
          <w:cantSplit w:val="0"/>
          <w:trHeight w:val="171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Nitrogen metabolism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CA3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01/17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0.03430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0.1350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31.16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105.10</w:t>
            </w:r>
          </w:p>
        </w:tc>
      </w:tr>
      <w:tr>
        <w:trPr>
          <w:tblHeader w:val="0"/>
          <w:cantSplit w:val="0"/>
          <w:trHeight w:val="171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HIF-1 signaling pathway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ALDOC;ENO1;ALDOA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3/109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0.001444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0.01806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14.79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96.71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80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Viral myocarditis</w:t>
            </w:r>
          </w:p>
        </w:tc>
        <w:tc>
          <w:tcPr>
            <w:tcW w:w="2262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ACTG1;MYH7</w:t>
            </w:r>
          </w:p>
        </w:tc>
        <w:tc>
          <w:tcPr>
            <w:tcW w:w="11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2/60</w:t>
            </w:r>
          </w:p>
        </w:tc>
        <w:tc>
          <w:tcPr>
            <w:tcW w:w="12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0.006732</w:t>
            </w:r>
          </w:p>
        </w:tc>
        <w:tc>
          <w:tcPr>
            <w:tcW w:w="1217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0.04712</w:t>
            </w:r>
          </w:p>
        </w:tc>
        <w:tc>
          <w:tcPr>
            <w:tcW w:w="898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17.60</w:t>
            </w:r>
          </w:p>
        </w:tc>
        <w:tc>
          <w:tcPr>
            <w:tcW w:w="124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88.00</w:t>
            </w:r>
          </w:p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spacing w:after="120"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hyperlink r:id="rId8" w:history="1">
        <w:r>
          <w:rPr>
            <w:b/>
            <w:color w:val="d90000"/>
            <w:sz w:val="14"/>
            <w:szCs w:val="14"/>
          </w:rPr>
          <w:t>GO Biological Process 2021</w:t>
        </w:r>
      </w:hyperlink>
    </w:p>
    <w:tbl>
      <w:tblPr>
        <w:tblStyle w:val=""/>
        <w:name w:val="Table11"/>
        <w:tabOrder w:val="0"/>
        <w:jc w:val="left"/>
        <w:tblInd w:w="0" w:type="dxa"/>
        <w:tblW w:w="10800" w:type="dxa"/>
        <w:tblLook w:val="0600" w:firstRow="0" w:lastRow="0" w:firstColumn="0" w:lastColumn="0" w:noHBand="1" w:noVBand="1"/>
      </w:tblPr>
      <w:tblGrid>
        <w:gridCol w:w="726"/>
        <w:gridCol w:w="1046"/>
        <w:gridCol w:w="4573"/>
        <w:gridCol w:w="848"/>
        <w:gridCol w:w="925"/>
        <w:gridCol w:w="986"/>
        <w:gridCol w:w="720"/>
        <w:gridCol w:w="976"/>
      </w:tblGrid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Index</w:t>
            </w:r>
            <w:r>
              <w:rPr>
                <w:sz w:val="14"/>
                <w:szCs w:val="14"/>
              </w:rPr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</w:t>
            </w:r>
            <w:r>
              <w:rPr>
                <w:sz w:val="14"/>
                <w:szCs w:val="14"/>
              </w:rPr>
            </w:r>
          </w:p>
        </w:tc>
        <w:tc>
          <w:tcPr>
            <w:tcW w:w="4573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Genes</w:t>
            </w:r>
          </w:p>
        </w:tc>
        <w:tc>
          <w:tcPr>
            <w:tcW w:w="848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Overlap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  <w:r>
              <w:rPr>
                <w:sz w:val="14"/>
                <w:szCs w:val="14"/>
              </w:rPr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Adjusted p-value</w:t>
            </w:r>
            <w:r>
              <w:rPr>
                <w:sz w:val="14"/>
                <w:szCs w:val="14"/>
              </w:rPr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Odds Ratio</w:t>
            </w:r>
            <w:r>
              <w:rPr>
                <w:sz w:val="14"/>
                <w:szCs w:val="14"/>
              </w:rPr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2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Combined score</w:t>
            </w:r>
            <w:r>
              <w:rPr>
                <w:sz w:val="14"/>
                <w:szCs w:val="14"/>
              </w:rPr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actin-myosin filament sliding (GO:0033275)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ACTA1;TNNT1;MYL2;TPM1;TNNT3;TNNI1;MYH4;MYH7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8/38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7.048e-15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8.505e-13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161.04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5247.72</w:t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muscle filament sliding (GO:0030049)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ACTA1;TNNT1;MYL2;TPM1;TNNT3;TNNI1;MYH4;MYH7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8/38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7.048e-15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8.505e-13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161.04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5247.72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regulation of muscle contraction (GO:0006937)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TNNT1;MYL2;TPM1;TNNT3;TNNI1;ENO1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06/28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1.845e-11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1.669e-9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155.35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3839.74</w:t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muscle contraction (GO:0006936)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ACTA1;TNNT1;MYL2;TPM1;TNNT3;TNNI1;ANKRD2;ALDOA;MYH4;EMD;ACTG2;MYH7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12/129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2.070e-17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7.495e-15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70.18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2695.86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skeletal muscle contraction (GO:0003009)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TNNT1;TNNT3;TNNI1;MYH7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04/20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7.189e-8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0.000003718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134.75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2216.39</w:t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oxygen transport (GO:0015671)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MB;HBB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02/07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0.00008554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0.001346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204.66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1916.91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glucose catabolic process to pyruvate (GO:0061718)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PKM;ALDOC;ENO1;ALDOA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04/24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1.567e-7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0.000006304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107.78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1688.75</w:t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canonical glycolysis (GO:0061621)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PKM;ALDOC;ENO1;ALDOA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04/24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1.567e-7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0.000006304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107.78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1688.75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glycolytic process through glucose-6-phosphate (GO:0061620)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PKM;ALDOC;ENO1;ALDOA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04/25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1.863e-7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0.000006744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102.64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1590.51</w:t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72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4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fructose metabolic process (GO:0006000)</w:t>
            </w:r>
          </w:p>
        </w:tc>
        <w:tc>
          <w:tcPr>
            <w:tcW w:w="4573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ALDOC;ALDOA</w:t>
            </w:r>
          </w:p>
        </w:tc>
        <w:tc>
          <w:tcPr>
            <w:tcW w:w="848" w:type="dxa"/>
            <w:vAlign w:val="bottom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02/08</w:t>
            </w:r>
          </w:p>
        </w:tc>
        <w:tc>
          <w:tcPr>
            <w:tcW w:w="925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0.0001139</w:t>
            </w:r>
          </w:p>
        </w:tc>
        <w:tc>
          <w:tcPr>
            <w:tcW w:w="98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0.001586</w:t>
            </w:r>
          </w:p>
        </w:tc>
        <w:tc>
          <w:tcPr>
            <w:tcW w:w="720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170.54</w:t>
            </w:r>
          </w:p>
        </w:tc>
        <w:tc>
          <w:tcPr>
            <w:tcW w:w="976" w:type="dxa"/>
            <w:tcMar>
              <w:top w:w="40" w:type="dxa"/>
              <w:left w:w="160" w:type="dxa"/>
              <w:bottom w:w="40" w:type="dxa"/>
              <w:right w:w="16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2618843" protected="0"/>
          </w:tcPr>
          <w:p>
            <w:pPr>
              <w:spacing w:after="120"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1548.51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720" w:top="720" w:right="720" w:bottom="720" w:header="567"/>
      <w:paperSrc w:first="0" w:other="0" a="0" b="0"/>
      <w:pgNumType w:fmt="decimal" w:start="1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Roboto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r>
      <w:t xml:space="preserve">Page </w:t>
    </w:r>
    <w:r>
      <w:fldChar w:fldCharType="begin"/>
      <w:instrText xml:space="preserve"> PAGE </w:instrText>
      <w:fldChar w:fldCharType="separate"/>
      <w:t>1</w:t>
      <w:fldChar w:fldCharType="end"/>
    </w:r>
    <w:r>
      <w:t xml:space="preserve"> | </w:t>
    </w:r>
    <w:r>
      <w:rPr>
        <w:sz w:val="20"/>
        <w:szCs w:val="20"/>
      </w:rPr>
      <w:t>Frontiers in Physiology | www.frontiersin.org</w:t>
      <w:tab/>
      <w:tab/>
      <w:tab/>
      <w:tab/>
      <w:t>May 2022 | Volume 13 | Article 879263</w: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  <w:tabs defTabSz="720">
        <w:tab w:val="clear" w:pos="5400" w:leader="none"/>
        <w:tab w:val="right" w:pos="10800" w:leader="none"/>
      </w:tabs>
      <w:rPr>
        <w:sz w:val="20"/>
        <w:szCs w:val="20"/>
      </w:rPr>
    </w:pPr>
    <w:r>
      <w:rPr>
        <w:sz w:val="20"/>
        <w:szCs w:val="20"/>
      </w:rPr>
      <w:t>Supplementary Material</w:t>
      <w:tab/>
      <w:t>Skeletal Muscle Proteome in Cancer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bered list 2"/>
    <w:lvl w:ilvl="0">
      <w:start w:val="1"/>
      <w:numFmt w:val="upperLetter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3">
    <w:multiLevelType w:val="hybridMultilevel"/>
    <w:name w:val="Numbered list 1"/>
    <w:lvl w:ilvl="0">
      <w:start w:val="1"/>
      <w:numFmt w:val="upperLetter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5">
    <w:multiLevelType w:val="hybridMultilevel"/>
    <w:name w:val="Numbered list 3"/>
    <w:lvl w:ilvl="0">
      <w:start w:val="1"/>
      <w:numFmt w:val="upperLetter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025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7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52618843" w:val="1040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28"/>
      <w:szCs w:val="2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28"/>
      <w:szCs w:val="28"/>
    </w:rPr>
  </w:style>
  <w:style w:type="paragraph" w:styleId="para3">
    <w:name w:val="heading 3"/>
    <w:qFormat/>
    <w:basedOn w:val="para0"/>
    <w:next w:val="para0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outlineLvl w:val="4"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outlineLvl w:val="5"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paragraph" w:styleId="para9" w:customStyle="1">
    <w:name w:val="Comment Text1"/>
    <w:qFormat/>
    <w:basedOn w:val="para0"/>
    <w:pPr>
      <w:spacing w:line="240" w:lineRule="auto"/>
    </w:pPr>
    <w:rPr>
      <w:sz w:val="20"/>
      <w:szCs w:val="20"/>
    </w:rPr>
  </w:style>
  <w:style w:type="paragraph" w:styleId="para10">
    <w:name w:val="Balloon Text"/>
    <w:qFormat/>
    <w:basedOn w:val="par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spacing w:line="240" w:lineRule="auto"/>
      <w:tabs defTabSz="720">
        <w:tab w:val="center" w:pos="5400" w:leader="none"/>
        <w:tab w:val="right" w:pos="10800" w:leader="none"/>
      </w:tabs>
    </w:pPr>
  </w:style>
  <w:style w:type="paragraph" w:styleId="para12">
    <w:name w:val="Footer"/>
    <w:qFormat/>
    <w:basedOn w:val="para0"/>
    <w:pPr>
      <w:spacing w:line="240" w:lineRule="auto"/>
      <w:tabs defTabSz="720">
        <w:tab w:val="center" w:pos="5400" w:leader="none"/>
        <w:tab w:val="right" w:pos="10800" w:leader="none"/>
      </w:tabs>
    </w:pPr>
  </w:style>
  <w:style w:type="character" w:styleId="char0" w:default="1">
    <w:name w:val="Default Paragraph Font"/>
  </w:style>
  <w:style w:type="character" w:styleId="char1" w:customStyle="1">
    <w:name w:val="Comment Text Char"/>
    <w:basedOn w:val="char0"/>
    <w:rPr>
      <w:sz w:val="20"/>
      <w:szCs w:val="20"/>
    </w:rPr>
  </w:style>
  <w:style w:type="character" w:styleId="char2" w:customStyle="1">
    <w:name w:val="Comment Reference1"/>
    <w:basedOn w:val="char0"/>
    <w:rPr>
      <w:sz w:val="16"/>
      <w:szCs w:val="16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4">
    <w:name w:val="Line Number"/>
    <w:basedOn w:val="char0"/>
  </w:style>
  <w:style w:type="character" w:styleId="char5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28"/>
      <w:szCs w:val="2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28"/>
      <w:szCs w:val="28"/>
    </w:rPr>
  </w:style>
  <w:style w:type="paragraph" w:styleId="para3">
    <w:name w:val="heading 3"/>
    <w:qFormat/>
    <w:basedOn w:val="para0"/>
    <w:next w:val="para0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outlineLvl w:val="4"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outlineLvl w:val="5"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paragraph" w:styleId="para9" w:customStyle="1">
    <w:name w:val="Comment Text1"/>
    <w:qFormat/>
    <w:basedOn w:val="para0"/>
    <w:pPr>
      <w:spacing w:line="240" w:lineRule="auto"/>
    </w:pPr>
    <w:rPr>
      <w:sz w:val="20"/>
      <w:szCs w:val="20"/>
    </w:rPr>
  </w:style>
  <w:style w:type="paragraph" w:styleId="para10">
    <w:name w:val="Balloon Text"/>
    <w:qFormat/>
    <w:basedOn w:val="para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11">
    <w:name w:val="Header"/>
    <w:qFormat/>
    <w:basedOn w:val="para0"/>
    <w:pPr>
      <w:spacing w:line="240" w:lineRule="auto"/>
      <w:tabs defTabSz="720">
        <w:tab w:val="center" w:pos="5400" w:leader="none"/>
        <w:tab w:val="right" w:pos="10800" w:leader="none"/>
      </w:tabs>
    </w:pPr>
  </w:style>
  <w:style w:type="paragraph" w:styleId="para12">
    <w:name w:val="Footer"/>
    <w:qFormat/>
    <w:basedOn w:val="para0"/>
    <w:pPr>
      <w:spacing w:line="240" w:lineRule="auto"/>
      <w:tabs defTabSz="720">
        <w:tab w:val="center" w:pos="5400" w:leader="none"/>
        <w:tab w:val="right" w:pos="10800" w:leader="none"/>
      </w:tabs>
    </w:pPr>
  </w:style>
  <w:style w:type="character" w:styleId="char0" w:default="1">
    <w:name w:val="Default Paragraph Font"/>
  </w:style>
  <w:style w:type="character" w:styleId="char1" w:customStyle="1">
    <w:name w:val="Comment Text Char"/>
    <w:basedOn w:val="char0"/>
    <w:rPr>
      <w:sz w:val="20"/>
      <w:szCs w:val="20"/>
    </w:rPr>
  </w:style>
  <w:style w:type="character" w:styleId="char2" w:customStyle="1">
    <w:name w:val="Comment Reference1"/>
    <w:basedOn w:val="char0"/>
    <w:rPr>
      <w:sz w:val="16"/>
      <w:szCs w:val="16"/>
    </w:rPr>
  </w:style>
  <w:style w:type="character" w:styleId="char3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4">
    <w:name w:val="Line Number"/>
    <w:basedOn w:val="char0"/>
  </w:style>
  <w:style w:type="character" w:styleId="char5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maayanlab.cloud/Enrichr/enri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Traver J.</dc:creator>
  <cp:keywords/>
  <dc:description/>
  <cp:lastModifiedBy>E Lichar Dillon</cp:lastModifiedBy>
  <cp:revision>9</cp:revision>
  <cp:lastPrinted>2022-04-21T02:50:00Z</cp:lastPrinted>
  <dcterms:created xsi:type="dcterms:W3CDTF">2022-04-21T02:36:00Z</dcterms:created>
  <dcterms:modified xsi:type="dcterms:W3CDTF">2022-05-15T12:47:23Z</dcterms:modified>
</cp:coreProperties>
</file>