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50123" w14:textId="77777777" w:rsidR="000D6A21" w:rsidRDefault="00654E8F" w:rsidP="000D3EFB">
      <w:pPr>
        <w:pStyle w:val="SupplementaryMaterial"/>
      </w:pPr>
      <w:r w:rsidRPr="000D3EFB">
        <w:t xml:space="preserve">Supplementary </w:t>
      </w:r>
      <w:r w:rsidR="000D6A21">
        <w:t>Information for</w:t>
      </w:r>
    </w:p>
    <w:p w14:paraId="11E49C53" w14:textId="7B9D9C60" w:rsidR="000D3EFB" w:rsidRPr="000D3EFB" w:rsidRDefault="000D3EFB" w:rsidP="000D3EFB">
      <w:pPr>
        <w:pStyle w:val="SupplementaryMaterial"/>
      </w:pPr>
      <w:r w:rsidRPr="000D3EFB">
        <w:t xml:space="preserve"> </w:t>
      </w:r>
      <w:r w:rsidRPr="000D3EFB">
        <w:rPr>
          <w:iCs/>
        </w:rPr>
        <w:t>Cobalt demand for automotive electrification in China: Scenario analysis based on the Bass model</w:t>
      </w:r>
    </w:p>
    <w:p w14:paraId="510AE52D" w14:textId="77777777" w:rsidR="000D3EFB" w:rsidRDefault="000D3EFB" w:rsidP="000D3EFB">
      <w:pPr>
        <w:pStyle w:val="Authornames"/>
        <w:spacing w:before="0"/>
        <w:jc w:val="center"/>
        <w:rPr>
          <w:rFonts w:eastAsia="宋体"/>
          <w:sz w:val="24"/>
          <w:szCs w:val="22"/>
        </w:rPr>
      </w:pPr>
    </w:p>
    <w:p w14:paraId="0A4DE67C" w14:textId="7098D210" w:rsidR="000D3EFB" w:rsidRPr="00A428A0" w:rsidRDefault="000D3EFB" w:rsidP="000D3EFB">
      <w:pPr>
        <w:pStyle w:val="Authornames"/>
        <w:spacing w:before="0"/>
        <w:jc w:val="center"/>
        <w:rPr>
          <w:sz w:val="24"/>
          <w:szCs w:val="22"/>
          <w:lang w:eastAsia="zh-CN"/>
        </w:rPr>
      </w:pPr>
      <w:r w:rsidRPr="00A428A0">
        <w:rPr>
          <w:sz w:val="24"/>
          <w:szCs w:val="22"/>
        </w:rPr>
        <w:t>Qing Shi</w:t>
      </w:r>
      <w:r w:rsidRPr="00A428A0">
        <w:rPr>
          <w:sz w:val="24"/>
          <w:szCs w:val="22"/>
          <w:vertAlign w:val="superscript"/>
        </w:rPr>
        <w:t>a</w:t>
      </w:r>
      <w:r w:rsidRPr="00A428A0">
        <w:rPr>
          <w:sz w:val="24"/>
          <w:szCs w:val="22"/>
        </w:rPr>
        <w:t>*</w:t>
      </w:r>
    </w:p>
    <w:p w14:paraId="698FDDB7" w14:textId="77777777" w:rsidR="000D3EFB" w:rsidRDefault="000D3EFB" w:rsidP="000D3EFB">
      <w:pPr>
        <w:pStyle w:val="Affiliation"/>
        <w:spacing w:before="0"/>
        <w:jc w:val="both"/>
      </w:pPr>
      <w:r w:rsidRPr="00394920">
        <w:rPr>
          <w:vertAlign w:val="superscript"/>
        </w:rPr>
        <w:t>a</w:t>
      </w:r>
      <w:r>
        <w:rPr>
          <w:vertAlign w:val="superscript"/>
        </w:rPr>
        <w:t xml:space="preserve"> </w:t>
      </w:r>
      <w:r>
        <w:t>Center of Data Economics &amp; Network Study</w:t>
      </w:r>
      <w:r w:rsidRPr="008E7E20">
        <w:t>,</w:t>
      </w:r>
      <w:r>
        <w:t xml:space="preserve"> </w:t>
      </w:r>
      <w:r w:rsidRPr="004C5315">
        <w:rPr>
          <w:rFonts w:eastAsiaTheme="minorEastAsia"/>
          <w:lang w:eastAsia="zh-CN"/>
        </w:rPr>
        <w:t>ICOI,</w:t>
      </w:r>
      <w:r w:rsidRPr="008E7E20">
        <w:t xml:space="preserve"> Shenzhen University, Shenzhen,</w:t>
      </w:r>
      <w:r>
        <w:t xml:space="preserve"> </w:t>
      </w:r>
      <w:r w:rsidRPr="008E7E20">
        <w:t>Guangdong 518060, China</w:t>
      </w:r>
    </w:p>
    <w:p w14:paraId="4F3997F0" w14:textId="77777777" w:rsidR="000D3EFB" w:rsidRDefault="000D3EFB" w:rsidP="000D3EFB">
      <w:pPr>
        <w:pStyle w:val="Correspondencedetails"/>
        <w:spacing w:before="0"/>
        <w:rPr>
          <w:rStyle w:val="afc"/>
        </w:rPr>
      </w:pPr>
      <w:r>
        <w:t>*</w:t>
      </w:r>
      <w:r w:rsidRPr="008E7E20">
        <w:t>Corresponding author</w:t>
      </w:r>
      <w:r>
        <w:t xml:space="preserve">: Dr. Qing Shi, </w:t>
      </w:r>
      <w:hyperlink r:id="rId8" w:history="1">
        <w:r w:rsidRPr="00684550">
          <w:rPr>
            <w:rStyle w:val="afc"/>
          </w:rPr>
          <w:t>shiqing@szu.edu.cn</w:t>
        </w:r>
      </w:hyperlink>
    </w:p>
    <w:p w14:paraId="3BD5A427" w14:textId="17539769" w:rsidR="00EA3D3C" w:rsidRDefault="00654E8F" w:rsidP="0001436A">
      <w:pPr>
        <w:pStyle w:val="1"/>
      </w:pPr>
      <w:r w:rsidRPr="00994A3D">
        <w:t>Supplement</w:t>
      </w:r>
      <w:r w:rsidRPr="000D3EFB">
        <w:t xml:space="preserve">ary </w:t>
      </w:r>
      <w:r w:rsidR="000D3EFB" w:rsidRPr="000D3EFB">
        <w:rPr>
          <w:rFonts w:eastAsiaTheme="minorEastAsia"/>
          <w:lang w:eastAsia="zh-CN"/>
        </w:rPr>
        <w:t>figures</w:t>
      </w:r>
      <w:r w:rsidR="000D3EFB">
        <w:t xml:space="preserve"> and tables</w:t>
      </w:r>
    </w:p>
    <w:p w14:paraId="7C69CDCB" w14:textId="77777777" w:rsidR="000D3EFB" w:rsidRDefault="000D3EFB" w:rsidP="000D3EFB">
      <w:pPr>
        <w:pStyle w:val="Correspondencedetails"/>
        <w:spacing w:before="0"/>
      </w:pPr>
    </w:p>
    <w:p w14:paraId="0208D4C5" w14:textId="77777777" w:rsidR="000D3EFB" w:rsidRDefault="000D3EFB" w:rsidP="000D3EFB">
      <w:pPr>
        <w:jc w:val="center"/>
      </w:pPr>
      <w:r>
        <w:rPr>
          <w:noProof/>
        </w:rPr>
        <w:drawing>
          <wp:inline distT="0" distB="0" distL="0" distR="0" wp14:anchorId="452D4793" wp14:editId="751FAF89">
            <wp:extent cx="5274310" cy="3094355"/>
            <wp:effectExtent l="0" t="0" r="2540" b="0"/>
            <wp:docPr id="9" name="图片 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图表&#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094355"/>
                    </a:xfrm>
                    <a:prstGeom prst="rect">
                      <a:avLst/>
                    </a:prstGeom>
                    <a:noFill/>
                    <a:ln>
                      <a:noFill/>
                    </a:ln>
                  </pic:spPr>
                </pic:pic>
              </a:graphicData>
            </a:graphic>
          </wp:inline>
        </w:drawing>
      </w:r>
    </w:p>
    <w:p w14:paraId="27D72BF6" w14:textId="77777777" w:rsidR="000D3EFB" w:rsidRDefault="000D3EFB" w:rsidP="00246661">
      <w:pPr>
        <w:jc w:val="both"/>
        <w:rPr>
          <w:rFonts w:cs="Times New Roman"/>
          <w:szCs w:val="24"/>
        </w:rPr>
      </w:pPr>
      <w:r w:rsidRPr="00B87736">
        <w:rPr>
          <w:rFonts w:cs="Times New Roman"/>
          <w:szCs w:val="24"/>
        </w:rPr>
        <w:t xml:space="preserve">Figure S1: China’s </w:t>
      </w:r>
      <w:r>
        <w:rPr>
          <w:rFonts w:cs="Times New Roman"/>
          <w:szCs w:val="24"/>
        </w:rPr>
        <w:t xml:space="preserve">cumulative </w:t>
      </w:r>
      <w:r w:rsidRPr="00B87736">
        <w:rPr>
          <w:rFonts w:cs="Times New Roman"/>
          <w:szCs w:val="24"/>
        </w:rPr>
        <w:t>EV s</w:t>
      </w:r>
      <w:r>
        <w:rPr>
          <w:rFonts w:cs="Times New Roman"/>
          <w:szCs w:val="24"/>
        </w:rPr>
        <w:t xml:space="preserve">ales </w:t>
      </w:r>
      <w:r w:rsidRPr="00B87736">
        <w:rPr>
          <w:rFonts w:cs="Times New Roman"/>
          <w:szCs w:val="24"/>
        </w:rPr>
        <w:t>projected until 2030. EV here includes BEV and PHEV. PESS is the pessimistic scenario, BASE is the baseline scenario, OPTI is the optimistic scenario. REAL is the historical data from 2012 to 202</w:t>
      </w:r>
      <w:r>
        <w:rPr>
          <w:rFonts w:cs="Times New Roman"/>
          <w:szCs w:val="24"/>
        </w:rPr>
        <w:t>1</w:t>
      </w:r>
      <w:r w:rsidRPr="00B87736">
        <w:rPr>
          <w:rFonts w:cs="Times New Roman"/>
          <w:szCs w:val="24"/>
        </w:rPr>
        <w:t xml:space="preserve">, which is used to show the fitness of projected data and </w:t>
      </w:r>
      <w:r>
        <w:rPr>
          <w:rFonts w:cs="Times New Roman"/>
          <w:szCs w:val="24"/>
        </w:rPr>
        <w:t>historical</w:t>
      </w:r>
      <w:r w:rsidRPr="00B87736">
        <w:rPr>
          <w:rFonts w:cs="Times New Roman"/>
          <w:szCs w:val="24"/>
        </w:rPr>
        <w:t xml:space="preserve"> data. </w:t>
      </w:r>
    </w:p>
    <w:p w14:paraId="5218E2E2" w14:textId="06085975" w:rsidR="00C311A1" w:rsidRDefault="00C311A1" w:rsidP="000D3EFB">
      <w:pPr>
        <w:jc w:val="center"/>
        <w:rPr>
          <w:rFonts w:cs="Times New Roman"/>
          <w:szCs w:val="24"/>
        </w:rPr>
      </w:pPr>
      <w:r>
        <w:rPr>
          <w:noProof/>
        </w:rPr>
        <w:lastRenderedPageBreak/>
        <w:drawing>
          <wp:inline distT="0" distB="0" distL="0" distR="0" wp14:anchorId="5D7756B1" wp14:editId="5C35ADF7">
            <wp:extent cx="5243506" cy="3040343"/>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350" cy="3051269"/>
                    </a:xfrm>
                    <a:prstGeom prst="rect">
                      <a:avLst/>
                    </a:prstGeom>
                    <a:noFill/>
                    <a:ln>
                      <a:noFill/>
                    </a:ln>
                  </pic:spPr>
                </pic:pic>
              </a:graphicData>
            </a:graphic>
          </wp:inline>
        </w:drawing>
      </w:r>
    </w:p>
    <w:p w14:paraId="2C9E0EE2" w14:textId="03024876" w:rsidR="000D3EFB" w:rsidRDefault="000D3EFB" w:rsidP="008F0ABC">
      <w:pPr>
        <w:jc w:val="both"/>
        <w:rPr>
          <w:rFonts w:cs="Times New Roman"/>
          <w:szCs w:val="24"/>
        </w:rPr>
      </w:pPr>
      <w:r w:rsidRPr="00B87736">
        <w:rPr>
          <w:rFonts w:cs="Times New Roman"/>
          <w:szCs w:val="24"/>
        </w:rPr>
        <w:t>Figure S</w:t>
      </w:r>
      <w:r>
        <w:rPr>
          <w:rFonts w:cs="Times New Roman"/>
          <w:szCs w:val="24"/>
        </w:rPr>
        <w:t>2</w:t>
      </w:r>
      <w:r w:rsidRPr="00B87736">
        <w:rPr>
          <w:rFonts w:cs="Times New Roman"/>
          <w:szCs w:val="24"/>
        </w:rPr>
        <w:t>: China’s</w:t>
      </w:r>
      <w:r>
        <w:rPr>
          <w:rFonts w:cs="Times New Roman"/>
          <w:szCs w:val="24"/>
        </w:rPr>
        <w:t xml:space="preserve"> annual EV sales</w:t>
      </w:r>
      <w:r w:rsidRPr="00B87736">
        <w:rPr>
          <w:rFonts w:cs="Times New Roman"/>
          <w:szCs w:val="24"/>
        </w:rPr>
        <w:t xml:space="preserve"> projected until 2030. EV here includes BEV and PHEV. PESS is the pessimistic scenario, BASE is the baseline scenario, OPTI is the optimistic scenario. REAL is the historical data from 2012 to 202</w:t>
      </w:r>
      <w:r>
        <w:rPr>
          <w:rFonts w:cs="Times New Roman"/>
          <w:szCs w:val="24"/>
        </w:rPr>
        <w:t>1</w:t>
      </w:r>
      <w:r w:rsidRPr="00B87736">
        <w:rPr>
          <w:rFonts w:cs="Times New Roman"/>
          <w:szCs w:val="24"/>
        </w:rPr>
        <w:t xml:space="preserve">, which is used to show the fitness of projected data and </w:t>
      </w:r>
      <w:r>
        <w:rPr>
          <w:rFonts w:cs="Times New Roman"/>
          <w:szCs w:val="24"/>
        </w:rPr>
        <w:t xml:space="preserve">historical </w:t>
      </w:r>
      <w:r w:rsidRPr="00B87736">
        <w:rPr>
          <w:rFonts w:cs="Times New Roman"/>
          <w:szCs w:val="24"/>
        </w:rPr>
        <w:t xml:space="preserve">EV </w:t>
      </w:r>
      <w:r>
        <w:rPr>
          <w:rFonts w:cs="Times New Roman"/>
          <w:szCs w:val="24"/>
        </w:rPr>
        <w:t>sales</w:t>
      </w:r>
      <w:r w:rsidRPr="00B87736">
        <w:rPr>
          <w:rFonts w:cs="Times New Roman"/>
          <w:szCs w:val="24"/>
        </w:rPr>
        <w:t xml:space="preserve"> data. </w:t>
      </w:r>
    </w:p>
    <w:p w14:paraId="600E2D8F" w14:textId="72F3F92A" w:rsidR="00C311A1" w:rsidRDefault="005F4B82" w:rsidP="00AF4056">
      <w:pPr>
        <w:jc w:val="center"/>
        <w:rPr>
          <w:rFonts w:cs="Times New Roman"/>
          <w:szCs w:val="24"/>
        </w:rPr>
      </w:pPr>
      <w:r>
        <w:rPr>
          <w:noProof/>
        </w:rPr>
        <w:drawing>
          <wp:inline distT="0" distB="0" distL="0" distR="0" wp14:anchorId="49C98AD5" wp14:editId="06AD5EE7">
            <wp:extent cx="5277165" cy="3386950"/>
            <wp:effectExtent l="0" t="0" r="0" b="4445"/>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8174" cy="3394016"/>
                    </a:xfrm>
                    <a:prstGeom prst="rect">
                      <a:avLst/>
                    </a:prstGeom>
                    <a:noFill/>
                    <a:ln>
                      <a:noFill/>
                    </a:ln>
                  </pic:spPr>
                </pic:pic>
              </a:graphicData>
            </a:graphic>
          </wp:inline>
        </w:drawing>
      </w:r>
    </w:p>
    <w:p w14:paraId="408F1163" w14:textId="62046C18" w:rsidR="000D3EFB" w:rsidRPr="00032440" w:rsidRDefault="000D3EFB" w:rsidP="00246661">
      <w:pPr>
        <w:jc w:val="both"/>
        <w:rPr>
          <w:rFonts w:cs="Times New Roman"/>
          <w:szCs w:val="24"/>
        </w:rPr>
      </w:pPr>
      <w:r w:rsidRPr="00B87736">
        <w:rPr>
          <w:rFonts w:cs="Times New Roman"/>
          <w:szCs w:val="24"/>
        </w:rPr>
        <w:t>Figure S</w:t>
      </w:r>
      <w:r>
        <w:rPr>
          <w:rFonts w:cs="Times New Roman"/>
          <w:szCs w:val="24"/>
        </w:rPr>
        <w:t>3</w:t>
      </w:r>
      <w:r w:rsidRPr="00B87736">
        <w:rPr>
          <w:rFonts w:cs="Times New Roman"/>
          <w:szCs w:val="24"/>
        </w:rPr>
        <w:t>: China’s</w:t>
      </w:r>
      <w:r>
        <w:rPr>
          <w:rFonts w:cs="Times New Roman"/>
          <w:szCs w:val="24"/>
        </w:rPr>
        <w:t xml:space="preserve"> annual installed battery capacity</w:t>
      </w:r>
      <w:r w:rsidRPr="00B87736">
        <w:rPr>
          <w:rFonts w:cs="Times New Roman"/>
          <w:szCs w:val="24"/>
        </w:rPr>
        <w:t xml:space="preserve"> projected until 2030. PESS is the pessimistic scenario, BASE is the baseline scenario, OPTI is the optimistic scenario. REAL is the historical data from 2012 to 202</w:t>
      </w:r>
      <w:r>
        <w:rPr>
          <w:rFonts w:cs="Times New Roman"/>
          <w:szCs w:val="24"/>
        </w:rPr>
        <w:t>1</w:t>
      </w:r>
      <w:r w:rsidRPr="00B87736">
        <w:rPr>
          <w:rFonts w:cs="Times New Roman"/>
          <w:szCs w:val="24"/>
        </w:rPr>
        <w:t xml:space="preserve">, which is used to show the fitness of projected data and </w:t>
      </w:r>
      <w:r>
        <w:rPr>
          <w:rFonts w:cs="Times New Roman"/>
          <w:szCs w:val="24"/>
        </w:rPr>
        <w:t xml:space="preserve">historical </w:t>
      </w:r>
      <w:r w:rsidRPr="00B87736">
        <w:rPr>
          <w:rFonts w:cs="Times New Roman"/>
          <w:szCs w:val="24"/>
        </w:rPr>
        <w:t xml:space="preserve">EV </w:t>
      </w:r>
      <w:r>
        <w:rPr>
          <w:rFonts w:cs="Times New Roman"/>
          <w:szCs w:val="24"/>
        </w:rPr>
        <w:t>sales</w:t>
      </w:r>
      <w:r w:rsidRPr="00B87736">
        <w:rPr>
          <w:rFonts w:cs="Times New Roman"/>
          <w:szCs w:val="24"/>
        </w:rPr>
        <w:t xml:space="preserve"> data. </w:t>
      </w:r>
    </w:p>
    <w:p w14:paraId="4B9ACE1E" w14:textId="63087D81" w:rsidR="000D3EFB" w:rsidRDefault="000D3EFB" w:rsidP="000D3EFB">
      <w:pPr>
        <w:jc w:val="center"/>
        <w:rPr>
          <w:rFonts w:cs="Times New Roman"/>
          <w:szCs w:val="24"/>
        </w:rPr>
      </w:pPr>
      <w:r>
        <w:rPr>
          <w:rFonts w:cs="Times New Roman" w:hint="eastAsia"/>
          <w:szCs w:val="24"/>
        </w:rPr>
        <w:lastRenderedPageBreak/>
        <w:t>T</w:t>
      </w:r>
      <w:r>
        <w:rPr>
          <w:rFonts w:cs="Times New Roman"/>
          <w:szCs w:val="24"/>
        </w:rPr>
        <w:t>able S1</w:t>
      </w:r>
      <w:r w:rsidR="00246661">
        <w:rPr>
          <w:rFonts w:cs="Times New Roman"/>
          <w:szCs w:val="24"/>
        </w:rPr>
        <w:t>.</w:t>
      </w:r>
      <w:r>
        <w:rPr>
          <w:rFonts w:cs="Times New Roman"/>
          <w:szCs w:val="24"/>
        </w:rPr>
        <w:t xml:space="preserve"> Historical data for EV sales, stock, and annual battery capacity</w:t>
      </w:r>
    </w:p>
    <w:tbl>
      <w:tblPr>
        <w:tblW w:w="5035" w:type="pct"/>
        <w:tblLayout w:type="fixed"/>
        <w:tblLook w:val="04A0" w:firstRow="1" w:lastRow="0" w:firstColumn="1" w:lastColumn="0" w:noHBand="0" w:noVBand="1"/>
      </w:tblPr>
      <w:tblGrid>
        <w:gridCol w:w="838"/>
        <w:gridCol w:w="1170"/>
        <w:gridCol w:w="1170"/>
        <w:gridCol w:w="1335"/>
        <w:gridCol w:w="1217"/>
        <w:gridCol w:w="1386"/>
        <w:gridCol w:w="1193"/>
        <w:gridCol w:w="1536"/>
      </w:tblGrid>
      <w:tr w:rsidR="000D3EFB" w:rsidRPr="00177604" w14:paraId="00258309" w14:textId="77777777" w:rsidTr="00A36AE8">
        <w:trPr>
          <w:trHeight w:val="260"/>
        </w:trPr>
        <w:tc>
          <w:tcPr>
            <w:tcW w:w="426" w:type="pct"/>
            <w:tcBorders>
              <w:top w:val="single" w:sz="4" w:space="0" w:color="auto"/>
              <w:left w:val="nil"/>
              <w:bottom w:val="single" w:sz="4" w:space="0" w:color="auto"/>
              <w:right w:val="nil"/>
            </w:tcBorders>
            <w:shd w:val="clear" w:color="auto" w:fill="auto"/>
            <w:noWrap/>
            <w:vAlign w:val="center"/>
            <w:hideMark/>
          </w:tcPr>
          <w:p w14:paraId="0CE235DC"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Year</w:t>
            </w:r>
          </w:p>
        </w:tc>
        <w:tc>
          <w:tcPr>
            <w:tcW w:w="594" w:type="pct"/>
            <w:tcBorders>
              <w:top w:val="single" w:sz="4" w:space="0" w:color="auto"/>
              <w:left w:val="nil"/>
              <w:bottom w:val="single" w:sz="4" w:space="0" w:color="auto"/>
              <w:right w:val="nil"/>
            </w:tcBorders>
            <w:shd w:val="clear" w:color="auto" w:fill="auto"/>
            <w:noWrap/>
            <w:vAlign w:val="center"/>
            <w:hideMark/>
          </w:tcPr>
          <w:p w14:paraId="5D38EE0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BEV</w:t>
            </w:r>
            <w:r>
              <w:rPr>
                <w:rFonts w:eastAsia="等线" w:cs="Times New Roman"/>
                <w:color w:val="000000"/>
                <w:sz w:val="22"/>
              </w:rPr>
              <w:t xml:space="preserve"> Sales</w:t>
            </w:r>
          </w:p>
        </w:tc>
        <w:tc>
          <w:tcPr>
            <w:tcW w:w="594" w:type="pct"/>
            <w:tcBorders>
              <w:top w:val="single" w:sz="4" w:space="0" w:color="auto"/>
              <w:left w:val="nil"/>
              <w:bottom w:val="single" w:sz="4" w:space="0" w:color="auto"/>
              <w:right w:val="nil"/>
            </w:tcBorders>
            <w:shd w:val="clear" w:color="auto" w:fill="auto"/>
            <w:noWrap/>
            <w:vAlign w:val="center"/>
            <w:hideMark/>
          </w:tcPr>
          <w:p w14:paraId="6C1113E1"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PHEV</w:t>
            </w:r>
            <w:r>
              <w:rPr>
                <w:rFonts w:eastAsia="等线" w:cs="Times New Roman"/>
                <w:color w:val="000000"/>
                <w:sz w:val="22"/>
              </w:rPr>
              <w:t xml:space="preserve"> Sales</w:t>
            </w:r>
          </w:p>
        </w:tc>
        <w:tc>
          <w:tcPr>
            <w:tcW w:w="678" w:type="pct"/>
            <w:tcBorders>
              <w:top w:val="single" w:sz="4" w:space="0" w:color="auto"/>
              <w:left w:val="nil"/>
              <w:bottom w:val="single" w:sz="4" w:space="0" w:color="auto"/>
              <w:right w:val="nil"/>
            </w:tcBorders>
            <w:shd w:val="clear" w:color="auto" w:fill="auto"/>
            <w:noWrap/>
            <w:vAlign w:val="center"/>
            <w:hideMark/>
          </w:tcPr>
          <w:p w14:paraId="6634908D"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Annual EV Sales</w:t>
            </w:r>
          </w:p>
        </w:tc>
        <w:tc>
          <w:tcPr>
            <w:tcW w:w="618" w:type="pct"/>
            <w:tcBorders>
              <w:top w:val="single" w:sz="4" w:space="0" w:color="auto"/>
              <w:left w:val="nil"/>
              <w:bottom w:val="single" w:sz="4" w:space="0" w:color="auto"/>
              <w:right w:val="nil"/>
            </w:tcBorders>
            <w:shd w:val="clear" w:color="auto" w:fill="auto"/>
            <w:noWrap/>
            <w:vAlign w:val="center"/>
            <w:hideMark/>
          </w:tcPr>
          <w:p w14:paraId="099A6E2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 xml:space="preserve">EV </w:t>
            </w:r>
            <w:r>
              <w:rPr>
                <w:rFonts w:eastAsia="等线" w:cs="Times New Roman"/>
                <w:color w:val="000000"/>
                <w:sz w:val="22"/>
              </w:rPr>
              <w:t>Cumulative sales</w:t>
            </w:r>
          </w:p>
        </w:tc>
        <w:tc>
          <w:tcPr>
            <w:tcW w:w="704" w:type="pct"/>
            <w:tcBorders>
              <w:top w:val="single" w:sz="4" w:space="0" w:color="auto"/>
              <w:left w:val="nil"/>
              <w:bottom w:val="single" w:sz="4" w:space="0" w:color="auto"/>
              <w:right w:val="nil"/>
            </w:tcBorders>
            <w:shd w:val="clear" w:color="auto" w:fill="auto"/>
            <w:noWrap/>
            <w:vAlign w:val="center"/>
            <w:hideMark/>
          </w:tcPr>
          <w:p w14:paraId="047FB9F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BEV Share</w:t>
            </w:r>
          </w:p>
        </w:tc>
        <w:tc>
          <w:tcPr>
            <w:tcW w:w="606" w:type="pct"/>
            <w:tcBorders>
              <w:top w:val="single" w:sz="4" w:space="0" w:color="auto"/>
              <w:left w:val="nil"/>
              <w:bottom w:val="single" w:sz="4" w:space="0" w:color="auto"/>
              <w:right w:val="nil"/>
            </w:tcBorders>
            <w:shd w:val="clear" w:color="auto" w:fill="auto"/>
            <w:noWrap/>
            <w:vAlign w:val="center"/>
            <w:hideMark/>
          </w:tcPr>
          <w:p w14:paraId="330DE145"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PHEV Share</w:t>
            </w:r>
          </w:p>
        </w:tc>
        <w:tc>
          <w:tcPr>
            <w:tcW w:w="780" w:type="pct"/>
            <w:tcBorders>
              <w:top w:val="single" w:sz="4" w:space="0" w:color="auto"/>
              <w:left w:val="nil"/>
              <w:bottom w:val="single" w:sz="4" w:space="0" w:color="auto"/>
              <w:right w:val="nil"/>
            </w:tcBorders>
            <w:shd w:val="clear" w:color="auto" w:fill="auto"/>
            <w:noWrap/>
            <w:vAlign w:val="center"/>
            <w:hideMark/>
          </w:tcPr>
          <w:p w14:paraId="3687D1CF" w14:textId="77777777" w:rsidR="000D3EFB" w:rsidRPr="00F41E66" w:rsidRDefault="000D3EFB" w:rsidP="00A36AE8">
            <w:pPr>
              <w:rPr>
                <w:rFonts w:eastAsia="等线" w:cs="Times New Roman"/>
                <w:color w:val="000000"/>
                <w:sz w:val="22"/>
              </w:rPr>
            </w:pPr>
            <w:r w:rsidRPr="00177604">
              <w:rPr>
                <w:rFonts w:eastAsia="等线" w:cs="Times New Roman"/>
                <w:color w:val="000000"/>
                <w:sz w:val="22"/>
              </w:rPr>
              <w:t>Battery</w:t>
            </w:r>
          </w:p>
          <w:p w14:paraId="1388BF74"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 xml:space="preserve">Capacity </w:t>
            </w:r>
          </w:p>
        </w:tc>
      </w:tr>
      <w:tr w:rsidR="000D3EFB" w:rsidRPr="00177604" w14:paraId="1B3A3907" w14:textId="77777777" w:rsidTr="00A36AE8">
        <w:trPr>
          <w:trHeight w:val="260"/>
        </w:trPr>
        <w:tc>
          <w:tcPr>
            <w:tcW w:w="426" w:type="pct"/>
            <w:tcBorders>
              <w:top w:val="nil"/>
              <w:left w:val="nil"/>
              <w:bottom w:val="nil"/>
              <w:right w:val="nil"/>
            </w:tcBorders>
            <w:shd w:val="clear" w:color="auto" w:fill="auto"/>
            <w:noWrap/>
            <w:vAlign w:val="bottom"/>
            <w:hideMark/>
          </w:tcPr>
          <w:p w14:paraId="3A20A518"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2012</w:t>
            </w:r>
          </w:p>
        </w:tc>
        <w:tc>
          <w:tcPr>
            <w:tcW w:w="594" w:type="pct"/>
            <w:tcBorders>
              <w:top w:val="nil"/>
              <w:left w:val="nil"/>
              <w:bottom w:val="nil"/>
              <w:right w:val="nil"/>
            </w:tcBorders>
            <w:shd w:val="clear" w:color="auto" w:fill="auto"/>
            <w:noWrap/>
            <w:vAlign w:val="bottom"/>
            <w:hideMark/>
          </w:tcPr>
          <w:p w14:paraId="116A65BC"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11.375</w:t>
            </w:r>
          </w:p>
        </w:tc>
        <w:tc>
          <w:tcPr>
            <w:tcW w:w="594" w:type="pct"/>
            <w:tcBorders>
              <w:top w:val="nil"/>
              <w:left w:val="nil"/>
              <w:bottom w:val="nil"/>
              <w:right w:val="nil"/>
            </w:tcBorders>
            <w:shd w:val="clear" w:color="auto" w:fill="auto"/>
            <w:noWrap/>
            <w:vAlign w:val="bottom"/>
            <w:hideMark/>
          </w:tcPr>
          <w:p w14:paraId="39CDA14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1.416</w:t>
            </w:r>
          </w:p>
        </w:tc>
        <w:tc>
          <w:tcPr>
            <w:tcW w:w="678" w:type="pct"/>
            <w:tcBorders>
              <w:top w:val="nil"/>
              <w:left w:val="nil"/>
              <w:bottom w:val="nil"/>
              <w:right w:val="nil"/>
            </w:tcBorders>
            <w:shd w:val="clear" w:color="auto" w:fill="auto"/>
            <w:noWrap/>
            <w:vAlign w:val="bottom"/>
            <w:hideMark/>
          </w:tcPr>
          <w:p w14:paraId="20B0312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12.791</w:t>
            </w:r>
          </w:p>
        </w:tc>
        <w:tc>
          <w:tcPr>
            <w:tcW w:w="618" w:type="pct"/>
            <w:tcBorders>
              <w:top w:val="nil"/>
              <w:left w:val="nil"/>
              <w:bottom w:val="nil"/>
              <w:right w:val="nil"/>
            </w:tcBorders>
            <w:shd w:val="clear" w:color="auto" w:fill="auto"/>
            <w:noWrap/>
            <w:vAlign w:val="bottom"/>
            <w:hideMark/>
          </w:tcPr>
          <w:p w14:paraId="225A6648"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16</w:t>
            </w:r>
          </w:p>
        </w:tc>
        <w:tc>
          <w:tcPr>
            <w:tcW w:w="704" w:type="pct"/>
            <w:tcBorders>
              <w:top w:val="nil"/>
              <w:left w:val="nil"/>
              <w:bottom w:val="nil"/>
              <w:right w:val="nil"/>
            </w:tcBorders>
            <w:shd w:val="clear" w:color="auto" w:fill="auto"/>
            <w:noWrap/>
            <w:vAlign w:val="bottom"/>
            <w:hideMark/>
          </w:tcPr>
          <w:p w14:paraId="0112AC15"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89%</w:t>
            </w:r>
          </w:p>
        </w:tc>
        <w:tc>
          <w:tcPr>
            <w:tcW w:w="606" w:type="pct"/>
            <w:tcBorders>
              <w:top w:val="nil"/>
              <w:left w:val="nil"/>
              <w:bottom w:val="nil"/>
              <w:right w:val="nil"/>
            </w:tcBorders>
            <w:shd w:val="clear" w:color="auto" w:fill="auto"/>
            <w:noWrap/>
            <w:vAlign w:val="bottom"/>
            <w:hideMark/>
          </w:tcPr>
          <w:p w14:paraId="44603F86"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11%</w:t>
            </w:r>
          </w:p>
        </w:tc>
        <w:tc>
          <w:tcPr>
            <w:tcW w:w="780" w:type="pct"/>
            <w:tcBorders>
              <w:top w:val="nil"/>
              <w:left w:val="nil"/>
              <w:bottom w:val="nil"/>
              <w:right w:val="nil"/>
            </w:tcBorders>
            <w:shd w:val="clear" w:color="auto" w:fill="auto"/>
            <w:noWrap/>
            <w:vAlign w:val="center"/>
            <w:hideMark/>
          </w:tcPr>
          <w:p w14:paraId="3B71E3BA" w14:textId="77777777" w:rsidR="000D3EFB" w:rsidRPr="00177604" w:rsidRDefault="000D3EFB" w:rsidP="00A36AE8">
            <w:pPr>
              <w:rPr>
                <w:rFonts w:eastAsia="等线" w:cs="Times New Roman"/>
                <w:color w:val="000000"/>
                <w:sz w:val="22"/>
              </w:rPr>
            </w:pPr>
          </w:p>
        </w:tc>
      </w:tr>
      <w:tr w:rsidR="000D3EFB" w:rsidRPr="00177604" w14:paraId="66462A9E" w14:textId="77777777" w:rsidTr="00A36AE8">
        <w:trPr>
          <w:trHeight w:val="260"/>
        </w:trPr>
        <w:tc>
          <w:tcPr>
            <w:tcW w:w="426" w:type="pct"/>
            <w:tcBorders>
              <w:top w:val="nil"/>
              <w:left w:val="nil"/>
              <w:bottom w:val="nil"/>
              <w:right w:val="nil"/>
            </w:tcBorders>
            <w:shd w:val="clear" w:color="auto" w:fill="auto"/>
            <w:noWrap/>
            <w:vAlign w:val="bottom"/>
            <w:hideMark/>
          </w:tcPr>
          <w:p w14:paraId="23AA8EF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2013</w:t>
            </w:r>
          </w:p>
        </w:tc>
        <w:tc>
          <w:tcPr>
            <w:tcW w:w="594" w:type="pct"/>
            <w:tcBorders>
              <w:top w:val="nil"/>
              <w:left w:val="nil"/>
              <w:bottom w:val="nil"/>
              <w:right w:val="nil"/>
            </w:tcBorders>
            <w:shd w:val="clear" w:color="auto" w:fill="auto"/>
            <w:noWrap/>
            <w:vAlign w:val="bottom"/>
            <w:hideMark/>
          </w:tcPr>
          <w:p w14:paraId="613AA5BD"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14.604</w:t>
            </w:r>
          </w:p>
        </w:tc>
        <w:tc>
          <w:tcPr>
            <w:tcW w:w="594" w:type="pct"/>
            <w:tcBorders>
              <w:top w:val="nil"/>
              <w:left w:val="nil"/>
              <w:bottom w:val="nil"/>
              <w:right w:val="nil"/>
            </w:tcBorders>
            <w:shd w:val="clear" w:color="auto" w:fill="auto"/>
            <w:noWrap/>
            <w:vAlign w:val="bottom"/>
            <w:hideMark/>
          </w:tcPr>
          <w:p w14:paraId="21F53CF9"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3.038</w:t>
            </w:r>
          </w:p>
        </w:tc>
        <w:tc>
          <w:tcPr>
            <w:tcW w:w="678" w:type="pct"/>
            <w:tcBorders>
              <w:top w:val="nil"/>
              <w:left w:val="nil"/>
              <w:bottom w:val="nil"/>
              <w:right w:val="nil"/>
            </w:tcBorders>
            <w:shd w:val="clear" w:color="auto" w:fill="auto"/>
            <w:noWrap/>
            <w:vAlign w:val="bottom"/>
            <w:hideMark/>
          </w:tcPr>
          <w:p w14:paraId="5830D2D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17.6</w:t>
            </w:r>
          </w:p>
        </w:tc>
        <w:tc>
          <w:tcPr>
            <w:tcW w:w="618" w:type="pct"/>
            <w:tcBorders>
              <w:top w:val="nil"/>
              <w:left w:val="nil"/>
              <w:bottom w:val="nil"/>
              <w:right w:val="nil"/>
            </w:tcBorders>
            <w:shd w:val="clear" w:color="auto" w:fill="auto"/>
            <w:noWrap/>
            <w:vAlign w:val="bottom"/>
            <w:hideMark/>
          </w:tcPr>
          <w:p w14:paraId="6415F073"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33.6</w:t>
            </w:r>
          </w:p>
        </w:tc>
        <w:tc>
          <w:tcPr>
            <w:tcW w:w="704" w:type="pct"/>
            <w:tcBorders>
              <w:top w:val="nil"/>
              <w:left w:val="nil"/>
              <w:bottom w:val="nil"/>
              <w:right w:val="nil"/>
            </w:tcBorders>
            <w:shd w:val="clear" w:color="auto" w:fill="auto"/>
            <w:noWrap/>
            <w:vAlign w:val="bottom"/>
            <w:hideMark/>
          </w:tcPr>
          <w:p w14:paraId="38B66443"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83%</w:t>
            </w:r>
          </w:p>
        </w:tc>
        <w:tc>
          <w:tcPr>
            <w:tcW w:w="606" w:type="pct"/>
            <w:tcBorders>
              <w:top w:val="nil"/>
              <w:left w:val="nil"/>
              <w:bottom w:val="nil"/>
              <w:right w:val="nil"/>
            </w:tcBorders>
            <w:shd w:val="clear" w:color="auto" w:fill="auto"/>
            <w:noWrap/>
            <w:vAlign w:val="bottom"/>
            <w:hideMark/>
          </w:tcPr>
          <w:p w14:paraId="48313B2D"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17%</w:t>
            </w:r>
          </w:p>
        </w:tc>
        <w:tc>
          <w:tcPr>
            <w:tcW w:w="780" w:type="pct"/>
            <w:tcBorders>
              <w:top w:val="nil"/>
              <w:left w:val="nil"/>
              <w:bottom w:val="nil"/>
              <w:right w:val="nil"/>
            </w:tcBorders>
            <w:shd w:val="clear" w:color="auto" w:fill="auto"/>
            <w:noWrap/>
            <w:vAlign w:val="center"/>
            <w:hideMark/>
          </w:tcPr>
          <w:p w14:paraId="23B80936" w14:textId="77777777" w:rsidR="000D3EFB" w:rsidRPr="00177604" w:rsidRDefault="000D3EFB" w:rsidP="00A36AE8">
            <w:pPr>
              <w:rPr>
                <w:rFonts w:eastAsia="等线" w:cs="Times New Roman"/>
                <w:color w:val="000000"/>
                <w:sz w:val="22"/>
              </w:rPr>
            </w:pPr>
          </w:p>
        </w:tc>
      </w:tr>
      <w:tr w:rsidR="000D3EFB" w:rsidRPr="00177604" w14:paraId="68DB30B0" w14:textId="77777777" w:rsidTr="00A36AE8">
        <w:trPr>
          <w:trHeight w:val="260"/>
        </w:trPr>
        <w:tc>
          <w:tcPr>
            <w:tcW w:w="426" w:type="pct"/>
            <w:tcBorders>
              <w:top w:val="nil"/>
              <w:left w:val="nil"/>
              <w:bottom w:val="nil"/>
              <w:right w:val="nil"/>
            </w:tcBorders>
            <w:shd w:val="clear" w:color="auto" w:fill="auto"/>
            <w:noWrap/>
            <w:vAlign w:val="bottom"/>
            <w:hideMark/>
          </w:tcPr>
          <w:p w14:paraId="2CDDCC9C"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2014</w:t>
            </w:r>
          </w:p>
        </w:tc>
        <w:tc>
          <w:tcPr>
            <w:tcW w:w="594" w:type="pct"/>
            <w:tcBorders>
              <w:top w:val="nil"/>
              <w:left w:val="nil"/>
              <w:bottom w:val="nil"/>
              <w:right w:val="nil"/>
            </w:tcBorders>
            <w:shd w:val="clear" w:color="auto" w:fill="auto"/>
            <w:noWrap/>
            <w:vAlign w:val="bottom"/>
            <w:hideMark/>
          </w:tcPr>
          <w:p w14:paraId="53FF5503"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45.048</w:t>
            </w:r>
          </w:p>
        </w:tc>
        <w:tc>
          <w:tcPr>
            <w:tcW w:w="594" w:type="pct"/>
            <w:tcBorders>
              <w:top w:val="nil"/>
              <w:left w:val="nil"/>
              <w:bottom w:val="nil"/>
              <w:right w:val="nil"/>
            </w:tcBorders>
            <w:shd w:val="clear" w:color="auto" w:fill="auto"/>
            <w:noWrap/>
            <w:vAlign w:val="bottom"/>
            <w:hideMark/>
          </w:tcPr>
          <w:p w14:paraId="056D33DA"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29.715</w:t>
            </w:r>
          </w:p>
        </w:tc>
        <w:tc>
          <w:tcPr>
            <w:tcW w:w="678" w:type="pct"/>
            <w:tcBorders>
              <w:top w:val="nil"/>
              <w:left w:val="nil"/>
              <w:bottom w:val="nil"/>
              <w:right w:val="nil"/>
            </w:tcBorders>
            <w:shd w:val="clear" w:color="auto" w:fill="auto"/>
            <w:noWrap/>
            <w:vAlign w:val="bottom"/>
            <w:hideMark/>
          </w:tcPr>
          <w:p w14:paraId="496AEAEA"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74.8</w:t>
            </w:r>
          </w:p>
        </w:tc>
        <w:tc>
          <w:tcPr>
            <w:tcW w:w="618" w:type="pct"/>
            <w:tcBorders>
              <w:top w:val="nil"/>
              <w:left w:val="nil"/>
              <w:bottom w:val="nil"/>
              <w:right w:val="nil"/>
            </w:tcBorders>
            <w:shd w:val="clear" w:color="auto" w:fill="auto"/>
            <w:noWrap/>
            <w:vAlign w:val="bottom"/>
            <w:hideMark/>
          </w:tcPr>
          <w:p w14:paraId="25C3001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108.4</w:t>
            </w:r>
          </w:p>
        </w:tc>
        <w:tc>
          <w:tcPr>
            <w:tcW w:w="704" w:type="pct"/>
            <w:tcBorders>
              <w:top w:val="nil"/>
              <w:left w:val="nil"/>
              <w:bottom w:val="nil"/>
              <w:right w:val="nil"/>
            </w:tcBorders>
            <w:shd w:val="clear" w:color="auto" w:fill="auto"/>
            <w:noWrap/>
            <w:vAlign w:val="bottom"/>
            <w:hideMark/>
          </w:tcPr>
          <w:p w14:paraId="44E7D144"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60%</w:t>
            </w:r>
          </w:p>
        </w:tc>
        <w:tc>
          <w:tcPr>
            <w:tcW w:w="606" w:type="pct"/>
            <w:tcBorders>
              <w:top w:val="nil"/>
              <w:left w:val="nil"/>
              <w:bottom w:val="nil"/>
              <w:right w:val="nil"/>
            </w:tcBorders>
            <w:shd w:val="clear" w:color="auto" w:fill="auto"/>
            <w:noWrap/>
            <w:vAlign w:val="bottom"/>
            <w:hideMark/>
          </w:tcPr>
          <w:p w14:paraId="0C540628"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40%</w:t>
            </w:r>
          </w:p>
        </w:tc>
        <w:tc>
          <w:tcPr>
            <w:tcW w:w="780" w:type="pct"/>
            <w:tcBorders>
              <w:top w:val="nil"/>
              <w:left w:val="nil"/>
              <w:bottom w:val="nil"/>
              <w:right w:val="nil"/>
            </w:tcBorders>
            <w:shd w:val="clear" w:color="auto" w:fill="auto"/>
            <w:noWrap/>
            <w:vAlign w:val="center"/>
            <w:hideMark/>
          </w:tcPr>
          <w:p w14:paraId="0E7CE7F4" w14:textId="77777777" w:rsidR="000D3EFB" w:rsidRPr="00177604" w:rsidRDefault="000D3EFB" w:rsidP="00A36AE8">
            <w:pPr>
              <w:rPr>
                <w:rFonts w:eastAsia="等线" w:cs="Times New Roman"/>
                <w:color w:val="000000"/>
                <w:sz w:val="22"/>
              </w:rPr>
            </w:pPr>
          </w:p>
        </w:tc>
      </w:tr>
      <w:tr w:rsidR="000D3EFB" w:rsidRPr="00177604" w14:paraId="5D7F9FF5" w14:textId="77777777" w:rsidTr="00A36AE8">
        <w:trPr>
          <w:trHeight w:val="260"/>
        </w:trPr>
        <w:tc>
          <w:tcPr>
            <w:tcW w:w="426" w:type="pct"/>
            <w:tcBorders>
              <w:top w:val="nil"/>
              <w:left w:val="nil"/>
              <w:bottom w:val="nil"/>
              <w:right w:val="nil"/>
            </w:tcBorders>
            <w:shd w:val="clear" w:color="auto" w:fill="auto"/>
            <w:noWrap/>
            <w:vAlign w:val="bottom"/>
            <w:hideMark/>
          </w:tcPr>
          <w:p w14:paraId="3BE7C0D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2015</w:t>
            </w:r>
          </w:p>
        </w:tc>
        <w:tc>
          <w:tcPr>
            <w:tcW w:w="594" w:type="pct"/>
            <w:tcBorders>
              <w:top w:val="nil"/>
              <w:left w:val="nil"/>
              <w:bottom w:val="nil"/>
              <w:right w:val="nil"/>
            </w:tcBorders>
            <w:shd w:val="clear" w:color="auto" w:fill="auto"/>
            <w:noWrap/>
            <w:vAlign w:val="bottom"/>
            <w:hideMark/>
          </w:tcPr>
          <w:p w14:paraId="44DE612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247.482</w:t>
            </w:r>
          </w:p>
        </w:tc>
        <w:tc>
          <w:tcPr>
            <w:tcW w:w="594" w:type="pct"/>
            <w:tcBorders>
              <w:top w:val="nil"/>
              <w:left w:val="nil"/>
              <w:bottom w:val="nil"/>
              <w:right w:val="nil"/>
            </w:tcBorders>
            <w:shd w:val="clear" w:color="auto" w:fill="auto"/>
            <w:noWrap/>
            <w:vAlign w:val="bottom"/>
            <w:hideMark/>
          </w:tcPr>
          <w:p w14:paraId="22412B7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83.61</w:t>
            </w:r>
          </w:p>
        </w:tc>
        <w:tc>
          <w:tcPr>
            <w:tcW w:w="678" w:type="pct"/>
            <w:tcBorders>
              <w:top w:val="nil"/>
              <w:left w:val="nil"/>
              <w:bottom w:val="nil"/>
              <w:right w:val="nil"/>
            </w:tcBorders>
            <w:shd w:val="clear" w:color="auto" w:fill="auto"/>
            <w:noWrap/>
            <w:vAlign w:val="bottom"/>
            <w:hideMark/>
          </w:tcPr>
          <w:p w14:paraId="392C82F1"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331.1</w:t>
            </w:r>
          </w:p>
        </w:tc>
        <w:tc>
          <w:tcPr>
            <w:tcW w:w="618" w:type="pct"/>
            <w:tcBorders>
              <w:top w:val="nil"/>
              <w:left w:val="nil"/>
              <w:bottom w:val="nil"/>
              <w:right w:val="nil"/>
            </w:tcBorders>
            <w:shd w:val="clear" w:color="auto" w:fill="auto"/>
            <w:noWrap/>
            <w:vAlign w:val="bottom"/>
            <w:hideMark/>
          </w:tcPr>
          <w:p w14:paraId="7BA818C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439.5</w:t>
            </w:r>
          </w:p>
        </w:tc>
        <w:tc>
          <w:tcPr>
            <w:tcW w:w="704" w:type="pct"/>
            <w:tcBorders>
              <w:top w:val="nil"/>
              <w:left w:val="nil"/>
              <w:bottom w:val="nil"/>
              <w:right w:val="nil"/>
            </w:tcBorders>
            <w:shd w:val="clear" w:color="auto" w:fill="auto"/>
            <w:noWrap/>
            <w:vAlign w:val="bottom"/>
            <w:hideMark/>
          </w:tcPr>
          <w:p w14:paraId="7ACCC56A"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75%</w:t>
            </w:r>
          </w:p>
        </w:tc>
        <w:tc>
          <w:tcPr>
            <w:tcW w:w="606" w:type="pct"/>
            <w:tcBorders>
              <w:top w:val="nil"/>
              <w:left w:val="nil"/>
              <w:bottom w:val="nil"/>
              <w:right w:val="nil"/>
            </w:tcBorders>
            <w:shd w:val="clear" w:color="auto" w:fill="auto"/>
            <w:noWrap/>
            <w:vAlign w:val="bottom"/>
            <w:hideMark/>
          </w:tcPr>
          <w:p w14:paraId="1CBE7C6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25%</w:t>
            </w:r>
          </w:p>
        </w:tc>
        <w:tc>
          <w:tcPr>
            <w:tcW w:w="780" w:type="pct"/>
            <w:tcBorders>
              <w:top w:val="nil"/>
              <w:left w:val="nil"/>
              <w:bottom w:val="nil"/>
              <w:right w:val="nil"/>
            </w:tcBorders>
            <w:shd w:val="clear" w:color="auto" w:fill="auto"/>
            <w:noWrap/>
            <w:vAlign w:val="center"/>
            <w:hideMark/>
          </w:tcPr>
          <w:p w14:paraId="52B74FDD" w14:textId="77777777" w:rsidR="000D3EFB" w:rsidRPr="00177604" w:rsidRDefault="000D3EFB" w:rsidP="00A36AE8">
            <w:pPr>
              <w:rPr>
                <w:rFonts w:eastAsia="等线" w:cs="Times New Roman"/>
                <w:color w:val="000000"/>
                <w:sz w:val="22"/>
              </w:rPr>
            </w:pPr>
          </w:p>
        </w:tc>
      </w:tr>
      <w:tr w:rsidR="000D3EFB" w:rsidRPr="00177604" w14:paraId="08149A90" w14:textId="77777777" w:rsidTr="00A36AE8">
        <w:trPr>
          <w:trHeight w:val="260"/>
        </w:trPr>
        <w:tc>
          <w:tcPr>
            <w:tcW w:w="426" w:type="pct"/>
            <w:tcBorders>
              <w:top w:val="nil"/>
              <w:left w:val="nil"/>
              <w:bottom w:val="nil"/>
              <w:right w:val="nil"/>
            </w:tcBorders>
            <w:shd w:val="clear" w:color="auto" w:fill="auto"/>
            <w:noWrap/>
            <w:vAlign w:val="bottom"/>
            <w:hideMark/>
          </w:tcPr>
          <w:p w14:paraId="04286F9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2016</w:t>
            </w:r>
          </w:p>
        </w:tc>
        <w:tc>
          <w:tcPr>
            <w:tcW w:w="594" w:type="pct"/>
            <w:tcBorders>
              <w:top w:val="nil"/>
              <w:left w:val="nil"/>
              <w:bottom w:val="nil"/>
              <w:right w:val="nil"/>
            </w:tcBorders>
            <w:shd w:val="clear" w:color="auto" w:fill="auto"/>
            <w:noWrap/>
            <w:vAlign w:val="bottom"/>
            <w:hideMark/>
          </w:tcPr>
          <w:p w14:paraId="1E4CE74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409</w:t>
            </w:r>
          </w:p>
        </w:tc>
        <w:tc>
          <w:tcPr>
            <w:tcW w:w="594" w:type="pct"/>
            <w:tcBorders>
              <w:top w:val="nil"/>
              <w:left w:val="nil"/>
              <w:bottom w:val="nil"/>
              <w:right w:val="nil"/>
            </w:tcBorders>
            <w:shd w:val="clear" w:color="auto" w:fill="auto"/>
            <w:noWrap/>
            <w:vAlign w:val="bottom"/>
            <w:hideMark/>
          </w:tcPr>
          <w:p w14:paraId="0751E504"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98</w:t>
            </w:r>
          </w:p>
        </w:tc>
        <w:tc>
          <w:tcPr>
            <w:tcW w:w="678" w:type="pct"/>
            <w:tcBorders>
              <w:top w:val="nil"/>
              <w:left w:val="nil"/>
              <w:bottom w:val="nil"/>
              <w:right w:val="nil"/>
            </w:tcBorders>
            <w:shd w:val="clear" w:color="auto" w:fill="auto"/>
            <w:noWrap/>
            <w:vAlign w:val="bottom"/>
            <w:hideMark/>
          </w:tcPr>
          <w:p w14:paraId="6BCB89D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506.6</w:t>
            </w:r>
          </w:p>
        </w:tc>
        <w:tc>
          <w:tcPr>
            <w:tcW w:w="618" w:type="pct"/>
            <w:tcBorders>
              <w:top w:val="nil"/>
              <w:left w:val="nil"/>
              <w:bottom w:val="nil"/>
              <w:right w:val="nil"/>
            </w:tcBorders>
            <w:shd w:val="clear" w:color="auto" w:fill="auto"/>
            <w:noWrap/>
            <w:vAlign w:val="bottom"/>
            <w:hideMark/>
          </w:tcPr>
          <w:p w14:paraId="7A73F091"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946.1</w:t>
            </w:r>
          </w:p>
        </w:tc>
        <w:tc>
          <w:tcPr>
            <w:tcW w:w="704" w:type="pct"/>
            <w:tcBorders>
              <w:top w:val="nil"/>
              <w:left w:val="nil"/>
              <w:bottom w:val="nil"/>
              <w:right w:val="nil"/>
            </w:tcBorders>
            <w:shd w:val="clear" w:color="auto" w:fill="auto"/>
            <w:noWrap/>
            <w:vAlign w:val="bottom"/>
            <w:hideMark/>
          </w:tcPr>
          <w:p w14:paraId="4CE0E76E"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81%</w:t>
            </w:r>
          </w:p>
        </w:tc>
        <w:tc>
          <w:tcPr>
            <w:tcW w:w="606" w:type="pct"/>
            <w:tcBorders>
              <w:top w:val="nil"/>
              <w:left w:val="nil"/>
              <w:bottom w:val="nil"/>
              <w:right w:val="nil"/>
            </w:tcBorders>
            <w:shd w:val="clear" w:color="auto" w:fill="auto"/>
            <w:noWrap/>
            <w:vAlign w:val="bottom"/>
            <w:hideMark/>
          </w:tcPr>
          <w:p w14:paraId="6B1B516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19%</w:t>
            </w:r>
          </w:p>
        </w:tc>
        <w:tc>
          <w:tcPr>
            <w:tcW w:w="780" w:type="pct"/>
            <w:tcBorders>
              <w:top w:val="nil"/>
              <w:left w:val="nil"/>
              <w:bottom w:val="nil"/>
              <w:right w:val="nil"/>
            </w:tcBorders>
            <w:shd w:val="clear" w:color="auto" w:fill="auto"/>
            <w:noWrap/>
            <w:vAlign w:val="center"/>
            <w:hideMark/>
          </w:tcPr>
          <w:p w14:paraId="120FED70"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28</w:t>
            </w:r>
          </w:p>
        </w:tc>
      </w:tr>
      <w:tr w:rsidR="000D3EFB" w:rsidRPr="00177604" w14:paraId="097D2357" w14:textId="77777777" w:rsidTr="00A36AE8">
        <w:trPr>
          <w:trHeight w:val="260"/>
        </w:trPr>
        <w:tc>
          <w:tcPr>
            <w:tcW w:w="426" w:type="pct"/>
            <w:tcBorders>
              <w:top w:val="nil"/>
              <w:left w:val="nil"/>
              <w:bottom w:val="nil"/>
              <w:right w:val="nil"/>
            </w:tcBorders>
            <w:shd w:val="clear" w:color="auto" w:fill="auto"/>
            <w:noWrap/>
            <w:vAlign w:val="bottom"/>
            <w:hideMark/>
          </w:tcPr>
          <w:p w14:paraId="197A349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2017</w:t>
            </w:r>
          </w:p>
        </w:tc>
        <w:tc>
          <w:tcPr>
            <w:tcW w:w="594" w:type="pct"/>
            <w:tcBorders>
              <w:top w:val="nil"/>
              <w:left w:val="nil"/>
              <w:bottom w:val="nil"/>
              <w:right w:val="nil"/>
            </w:tcBorders>
            <w:shd w:val="clear" w:color="auto" w:fill="auto"/>
            <w:noWrap/>
            <w:vAlign w:val="bottom"/>
            <w:hideMark/>
          </w:tcPr>
          <w:p w14:paraId="004174FB"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652</w:t>
            </w:r>
          </w:p>
        </w:tc>
        <w:tc>
          <w:tcPr>
            <w:tcW w:w="594" w:type="pct"/>
            <w:tcBorders>
              <w:top w:val="nil"/>
              <w:left w:val="nil"/>
              <w:bottom w:val="nil"/>
              <w:right w:val="nil"/>
            </w:tcBorders>
            <w:shd w:val="clear" w:color="auto" w:fill="auto"/>
            <w:noWrap/>
            <w:vAlign w:val="bottom"/>
            <w:hideMark/>
          </w:tcPr>
          <w:p w14:paraId="6A318404"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125</w:t>
            </w:r>
          </w:p>
        </w:tc>
        <w:tc>
          <w:tcPr>
            <w:tcW w:w="678" w:type="pct"/>
            <w:tcBorders>
              <w:top w:val="nil"/>
              <w:left w:val="nil"/>
              <w:bottom w:val="nil"/>
              <w:right w:val="nil"/>
            </w:tcBorders>
            <w:shd w:val="clear" w:color="auto" w:fill="auto"/>
            <w:noWrap/>
            <w:vAlign w:val="bottom"/>
            <w:hideMark/>
          </w:tcPr>
          <w:p w14:paraId="08A28E8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776.7</w:t>
            </w:r>
          </w:p>
        </w:tc>
        <w:tc>
          <w:tcPr>
            <w:tcW w:w="618" w:type="pct"/>
            <w:tcBorders>
              <w:top w:val="nil"/>
              <w:left w:val="nil"/>
              <w:bottom w:val="nil"/>
              <w:right w:val="nil"/>
            </w:tcBorders>
            <w:shd w:val="clear" w:color="auto" w:fill="auto"/>
            <w:noWrap/>
            <w:vAlign w:val="bottom"/>
            <w:hideMark/>
          </w:tcPr>
          <w:p w14:paraId="5F43C489"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1722.8</w:t>
            </w:r>
          </w:p>
        </w:tc>
        <w:tc>
          <w:tcPr>
            <w:tcW w:w="704" w:type="pct"/>
            <w:tcBorders>
              <w:top w:val="nil"/>
              <w:left w:val="nil"/>
              <w:bottom w:val="nil"/>
              <w:right w:val="nil"/>
            </w:tcBorders>
            <w:shd w:val="clear" w:color="auto" w:fill="auto"/>
            <w:noWrap/>
            <w:vAlign w:val="bottom"/>
            <w:hideMark/>
          </w:tcPr>
          <w:p w14:paraId="45D7ABA3"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84%</w:t>
            </w:r>
          </w:p>
        </w:tc>
        <w:tc>
          <w:tcPr>
            <w:tcW w:w="606" w:type="pct"/>
            <w:tcBorders>
              <w:top w:val="nil"/>
              <w:left w:val="nil"/>
              <w:bottom w:val="nil"/>
              <w:right w:val="nil"/>
            </w:tcBorders>
            <w:shd w:val="clear" w:color="auto" w:fill="auto"/>
            <w:noWrap/>
            <w:vAlign w:val="bottom"/>
            <w:hideMark/>
          </w:tcPr>
          <w:p w14:paraId="7DE06D5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16%</w:t>
            </w:r>
          </w:p>
        </w:tc>
        <w:tc>
          <w:tcPr>
            <w:tcW w:w="780" w:type="pct"/>
            <w:tcBorders>
              <w:top w:val="nil"/>
              <w:left w:val="nil"/>
              <w:bottom w:val="nil"/>
              <w:right w:val="nil"/>
            </w:tcBorders>
            <w:shd w:val="clear" w:color="auto" w:fill="auto"/>
            <w:noWrap/>
            <w:vAlign w:val="center"/>
            <w:hideMark/>
          </w:tcPr>
          <w:p w14:paraId="25CECC3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36.24</w:t>
            </w:r>
          </w:p>
        </w:tc>
      </w:tr>
      <w:tr w:rsidR="000D3EFB" w:rsidRPr="00177604" w14:paraId="1DEE0385" w14:textId="77777777" w:rsidTr="00A36AE8">
        <w:trPr>
          <w:trHeight w:val="260"/>
        </w:trPr>
        <w:tc>
          <w:tcPr>
            <w:tcW w:w="426" w:type="pct"/>
            <w:tcBorders>
              <w:top w:val="nil"/>
              <w:left w:val="nil"/>
              <w:bottom w:val="nil"/>
              <w:right w:val="nil"/>
            </w:tcBorders>
            <w:shd w:val="clear" w:color="auto" w:fill="auto"/>
            <w:noWrap/>
            <w:vAlign w:val="bottom"/>
            <w:hideMark/>
          </w:tcPr>
          <w:p w14:paraId="20C16D6A"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2018</w:t>
            </w:r>
          </w:p>
        </w:tc>
        <w:tc>
          <w:tcPr>
            <w:tcW w:w="594" w:type="pct"/>
            <w:tcBorders>
              <w:top w:val="nil"/>
              <w:left w:val="nil"/>
              <w:bottom w:val="nil"/>
              <w:right w:val="nil"/>
            </w:tcBorders>
            <w:shd w:val="clear" w:color="auto" w:fill="auto"/>
            <w:noWrap/>
            <w:vAlign w:val="bottom"/>
            <w:hideMark/>
          </w:tcPr>
          <w:p w14:paraId="378F46D0"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984</w:t>
            </w:r>
          </w:p>
        </w:tc>
        <w:tc>
          <w:tcPr>
            <w:tcW w:w="594" w:type="pct"/>
            <w:tcBorders>
              <w:top w:val="nil"/>
              <w:left w:val="nil"/>
              <w:bottom w:val="nil"/>
              <w:right w:val="nil"/>
            </w:tcBorders>
            <w:shd w:val="clear" w:color="auto" w:fill="auto"/>
            <w:noWrap/>
            <w:vAlign w:val="bottom"/>
            <w:hideMark/>
          </w:tcPr>
          <w:p w14:paraId="0E9C6219"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271</w:t>
            </w:r>
          </w:p>
        </w:tc>
        <w:tc>
          <w:tcPr>
            <w:tcW w:w="678" w:type="pct"/>
            <w:tcBorders>
              <w:top w:val="nil"/>
              <w:left w:val="nil"/>
              <w:bottom w:val="nil"/>
              <w:right w:val="nil"/>
            </w:tcBorders>
            <w:shd w:val="clear" w:color="auto" w:fill="auto"/>
            <w:noWrap/>
            <w:vAlign w:val="bottom"/>
            <w:hideMark/>
          </w:tcPr>
          <w:p w14:paraId="206C05F7"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1256.2</w:t>
            </w:r>
          </w:p>
        </w:tc>
        <w:tc>
          <w:tcPr>
            <w:tcW w:w="618" w:type="pct"/>
            <w:tcBorders>
              <w:top w:val="nil"/>
              <w:left w:val="nil"/>
              <w:bottom w:val="nil"/>
              <w:right w:val="nil"/>
            </w:tcBorders>
            <w:shd w:val="clear" w:color="auto" w:fill="auto"/>
            <w:noWrap/>
            <w:vAlign w:val="bottom"/>
            <w:hideMark/>
          </w:tcPr>
          <w:p w14:paraId="6B2DA700"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2979</w:t>
            </w:r>
          </w:p>
        </w:tc>
        <w:tc>
          <w:tcPr>
            <w:tcW w:w="704" w:type="pct"/>
            <w:tcBorders>
              <w:top w:val="nil"/>
              <w:left w:val="nil"/>
              <w:bottom w:val="nil"/>
              <w:right w:val="nil"/>
            </w:tcBorders>
            <w:shd w:val="clear" w:color="auto" w:fill="auto"/>
            <w:noWrap/>
            <w:vAlign w:val="bottom"/>
            <w:hideMark/>
          </w:tcPr>
          <w:p w14:paraId="516C95C6"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78%</w:t>
            </w:r>
          </w:p>
        </w:tc>
        <w:tc>
          <w:tcPr>
            <w:tcW w:w="606" w:type="pct"/>
            <w:tcBorders>
              <w:top w:val="nil"/>
              <w:left w:val="nil"/>
              <w:bottom w:val="nil"/>
              <w:right w:val="nil"/>
            </w:tcBorders>
            <w:shd w:val="clear" w:color="auto" w:fill="auto"/>
            <w:noWrap/>
            <w:vAlign w:val="bottom"/>
            <w:hideMark/>
          </w:tcPr>
          <w:p w14:paraId="4DBAA0A0"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22%</w:t>
            </w:r>
          </w:p>
        </w:tc>
        <w:tc>
          <w:tcPr>
            <w:tcW w:w="780" w:type="pct"/>
            <w:tcBorders>
              <w:top w:val="nil"/>
              <w:left w:val="nil"/>
              <w:bottom w:val="nil"/>
              <w:right w:val="nil"/>
            </w:tcBorders>
            <w:shd w:val="clear" w:color="auto" w:fill="auto"/>
            <w:noWrap/>
            <w:vAlign w:val="center"/>
            <w:hideMark/>
          </w:tcPr>
          <w:p w14:paraId="0BB0EFD9"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56.9</w:t>
            </w:r>
          </w:p>
        </w:tc>
      </w:tr>
      <w:tr w:rsidR="000D3EFB" w:rsidRPr="00177604" w14:paraId="1F6AB0CF" w14:textId="77777777" w:rsidTr="00A36AE8">
        <w:trPr>
          <w:trHeight w:val="260"/>
        </w:trPr>
        <w:tc>
          <w:tcPr>
            <w:tcW w:w="426" w:type="pct"/>
            <w:tcBorders>
              <w:top w:val="nil"/>
              <w:left w:val="nil"/>
              <w:bottom w:val="nil"/>
              <w:right w:val="nil"/>
            </w:tcBorders>
            <w:shd w:val="clear" w:color="auto" w:fill="auto"/>
            <w:noWrap/>
            <w:vAlign w:val="bottom"/>
            <w:hideMark/>
          </w:tcPr>
          <w:p w14:paraId="4F09B4D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2019</w:t>
            </w:r>
          </w:p>
        </w:tc>
        <w:tc>
          <w:tcPr>
            <w:tcW w:w="594" w:type="pct"/>
            <w:tcBorders>
              <w:top w:val="nil"/>
              <w:left w:val="nil"/>
              <w:bottom w:val="nil"/>
              <w:right w:val="nil"/>
            </w:tcBorders>
            <w:shd w:val="clear" w:color="auto" w:fill="auto"/>
            <w:noWrap/>
            <w:vAlign w:val="bottom"/>
            <w:hideMark/>
          </w:tcPr>
          <w:p w14:paraId="426ABC46"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972</w:t>
            </w:r>
          </w:p>
        </w:tc>
        <w:tc>
          <w:tcPr>
            <w:tcW w:w="594" w:type="pct"/>
            <w:tcBorders>
              <w:top w:val="nil"/>
              <w:left w:val="nil"/>
              <w:bottom w:val="nil"/>
              <w:right w:val="nil"/>
            </w:tcBorders>
            <w:shd w:val="clear" w:color="auto" w:fill="auto"/>
            <w:noWrap/>
            <w:vAlign w:val="bottom"/>
            <w:hideMark/>
          </w:tcPr>
          <w:p w14:paraId="13C5970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232</w:t>
            </w:r>
          </w:p>
        </w:tc>
        <w:tc>
          <w:tcPr>
            <w:tcW w:w="678" w:type="pct"/>
            <w:tcBorders>
              <w:top w:val="nil"/>
              <w:left w:val="nil"/>
              <w:bottom w:val="nil"/>
              <w:right w:val="nil"/>
            </w:tcBorders>
            <w:shd w:val="clear" w:color="auto" w:fill="auto"/>
            <w:noWrap/>
            <w:vAlign w:val="bottom"/>
            <w:hideMark/>
          </w:tcPr>
          <w:p w14:paraId="1E40D4D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1206</w:t>
            </w:r>
          </w:p>
        </w:tc>
        <w:tc>
          <w:tcPr>
            <w:tcW w:w="618" w:type="pct"/>
            <w:tcBorders>
              <w:top w:val="nil"/>
              <w:left w:val="nil"/>
              <w:bottom w:val="nil"/>
              <w:right w:val="nil"/>
            </w:tcBorders>
            <w:shd w:val="clear" w:color="auto" w:fill="auto"/>
            <w:noWrap/>
            <w:vAlign w:val="bottom"/>
            <w:hideMark/>
          </w:tcPr>
          <w:p w14:paraId="383142D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4185</w:t>
            </w:r>
          </w:p>
        </w:tc>
        <w:tc>
          <w:tcPr>
            <w:tcW w:w="704" w:type="pct"/>
            <w:tcBorders>
              <w:top w:val="nil"/>
              <w:left w:val="nil"/>
              <w:bottom w:val="nil"/>
              <w:right w:val="nil"/>
            </w:tcBorders>
            <w:shd w:val="clear" w:color="auto" w:fill="auto"/>
            <w:noWrap/>
            <w:vAlign w:val="bottom"/>
            <w:hideMark/>
          </w:tcPr>
          <w:p w14:paraId="54DF42E5"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81%</w:t>
            </w:r>
          </w:p>
        </w:tc>
        <w:tc>
          <w:tcPr>
            <w:tcW w:w="606" w:type="pct"/>
            <w:tcBorders>
              <w:top w:val="nil"/>
              <w:left w:val="nil"/>
              <w:bottom w:val="nil"/>
              <w:right w:val="nil"/>
            </w:tcBorders>
            <w:shd w:val="clear" w:color="auto" w:fill="auto"/>
            <w:noWrap/>
            <w:vAlign w:val="bottom"/>
            <w:hideMark/>
          </w:tcPr>
          <w:p w14:paraId="14163BE3"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19%</w:t>
            </w:r>
          </w:p>
        </w:tc>
        <w:tc>
          <w:tcPr>
            <w:tcW w:w="780" w:type="pct"/>
            <w:tcBorders>
              <w:top w:val="nil"/>
              <w:left w:val="nil"/>
              <w:bottom w:val="nil"/>
              <w:right w:val="nil"/>
            </w:tcBorders>
            <w:shd w:val="clear" w:color="auto" w:fill="auto"/>
            <w:noWrap/>
            <w:vAlign w:val="center"/>
            <w:hideMark/>
          </w:tcPr>
          <w:p w14:paraId="34042E2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62.2</w:t>
            </w:r>
          </w:p>
        </w:tc>
      </w:tr>
      <w:tr w:rsidR="000D3EFB" w:rsidRPr="00177604" w14:paraId="3CA76747" w14:textId="77777777" w:rsidTr="00A36AE8">
        <w:trPr>
          <w:trHeight w:val="260"/>
        </w:trPr>
        <w:tc>
          <w:tcPr>
            <w:tcW w:w="426" w:type="pct"/>
            <w:tcBorders>
              <w:top w:val="nil"/>
              <w:left w:val="nil"/>
              <w:bottom w:val="nil"/>
              <w:right w:val="nil"/>
            </w:tcBorders>
            <w:shd w:val="clear" w:color="auto" w:fill="auto"/>
            <w:noWrap/>
            <w:vAlign w:val="bottom"/>
            <w:hideMark/>
          </w:tcPr>
          <w:p w14:paraId="5B0DC299"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2020</w:t>
            </w:r>
          </w:p>
        </w:tc>
        <w:tc>
          <w:tcPr>
            <w:tcW w:w="594" w:type="pct"/>
            <w:tcBorders>
              <w:top w:val="nil"/>
              <w:left w:val="nil"/>
              <w:bottom w:val="nil"/>
              <w:right w:val="nil"/>
            </w:tcBorders>
            <w:shd w:val="clear" w:color="auto" w:fill="auto"/>
            <w:noWrap/>
            <w:vAlign w:val="bottom"/>
            <w:hideMark/>
          </w:tcPr>
          <w:p w14:paraId="39EF59C6"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1115</w:t>
            </w:r>
          </w:p>
        </w:tc>
        <w:tc>
          <w:tcPr>
            <w:tcW w:w="594" w:type="pct"/>
            <w:tcBorders>
              <w:top w:val="nil"/>
              <w:left w:val="nil"/>
              <w:bottom w:val="nil"/>
              <w:right w:val="nil"/>
            </w:tcBorders>
            <w:shd w:val="clear" w:color="auto" w:fill="auto"/>
            <w:noWrap/>
            <w:vAlign w:val="bottom"/>
            <w:hideMark/>
          </w:tcPr>
          <w:p w14:paraId="2E53D3E0"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251</w:t>
            </w:r>
          </w:p>
        </w:tc>
        <w:tc>
          <w:tcPr>
            <w:tcW w:w="678" w:type="pct"/>
            <w:tcBorders>
              <w:top w:val="nil"/>
              <w:left w:val="nil"/>
              <w:bottom w:val="nil"/>
              <w:right w:val="nil"/>
            </w:tcBorders>
            <w:shd w:val="clear" w:color="auto" w:fill="auto"/>
            <w:noWrap/>
            <w:vAlign w:val="bottom"/>
            <w:hideMark/>
          </w:tcPr>
          <w:p w14:paraId="60F41522"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1367</w:t>
            </w:r>
          </w:p>
        </w:tc>
        <w:tc>
          <w:tcPr>
            <w:tcW w:w="618" w:type="pct"/>
            <w:tcBorders>
              <w:top w:val="nil"/>
              <w:left w:val="nil"/>
              <w:bottom w:val="nil"/>
              <w:right w:val="nil"/>
            </w:tcBorders>
            <w:shd w:val="clear" w:color="auto" w:fill="auto"/>
            <w:noWrap/>
            <w:vAlign w:val="bottom"/>
            <w:hideMark/>
          </w:tcPr>
          <w:p w14:paraId="0EDBB49D"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5552</w:t>
            </w:r>
          </w:p>
        </w:tc>
        <w:tc>
          <w:tcPr>
            <w:tcW w:w="704" w:type="pct"/>
            <w:tcBorders>
              <w:top w:val="nil"/>
              <w:left w:val="nil"/>
              <w:bottom w:val="nil"/>
              <w:right w:val="nil"/>
            </w:tcBorders>
            <w:shd w:val="clear" w:color="auto" w:fill="auto"/>
            <w:noWrap/>
            <w:vAlign w:val="bottom"/>
            <w:hideMark/>
          </w:tcPr>
          <w:p w14:paraId="1DAC96CC"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82%</w:t>
            </w:r>
          </w:p>
        </w:tc>
        <w:tc>
          <w:tcPr>
            <w:tcW w:w="606" w:type="pct"/>
            <w:tcBorders>
              <w:top w:val="nil"/>
              <w:left w:val="nil"/>
              <w:bottom w:val="nil"/>
              <w:right w:val="nil"/>
            </w:tcBorders>
            <w:shd w:val="clear" w:color="auto" w:fill="auto"/>
            <w:noWrap/>
            <w:vAlign w:val="bottom"/>
            <w:hideMark/>
          </w:tcPr>
          <w:p w14:paraId="0121C696"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18%</w:t>
            </w:r>
          </w:p>
        </w:tc>
        <w:tc>
          <w:tcPr>
            <w:tcW w:w="780" w:type="pct"/>
            <w:tcBorders>
              <w:top w:val="nil"/>
              <w:left w:val="nil"/>
              <w:bottom w:val="nil"/>
              <w:right w:val="nil"/>
            </w:tcBorders>
            <w:shd w:val="clear" w:color="auto" w:fill="auto"/>
            <w:noWrap/>
            <w:vAlign w:val="center"/>
            <w:hideMark/>
          </w:tcPr>
          <w:p w14:paraId="07CC1DFF" w14:textId="77777777" w:rsidR="000D3EFB" w:rsidRPr="00177604" w:rsidRDefault="000D3EFB" w:rsidP="00A36AE8">
            <w:pPr>
              <w:rPr>
                <w:rFonts w:eastAsia="等线" w:cs="Times New Roman"/>
                <w:color w:val="000000"/>
                <w:sz w:val="22"/>
              </w:rPr>
            </w:pPr>
            <w:r w:rsidRPr="00177604">
              <w:rPr>
                <w:rFonts w:eastAsia="等线" w:cs="Times New Roman"/>
                <w:color w:val="000000"/>
                <w:sz w:val="22"/>
              </w:rPr>
              <w:t>63.6</w:t>
            </w:r>
          </w:p>
        </w:tc>
      </w:tr>
      <w:tr w:rsidR="000D3EFB" w:rsidRPr="00177604" w14:paraId="36968F34" w14:textId="77777777" w:rsidTr="00A36AE8">
        <w:trPr>
          <w:trHeight w:val="260"/>
        </w:trPr>
        <w:tc>
          <w:tcPr>
            <w:tcW w:w="426" w:type="pct"/>
            <w:tcBorders>
              <w:top w:val="nil"/>
              <w:left w:val="nil"/>
              <w:bottom w:val="single" w:sz="4" w:space="0" w:color="auto"/>
              <w:right w:val="nil"/>
            </w:tcBorders>
            <w:shd w:val="clear" w:color="auto" w:fill="auto"/>
            <w:noWrap/>
            <w:vAlign w:val="bottom"/>
          </w:tcPr>
          <w:p w14:paraId="7D31D123"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2021</w:t>
            </w:r>
          </w:p>
        </w:tc>
        <w:tc>
          <w:tcPr>
            <w:tcW w:w="594" w:type="pct"/>
            <w:tcBorders>
              <w:top w:val="nil"/>
              <w:left w:val="nil"/>
              <w:bottom w:val="single" w:sz="4" w:space="0" w:color="auto"/>
              <w:right w:val="nil"/>
            </w:tcBorders>
            <w:shd w:val="clear" w:color="auto" w:fill="auto"/>
            <w:noWrap/>
            <w:vAlign w:val="bottom"/>
          </w:tcPr>
          <w:p w14:paraId="7B313907"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2761</w:t>
            </w:r>
          </w:p>
        </w:tc>
        <w:tc>
          <w:tcPr>
            <w:tcW w:w="594" w:type="pct"/>
            <w:tcBorders>
              <w:top w:val="nil"/>
              <w:left w:val="nil"/>
              <w:bottom w:val="single" w:sz="4" w:space="0" w:color="auto"/>
              <w:right w:val="nil"/>
            </w:tcBorders>
            <w:shd w:val="clear" w:color="auto" w:fill="auto"/>
            <w:noWrap/>
            <w:vAlign w:val="bottom"/>
          </w:tcPr>
          <w:p w14:paraId="2A65B190"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598</w:t>
            </w:r>
          </w:p>
        </w:tc>
        <w:tc>
          <w:tcPr>
            <w:tcW w:w="678" w:type="pct"/>
            <w:tcBorders>
              <w:top w:val="nil"/>
              <w:left w:val="nil"/>
              <w:bottom w:val="single" w:sz="4" w:space="0" w:color="auto"/>
              <w:right w:val="nil"/>
            </w:tcBorders>
            <w:shd w:val="clear" w:color="auto" w:fill="auto"/>
            <w:noWrap/>
            <w:vAlign w:val="center"/>
          </w:tcPr>
          <w:p w14:paraId="1A59AA12"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3359</w:t>
            </w:r>
          </w:p>
        </w:tc>
        <w:tc>
          <w:tcPr>
            <w:tcW w:w="618" w:type="pct"/>
            <w:tcBorders>
              <w:top w:val="nil"/>
              <w:left w:val="nil"/>
              <w:bottom w:val="single" w:sz="4" w:space="0" w:color="auto"/>
              <w:right w:val="nil"/>
            </w:tcBorders>
            <w:shd w:val="clear" w:color="auto" w:fill="auto"/>
            <w:noWrap/>
            <w:vAlign w:val="center"/>
          </w:tcPr>
          <w:p w14:paraId="7CDE3653"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8911</w:t>
            </w:r>
          </w:p>
        </w:tc>
        <w:tc>
          <w:tcPr>
            <w:tcW w:w="704" w:type="pct"/>
            <w:tcBorders>
              <w:top w:val="nil"/>
              <w:left w:val="nil"/>
              <w:bottom w:val="single" w:sz="4" w:space="0" w:color="auto"/>
              <w:right w:val="nil"/>
            </w:tcBorders>
            <w:shd w:val="clear" w:color="auto" w:fill="auto"/>
            <w:noWrap/>
            <w:vAlign w:val="bottom"/>
          </w:tcPr>
          <w:p w14:paraId="73D6FA6C"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82%</w:t>
            </w:r>
          </w:p>
        </w:tc>
        <w:tc>
          <w:tcPr>
            <w:tcW w:w="606" w:type="pct"/>
            <w:tcBorders>
              <w:top w:val="nil"/>
              <w:left w:val="nil"/>
              <w:bottom w:val="single" w:sz="4" w:space="0" w:color="auto"/>
              <w:right w:val="nil"/>
            </w:tcBorders>
            <w:shd w:val="clear" w:color="auto" w:fill="auto"/>
            <w:noWrap/>
            <w:vAlign w:val="bottom"/>
          </w:tcPr>
          <w:p w14:paraId="1951ED35" w14:textId="77777777" w:rsidR="000D3EFB" w:rsidRPr="00177604" w:rsidRDefault="000D3EFB" w:rsidP="00A36AE8">
            <w:pPr>
              <w:rPr>
                <w:rFonts w:eastAsia="等线" w:cs="Times New Roman"/>
                <w:color w:val="000000"/>
                <w:sz w:val="22"/>
              </w:rPr>
            </w:pPr>
            <w:r w:rsidRPr="00C66DC0">
              <w:rPr>
                <w:rFonts w:eastAsia="等线" w:cs="Times New Roman" w:hint="eastAsia"/>
                <w:color w:val="000000"/>
                <w:sz w:val="22"/>
              </w:rPr>
              <w:t>18%</w:t>
            </w:r>
          </w:p>
        </w:tc>
        <w:tc>
          <w:tcPr>
            <w:tcW w:w="780" w:type="pct"/>
            <w:tcBorders>
              <w:top w:val="nil"/>
              <w:left w:val="nil"/>
              <w:bottom w:val="single" w:sz="4" w:space="0" w:color="auto"/>
              <w:right w:val="nil"/>
            </w:tcBorders>
            <w:shd w:val="clear" w:color="auto" w:fill="auto"/>
            <w:noWrap/>
            <w:vAlign w:val="center"/>
          </w:tcPr>
          <w:p w14:paraId="7705DA59" w14:textId="77777777" w:rsidR="000D3EFB" w:rsidRPr="00177604" w:rsidRDefault="000D3EFB" w:rsidP="00A36AE8">
            <w:pPr>
              <w:rPr>
                <w:rFonts w:eastAsia="等线" w:cs="Times New Roman"/>
                <w:color w:val="000000"/>
                <w:sz w:val="22"/>
              </w:rPr>
            </w:pPr>
            <w:r>
              <w:rPr>
                <w:rFonts w:eastAsia="等线" w:cs="Times New Roman" w:hint="eastAsia"/>
                <w:color w:val="000000"/>
                <w:sz w:val="22"/>
              </w:rPr>
              <w:t>1</w:t>
            </w:r>
            <w:r>
              <w:rPr>
                <w:rFonts w:eastAsia="等线" w:cs="Times New Roman"/>
                <w:color w:val="000000"/>
                <w:sz w:val="22"/>
              </w:rPr>
              <w:t>54.5</w:t>
            </w:r>
          </w:p>
        </w:tc>
      </w:tr>
    </w:tbl>
    <w:p w14:paraId="490095EE" w14:textId="77777777" w:rsidR="000D3EFB" w:rsidRDefault="000D3EFB" w:rsidP="00246661">
      <w:pPr>
        <w:jc w:val="both"/>
        <w:rPr>
          <w:rFonts w:cs="Times New Roman"/>
          <w:szCs w:val="24"/>
        </w:rPr>
      </w:pPr>
      <w:r>
        <w:rPr>
          <w:rFonts w:cs="Times New Roman" w:hint="eastAsia"/>
          <w:szCs w:val="24"/>
        </w:rPr>
        <w:t xml:space="preserve"> N</w:t>
      </w:r>
      <w:r>
        <w:rPr>
          <w:rFonts w:cs="Times New Roman"/>
          <w:szCs w:val="24"/>
        </w:rPr>
        <w:t xml:space="preserve">otes: (1) Units for EV sales and stock are 1000 </w:t>
      </w:r>
      <w:r>
        <w:rPr>
          <w:rFonts w:cs="Times New Roman" w:hint="eastAsia"/>
          <w:szCs w:val="24"/>
        </w:rPr>
        <w:t>unit</w:t>
      </w:r>
      <w:r>
        <w:rPr>
          <w:rFonts w:cs="Times New Roman"/>
          <w:szCs w:val="24"/>
        </w:rPr>
        <w:t>. Annual installed battery capacity is measured in GWh.</w:t>
      </w:r>
    </w:p>
    <w:p w14:paraId="3684B5B6" w14:textId="77777777" w:rsidR="000D3EFB" w:rsidRDefault="000D3EFB" w:rsidP="00246661">
      <w:pPr>
        <w:jc w:val="both"/>
        <w:rPr>
          <w:rFonts w:cs="Times New Roman"/>
          <w:szCs w:val="24"/>
        </w:rPr>
      </w:pPr>
      <w:r>
        <w:rPr>
          <w:rFonts w:cs="Times New Roman"/>
          <w:szCs w:val="24"/>
        </w:rPr>
        <w:t xml:space="preserve">(2)Annual EV sales are collected from </w:t>
      </w:r>
      <w:r w:rsidRPr="00F41E66">
        <w:rPr>
          <w:rFonts w:cs="Times New Roman"/>
          <w:szCs w:val="24"/>
        </w:rPr>
        <w:t>China Association of Automobile Manufacturers</w:t>
      </w:r>
      <w:r>
        <w:rPr>
          <w:rFonts w:cs="Times New Roman"/>
          <w:szCs w:val="24"/>
        </w:rPr>
        <w:t xml:space="preserve">, </w:t>
      </w:r>
      <w:hyperlink r:id="rId12" w:history="1">
        <w:r w:rsidRPr="00CA6302">
          <w:rPr>
            <w:rStyle w:val="afc"/>
            <w:rFonts w:cs="Times New Roman"/>
            <w:szCs w:val="24"/>
          </w:rPr>
          <w:t>http://lwzb.stats.gov.cn/pub/lwzb/zxgg/202107/W020210723348607396983.pdf</w:t>
        </w:r>
      </w:hyperlink>
      <w:r>
        <w:rPr>
          <w:rFonts w:cs="Times New Roman"/>
          <w:szCs w:val="24"/>
        </w:rPr>
        <w:t xml:space="preserve">; BEV and PHEV are collected by the authors from the website of MarkLines, </w:t>
      </w:r>
      <w:r w:rsidRPr="000B3EAB">
        <w:rPr>
          <w:rFonts w:cs="Times New Roman"/>
          <w:szCs w:val="24"/>
        </w:rPr>
        <w:t>https://www.marklines.com/en/vehicle_sales/free</w:t>
      </w:r>
      <w:r>
        <w:rPr>
          <w:rFonts w:cs="Times New Roman"/>
          <w:szCs w:val="24"/>
        </w:rPr>
        <w:t xml:space="preserve">.  </w:t>
      </w:r>
    </w:p>
    <w:p w14:paraId="1C3BD053" w14:textId="77777777" w:rsidR="000D3EFB" w:rsidRDefault="000D3EFB" w:rsidP="00246661">
      <w:pPr>
        <w:jc w:val="both"/>
        <w:rPr>
          <w:rFonts w:cs="Times New Roman"/>
          <w:szCs w:val="24"/>
        </w:rPr>
      </w:pPr>
      <w:r>
        <w:rPr>
          <w:rFonts w:cs="Times New Roman" w:hint="eastAsia"/>
          <w:szCs w:val="24"/>
        </w:rPr>
        <w:t>(</w:t>
      </w:r>
      <w:r>
        <w:rPr>
          <w:rFonts w:cs="Times New Roman"/>
          <w:szCs w:val="24"/>
        </w:rPr>
        <w:t xml:space="preserve">3) Annual installed battery capacity is collected by the authors from the news data issued by China Innovation Strategic Association for EV Battery Industry. </w:t>
      </w:r>
    </w:p>
    <w:p w14:paraId="3DB3C563" w14:textId="0E8B4AEC" w:rsidR="000D3EFB" w:rsidRDefault="000D3EFB" w:rsidP="000D3EFB">
      <w:pPr>
        <w:rPr>
          <w:rFonts w:cs="Times New Roman"/>
          <w:szCs w:val="24"/>
        </w:rPr>
      </w:pPr>
    </w:p>
    <w:p w14:paraId="10C6044C" w14:textId="179F92CE" w:rsidR="00246661" w:rsidRDefault="00246661" w:rsidP="000D3EFB">
      <w:pPr>
        <w:rPr>
          <w:rFonts w:cs="Times New Roman"/>
          <w:szCs w:val="24"/>
        </w:rPr>
      </w:pPr>
    </w:p>
    <w:p w14:paraId="5FCFAF58" w14:textId="3D8699E3" w:rsidR="00246661" w:rsidRDefault="00246661" w:rsidP="000D3EFB">
      <w:pPr>
        <w:rPr>
          <w:rFonts w:cs="Times New Roman"/>
          <w:szCs w:val="24"/>
        </w:rPr>
      </w:pPr>
    </w:p>
    <w:p w14:paraId="6FCA67EA" w14:textId="2B512516" w:rsidR="00246661" w:rsidRDefault="00246661" w:rsidP="00246661">
      <w:pPr>
        <w:jc w:val="center"/>
        <w:rPr>
          <w:rFonts w:cs="Times New Roman"/>
          <w:szCs w:val="24"/>
        </w:rPr>
      </w:pPr>
      <w:r w:rsidRPr="00246661">
        <w:rPr>
          <w:rFonts w:cs="Times New Roman"/>
          <w:szCs w:val="24"/>
        </w:rPr>
        <w:t xml:space="preserve">Table </w:t>
      </w:r>
      <w:r>
        <w:rPr>
          <w:rFonts w:cs="Times New Roman"/>
          <w:szCs w:val="24"/>
        </w:rPr>
        <w:t>S2.</w:t>
      </w:r>
      <w:r w:rsidRPr="00246661">
        <w:rPr>
          <w:rFonts w:cs="Times New Roman"/>
          <w:szCs w:val="24"/>
        </w:rPr>
        <w:t xml:space="preserve"> Descriptive statistics for EV data</w:t>
      </w:r>
    </w:p>
    <w:p w14:paraId="6E7BC5B5" w14:textId="77777777" w:rsidR="00246661" w:rsidRDefault="00246661" w:rsidP="00246661">
      <w:pPr>
        <w:widowControl w:val="0"/>
        <w:autoSpaceDE w:val="0"/>
        <w:autoSpaceDN w:val="0"/>
        <w:adjustRightInd w:val="0"/>
        <w:spacing w:before="1" w:after="0" w:line="50" w:lineRule="exact"/>
        <w:rPr>
          <w:rFonts w:cs="Times New Roman"/>
          <w:sz w:val="5"/>
          <w:szCs w:val="5"/>
        </w:rPr>
      </w:pPr>
    </w:p>
    <w:tbl>
      <w:tblPr>
        <w:tblW w:w="8255" w:type="dxa"/>
        <w:jc w:val="center"/>
        <w:tblCellMar>
          <w:left w:w="0" w:type="dxa"/>
          <w:right w:w="0" w:type="dxa"/>
        </w:tblCellMar>
        <w:tblLook w:val="0000" w:firstRow="0" w:lastRow="0" w:firstColumn="0" w:lastColumn="0" w:noHBand="0" w:noVBand="0"/>
      </w:tblPr>
      <w:tblGrid>
        <w:gridCol w:w="1416"/>
        <w:gridCol w:w="1209"/>
        <w:gridCol w:w="1048"/>
        <w:gridCol w:w="2019"/>
        <w:gridCol w:w="2563"/>
      </w:tblGrid>
      <w:tr w:rsidR="00246661" w:rsidRPr="00246661" w14:paraId="305A0E4A" w14:textId="77777777" w:rsidTr="0058341B">
        <w:trPr>
          <w:trHeight w:hRule="exact" w:val="804"/>
          <w:jc w:val="center"/>
        </w:trPr>
        <w:tc>
          <w:tcPr>
            <w:tcW w:w="1416" w:type="dxa"/>
            <w:tcBorders>
              <w:top w:val="single" w:sz="6" w:space="0" w:color="000000"/>
              <w:left w:val="nil"/>
              <w:bottom w:val="single" w:sz="4" w:space="0" w:color="000000"/>
              <w:right w:val="nil"/>
            </w:tcBorders>
          </w:tcPr>
          <w:p w14:paraId="1D5CA7F8" w14:textId="1801460A"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lastRenderedPageBreak/>
              <w:t>Statistic</w:t>
            </w:r>
            <w:r w:rsidR="00FB74DB">
              <w:rPr>
                <w:rFonts w:cs="Times New Roman"/>
                <w:szCs w:val="24"/>
              </w:rPr>
              <w:t>s</w:t>
            </w:r>
          </w:p>
        </w:tc>
        <w:tc>
          <w:tcPr>
            <w:tcW w:w="0" w:type="auto"/>
            <w:tcBorders>
              <w:top w:val="single" w:sz="6" w:space="0" w:color="000000"/>
              <w:left w:val="nil"/>
              <w:bottom w:val="single" w:sz="4" w:space="0" w:color="000000"/>
              <w:right w:val="nil"/>
            </w:tcBorders>
          </w:tcPr>
          <w:p w14:paraId="06A48846"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BEV</w:t>
            </w:r>
          </w:p>
        </w:tc>
        <w:tc>
          <w:tcPr>
            <w:tcW w:w="0" w:type="auto"/>
            <w:tcBorders>
              <w:top w:val="single" w:sz="6" w:space="0" w:color="000000"/>
              <w:left w:val="nil"/>
              <w:bottom w:val="single" w:sz="4" w:space="0" w:color="000000"/>
              <w:right w:val="nil"/>
            </w:tcBorders>
          </w:tcPr>
          <w:p w14:paraId="710C9B3A"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PHEV</w:t>
            </w:r>
          </w:p>
        </w:tc>
        <w:tc>
          <w:tcPr>
            <w:tcW w:w="0" w:type="auto"/>
            <w:tcBorders>
              <w:top w:val="single" w:sz="6" w:space="0" w:color="000000"/>
              <w:left w:val="nil"/>
              <w:bottom w:val="single" w:sz="4" w:space="0" w:color="000000"/>
              <w:right w:val="nil"/>
            </w:tcBorders>
          </w:tcPr>
          <w:p w14:paraId="0BABE9F3"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EV</w:t>
            </w:r>
            <w:r w:rsidRPr="00246661">
              <w:rPr>
                <w:rFonts w:cs="Times New Roman"/>
                <w:spacing w:val="-10"/>
                <w:szCs w:val="24"/>
              </w:rPr>
              <w:t xml:space="preserve"> </w:t>
            </w:r>
            <w:r w:rsidRPr="00246661">
              <w:rPr>
                <w:rFonts w:cs="Times New Roman"/>
                <w:w w:val="85"/>
                <w:szCs w:val="24"/>
              </w:rPr>
              <w:t>annual</w:t>
            </w:r>
            <w:r w:rsidRPr="00246661">
              <w:rPr>
                <w:rFonts w:cs="Times New Roman"/>
                <w:spacing w:val="22"/>
                <w:w w:val="85"/>
                <w:szCs w:val="24"/>
              </w:rPr>
              <w:t xml:space="preserve"> </w:t>
            </w:r>
            <w:r w:rsidRPr="00246661">
              <w:rPr>
                <w:rFonts w:cs="Times New Roman"/>
                <w:w w:val="85"/>
                <w:szCs w:val="24"/>
              </w:rPr>
              <w:t>sales</w:t>
            </w:r>
          </w:p>
        </w:tc>
        <w:tc>
          <w:tcPr>
            <w:tcW w:w="0" w:type="auto"/>
            <w:tcBorders>
              <w:top w:val="single" w:sz="6" w:space="0" w:color="000000"/>
              <w:left w:val="nil"/>
              <w:bottom w:val="single" w:sz="4" w:space="0" w:color="000000"/>
              <w:right w:val="nil"/>
            </w:tcBorders>
          </w:tcPr>
          <w:p w14:paraId="5D3AB5B7" w14:textId="659F7C51"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EV</w:t>
            </w:r>
            <w:r w:rsidRPr="00246661">
              <w:rPr>
                <w:rFonts w:cs="Times New Roman"/>
                <w:spacing w:val="-10"/>
                <w:szCs w:val="24"/>
              </w:rPr>
              <w:t xml:space="preserve"> </w:t>
            </w:r>
            <w:r w:rsidR="00B819B6" w:rsidRPr="00246661">
              <w:rPr>
                <w:rFonts w:cs="Times New Roman"/>
                <w:w w:val="86"/>
                <w:szCs w:val="24"/>
              </w:rPr>
              <w:t>cumulat</w:t>
            </w:r>
            <w:r w:rsidR="00B819B6" w:rsidRPr="00246661">
              <w:rPr>
                <w:rFonts w:cs="Times New Roman"/>
                <w:spacing w:val="-4"/>
                <w:w w:val="86"/>
                <w:szCs w:val="24"/>
              </w:rPr>
              <w:t>i</w:t>
            </w:r>
            <w:r w:rsidR="00B819B6" w:rsidRPr="00246661">
              <w:rPr>
                <w:rFonts w:cs="Times New Roman"/>
                <w:spacing w:val="-3"/>
                <w:w w:val="86"/>
                <w:szCs w:val="24"/>
              </w:rPr>
              <w:t>v</w:t>
            </w:r>
            <w:r w:rsidR="00B819B6" w:rsidRPr="00246661">
              <w:rPr>
                <w:rFonts w:cs="Times New Roman"/>
                <w:w w:val="86"/>
                <w:szCs w:val="24"/>
              </w:rPr>
              <w:t xml:space="preserve">e </w:t>
            </w:r>
            <w:r w:rsidR="00B819B6" w:rsidRPr="00246661">
              <w:rPr>
                <w:rFonts w:cs="Times New Roman"/>
                <w:spacing w:val="11"/>
                <w:w w:val="86"/>
                <w:szCs w:val="24"/>
              </w:rPr>
              <w:t>sales</w:t>
            </w:r>
          </w:p>
        </w:tc>
      </w:tr>
      <w:tr w:rsidR="00246661" w:rsidRPr="00246661" w14:paraId="66B42DB1" w14:textId="77777777" w:rsidTr="0058341B">
        <w:trPr>
          <w:trHeight w:hRule="exact" w:val="692"/>
          <w:jc w:val="center"/>
        </w:trPr>
        <w:tc>
          <w:tcPr>
            <w:tcW w:w="1416" w:type="dxa"/>
            <w:tcBorders>
              <w:top w:val="single" w:sz="4" w:space="0" w:color="000000"/>
              <w:left w:val="nil"/>
              <w:bottom w:val="nil"/>
              <w:right w:val="nil"/>
            </w:tcBorders>
          </w:tcPr>
          <w:p w14:paraId="09E2FA70"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Mean</w:t>
            </w:r>
          </w:p>
        </w:tc>
        <w:tc>
          <w:tcPr>
            <w:tcW w:w="0" w:type="auto"/>
            <w:tcBorders>
              <w:top w:val="single" w:sz="4" w:space="0" w:color="000000"/>
              <w:left w:val="nil"/>
              <w:bottom w:val="nil"/>
              <w:right w:val="nil"/>
            </w:tcBorders>
          </w:tcPr>
          <w:p w14:paraId="63AE4E16"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721.15</w:t>
            </w:r>
          </w:p>
        </w:tc>
        <w:tc>
          <w:tcPr>
            <w:tcW w:w="0" w:type="auto"/>
            <w:tcBorders>
              <w:top w:val="single" w:sz="4" w:space="0" w:color="000000"/>
              <w:left w:val="nil"/>
              <w:bottom w:val="nil"/>
              <w:right w:val="nil"/>
            </w:tcBorders>
          </w:tcPr>
          <w:p w14:paraId="30F6930F"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169.28</w:t>
            </w:r>
          </w:p>
        </w:tc>
        <w:tc>
          <w:tcPr>
            <w:tcW w:w="0" w:type="auto"/>
            <w:tcBorders>
              <w:top w:val="single" w:sz="4" w:space="0" w:color="000000"/>
              <w:left w:val="nil"/>
              <w:bottom w:val="nil"/>
              <w:right w:val="nil"/>
            </w:tcBorders>
          </w:tcPr>
          <w:p w14:paraId="7E7483F5"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890.78</w:t>
            </w:r>
          </w:p>
        </w:tc>
        <w:tc>
          <w:tcPr>
            <w:tcW w:w="0" w:type="auto"/>
            <w:tcBorders>
              <w:top w:val="single" w:sz="4" w:space="0" w:color="000000"/>
              <w:left w:val="nil"/>
              <w:bottom w:val="nil"/>
              <w:right w:val="nil"/>
            </w:tcBorders>
          </w:tcPr>
          <w:p w14:paraId="56F74237" w14:textId="77777777" w:rsidR="00246661" w:rsidRPr="00246661" w:rsidRDefault="00246661">
            <w:pPr>
              <w:widowControl w:val="0"/>
              <w:autoSpaceDE w:val="0"/>
              <w:autoSpaceDN w:val="0"/>
              <w:adjustRightInd w:val="0"/>
              <w:spacing w:before="44" w:after="0"/>
              <w:ind w:left="120" w:right="-20"/>
              <w:rPr>
                <w:rFonts w:cs="Times New Roman"/>
                <w:szCs w:val="24"/>
              </w:rPr>
            </w:pPr>
            <w:r w:rsidRPr="00246661">
              <w:rPr>
                <w:rFonts w:cs="Times New Roman"/>
                <w:szCs w:val="24"/>
              </w:rPr>
              <w:t>2489.34</w:t>
            </w:r>
          </w:p>
        </w:tc>
      </w:tr>
      <w:tr w:rsidR="00246661" w:rsidRPr="00246661" w14:paraId="76249F35" w14:textId="77777777" w:rsidTr="0058341B">
        <w:trPr>
          <w:trHeight w:hRule="exact" w:val="572"/>
          <w:jc w:val="center"/>
        </w:trPr>
        <w:tc>
          <w:tcPr>
            <w:tcW w:w="1416" w:type="dxa"/>
            <w:tcBorders>
              <w:top w:val="nil"/>
              <w:left w:val="nil"/>
              <w:bottom w:val="nil"/>
              <w:right w:val="nil"/>
            </w:tcBorders>
          </w:tcPr>
          <w:p w14:paraId="2949C6DA"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w w:val="87"/>
                <w:szCs w:val="24"/>
              </w:rPr>
              <w:t>St.</w:t>
            </w:r>
            <w:r w:rsidRPr="00246661">
              <w:rPr>
                <w:rFonts w:cs="Times New Roman"/>
                <w:spacing w:val="14"/>
                <w:w w:val="87"/>
                <w:szCs w:val="24"/>
              </w:rPr>
              <w:t xml:space="preserve"> </w:t>
            </w:r>
            <w:r w:rsidRPr="00246661">
              <w:rPr>
                <w:rFonts w:cs="Times New Roman"/>
                <w:szCs w:val="24"/>
              </w:rPr>
              <w:t>D</w:t>
            </w:r>
            <w:r w:rsidRPr="00246661">
              <w:rPr>
                <w:rFonts w:cs="Times New Roman"/>
                <w:spacing w:val="-5"/>
                <w:szCs w:val="24"/>
              </w:rPr>
              <w:t>e</w:t>
            </w:r>
            <w:r w:rsidRPr="00246661">
              <w:rPr>
                <w:rFonts w:cs="Times New Roman"/>
                <w:spacing w:val="-14"/>
                <w:szCs w:val="24"/>
              </w:rPr>
              <w:t>v</w:t>
            </w:r>
            <w:r w:rsidRPr="00246661">
              <w:rPr>
                <w:rFonts w:cs="Times New Roman"/>
                <w:szCs w:val="24"/>
              </w:rPr>
              <w:t>.</w:t>
            </w:r>
          </w:p>
        </w:tc>
        <w:tc>
          <w:tcPr>
            <w:tcW w:w="0" w:type="auto"/>
            <w:tcBorders>
              <w:top w:val="nil"/>
              <w:left w:val="nil"/>
              <w:bottom w:val="nil"/>
              <w:right w:val="nil"/>
            </w:tcBorders>
          </w:tcPr>
          <w:p w14:paraId="0E5E7416"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832.32</w:t>
            </w:r>
          </w:p>
        </w:tc>
        <w:tc>
          <w:tcPr>
            <w:tcW w:w="0" w:type="auto"/>
            <w:tcBorders>
              <w:top w:val="nil"/>
              <w:left w:val="nil"/>
              <w:bottom w:val="nil"/>
              <w:right w:val="nil"/>
            </w:tcBorders>
          </w:tcPr>
          <w:p w14:paraId="58983021"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180.87</w:t>
            </w:r>
          </w:p>
        </w:tc>
        <w:tc>
          <w:tcPr>
            <w:tcW w:w="0" w:type="auto"/>
            <w:tcBorders>
              <w:top w:val="nil"/>
              <w:left w:val="nil"/>
              <w:bottom w:val="nil"/>
              <w:right w:val="nil"/>
            </w:tcBorders>
          </w:tcPr>
          <w:p w14:paraId="617B4E68"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1012.41</w:t>
            </w:r>
          </w:p>
        </w:tc>
        <w:tc>
          <w:tcPr>
            <w:tcW w:w="0" w:type="auto"/>
            <w:tcBorders>
              <w:top w:val="nil"/>
              <w:left w:val="nil"/>
              <w:bottom w:val="nil"/>
              <w:right w:val="nil"/>
            </w:tcBorders>
          </w:tcPr>
          <w:p w14:paraId="527BE59D"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2957.49</w:t>
            </w:r>
          </w:p>
        </w:tc>
      </w:tr>
      <w:tr w:rsidR="00246661" w:rsidRPr="00246661" w14:paraId="3B4B9CB5" w14:textId="77777777" w:rsidTr="0058341B">
        <w:trPr>
          <w:trHeight w:hRule="exact" w:val="572"/>
          <w:jc w:val="center"/>
        </w:trPr>
        <w:tc>
          <w:tcPr>
            <w:tcW w:w="1416" w:type="dxa"/>
            <w:tcBorders>
              <w:top w:val="nil"/>
              <w:left w:val="nil"/>
              <w:bottom w:val="nil"/>
              <w:right w:val="nil"/>
            </w:tcBorders>
          </w:tcPr>
          <w:p w14:paraId="75FCB906"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w w:val="102"/>
                <w:szCs w:val="24"/>
              </w:rPr>
              <w:t>Min</w:t>
            </w:r>
          </w:p>
        </w:tc>
        <w:tc>
          <w:tcPr>
            <w:tcW w:w="0" w:type="auto"/>
            <w:tcBorders>
              <w:top w:val="nil"/>
              <w:left w:val="nil"/>
              <w:bottom w:val="nil"/>
              <w:right w:val="nil"/>
            </w:tcBorders>
          </w:tcPr>
          <w:p w14:paraId="7B531649"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11.38</w:t>
            </w:r>
          </w:p>
        </w:tc>
        <w:tc>
          <w:tcPr>
            <w:tcW w:w="0" w:type="auto"/>
            <w:tcBorders>
              <w:top w:val="nil"/>
              <w:left w:val="nil"/>
              <w:bottom w:val="nil"/>
              <w:right w:val="nil"/>
            </w:tcBorders>
          </w:tcPr>
          <w:p w14:paraId="3D8AD925"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1.42</w:t>
            </w:r>
          </w:p>
        </w:tc>
        <w:tc>
          <w:tcPr>
            <w:tcW w:w="0" w:type="auto"/>
            <w:tcBorders>
              <w:top w:val="nil"/>
              <w:left w:val="nil"/>
              <w:bottom w:val="nil"/>
              <w:right w:val="nil"/>
            </w:tcBorders>
          </w:tcPr>
          <w:p w14:paraId="12B92634"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12.79</w:t>
            </w:r>
          </w:p>
        </w:tc>
        <w:tc>
          <w:tcPr>
            <w:tcW w:w="0" w:type="auto"/>
            <w:tcBorders>
              <w:top w:val="nil"/>
              <w:left w:val="nil"/>
              <w:bottom w:val="nil"/>
              <w:right w:val="nil"/>
            </w:tcBorders>
          </w:tcPr>
          <w:p w14:paraId="63FB507C"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16.00</w:t>
            </w:r>
          </w:p>
        </w:tc>
      </w:tr>
      <w:tr w:rsidR="00246661" w:rsidRPr="00246661" w14:paraId="777C99E2" w14:textId="77777777" w:rsidTr="0058341B">
        <w:trPr>
          <w:trHeight w:hRule="exact" w:val="572"/>
          <w:jc w:val="center"/>
        </w:trPr>
        <w:tc>
          <w:tcPr>
            <w:tcW w:w="1416" w:type="dxa"/>
            <w:tcBorders>
              <w:top w:val="nil"/>
              <w:left w:val="nil"/>
              <w:bottom w:val="nil"/>
              <w:right w:val="nil"/>
            </w:tcBorders>
          </w:tcPr>
          <w:p w14:paraId="5EC7A8AA"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w w:val="86"/>
                <w:szCs w:val="24"/>
              </w:rPr>
              <w:t>1st</w:t>
            </w:r>
            <w:r w:rsidRPr="00246661">
              <w:rPr>
                <w:rFonts w:cs="Times New Roman"/>
                <w:spacing w:val="2"/>
                <w:w w:val="86"/>
                <w:szCs w:val="24"/>
              </w:rPr>
              <w:t xml:space="preserve"> </w:t>
            </w:r>
            <w:r w:rsidRPr="00246661">
              <w:rPr>
                <w:rFonts w:cs="Times New Roman"/>
                <w:szCs w:val="24"/>
              </w:rPr>
              <w:t>Qu.</w:t>
            </w:r>
          </w:p>
        </w:tc>
        <w:tc>
          <w:tcPr>
            <w:tcW w:w="0" w:type="auto"/>
            <w:tcBorders>
              <w:top w:val="nil"/>
              <w:left w:val="nil"/>
              <w:bottom w:val="nil"/>
              <w:right w:val="nil"/>
            </w:tcBorders>
          </w:tcPr>
          <w:p w14:paraId="2C9E6497"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95.66</w:t>
            </w:r>
          </w:p>
        </w:tc>
        <w:tc>
          <w:tcPr>
            <w:tcW w:w="0" w:type="auto"/>
            <w:tcBorders>
              <w:top w:val="nil"/>
              <w:left w:val="nil"/>
              <w:bottom w:val="nil"/>
              <w:right w:val="nil"/>
            </w:tcBorders>
          </w:tcPr>
          <w:p w14:paraId="5385BEBC"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43.19</w:t>
            </w:r>
          </w:p>
        </w:tc>
        <w:tc>
          <w:tcPr>
            <w:tcW w:w="0" w:type="auto"/>
            <w:tcBorders>
              <w:top w:val="nil"/>
              <w:left w:val="nil"/>
              <w:bottom w:val="nil"/>
              <w:right w:val="nil"/>
            </w:tcBorders>
          </w:tcPr>
          <w:p w14:paraId="4CF30FE2"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138.88</w:t>
            </w:r>
          </w:p>
        </w:tc>
        <w:tc>
          <w:tcPr>
            <w:tcW w:w="0" w:type="auto"/>
            <w:tcBorders>
              <w:top w:val="nil"/>
              <w:left w:val="nil"/>
              <w:bottom w:val="nil"/>
              <w:right w:val="nil"/>
            </w:tcBorders>
          </w:tcPr>
          <w:p w14:paraId="23B525EC"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191.20</w:t>
            </w:r>
          </w:p>
        </w:tc>
      </w:tr>
      <w:tr w:rsidR="00246661" w:rsidRPr="00246661" w14:paraId="68257B7F" w14:textId="77777777" w:rsidTr="0058341B">
        <w:trPr>
          <w:trHeight w:hRule="exact" w:val="572"/>
          <w:jc w:val="center"/>
        </w:trPr>
        <w:tc>
          <w:tcPr>
            <w:tcW w:w="1416" w:type="dxa"/>
            <w:tcBorders>
              <w:top w:val="nil"/>
              <w:left w:val="nil"/>
              <w:bottom w:val="nil"/>
              <w:right w:val="nil"/>
            </w:tcBorders>
          </w:tcPr>
          <w:p w14:paraId="02287A6D"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w w:val="91"/>
                <w:szCs w:val="24"/>
              </w:rPr>
              <w:t>3rd</w:t>
            </w:r>
            <w:r w:rsidRPr="00246661">
              <w:rPr>
                <w:rFonts w:cs="Times New Roman"/>
                <w:spacing w:val="-1"/>
                <w:w w:val="91"/>
                <w:szCs w:val="24"/>
              </w:rPr>
              <w:t xml:space="preserve"> </w:t>
            </w:r>
            <w:r w:rsidRPr="00246661">
              <w:rPr>
                <w:rFonts w:cs="Times New Roman"/>
                <w:szCs w:val="24"/>
              </w:rPr>
              <w:t>Qu.</w:t>
            </w:r>
          </w:p>
        </w:tc>
        <w:tc>
          <w:tcPr>
            <w:tcW w:w="0" w:type="auto"/>
            <w:tcBorders>
              <w:top w:val="nil"/>
              <w:left w:val="nil"/>
              <w:bottom w:val="nil"/>
              <w:right w:val="nil"/>
            </w:tcBorders>
          </w:tcPr>
          <w:p w14:paraId="65ED5CDF"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981.00</w:t>
            </w:r>
          </w:p>
        </w:tc>
        <w:tc>
          <w:tcPr>
            <w:tcW w:w="0" w:type="auto"/>
            <w:tcBorders>
              <w:top w:val="nil"/>
              <w:left w:val="nil"/>
              <w:bottom w:val="nil"/>
              <w:right w:val="nil"/>
            </w:tcBorders>
          </w:tcPr>
          <w:p w14:paraId="5E10B679"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246.25</w:t>
            </w:r>
          </w:p>
        </w:tc>
        <w:tc>
          <w:tcPr>
            <w:tcW w:w="0" w:type="auto"/>
            <w:tcBorders>
              <w:top w:val="nil"/>
              <w:left w:val="nil"/>
              <w:bottom w:val="nil"/>
              <w:right w:val="nil"/>
            </w:tcBorders>
          </w:tcPr>
          <w:p w14:paraId="42351A2C"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1243.65</w:t>
            </w:r>
          </w:p>
        </w:tc>
        <w:tc>
          <w:tcPr>
            <w:tcW w:w="0" w:type="auto"/>
            <w:tcBorders>
              <w:top w:val="nil"/>
              <w:left w:val="nil"/>
              <w:bottom w:val="nil"/>
              <w:right w:val="nil"/>
            </w:tcBorders>
          </w:tcPr>
          <w:p w14:paraId="0A39D823"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3883.50</w:t>
            </w:r>
          </w:p>
        </w:tc>
      </w:tr>
      <w:tr w:rsidR="00246661" w:rsidRPr="00246661" w14:paraId="4992B7C3" w14:textId="77777777" w:rsidTr="0058341B">
        <w:trPr>
          <w:trHeight w:hRule="exact" w:val="697"/>
          <w:jc w:val="center"/>
        </w:trPr>
        <w:tc>
          <w:tcPr>
            <w:tcW w:w="1416" w:type="dxa"/>
            <w:tcBorders>
              <w:top w:val="nil"/>
              <w:left w:val="nil"/>
              <w:bottom w:val="single" w:sz="6" w:space="0" w:color="000000"/>
              <w:right w:val="nil"/>
            </w:tcBorders>
          </w:tcPr>
          <w:p w14:paraId="00FFAD9A"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Max</w:t>
            </w:r>
          </w:p>
        </w:tc>
        <w:tc>
          <w:tcPr>
            <w:tcW w:w="0" w:type="auto"/>
            <w:tcBorders>
              <w:top w:val="nil"/>
              <w:left w:val="nil"/>
              <w:bottom w:val="single" w:sz="6" w:space="0" w:color="000000"/>
              <w:right w:val="nil"/>
            </w:tcBorders>
          </w:tcPr>
          <w:p w14:paraId="6BB3A716"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2161.00</w:t>
            </w:r>
          </w:p>
        </w:tc>
        <w:tc>
          <w:tcPr>
            <w:tcW w:w="0" w:type="auto"/>
            <w:tcBorders>
              <w:top w:val="nil"/>
              <w:left w:val="nil"/>
              <w:bottom w:val="single" w:sz="6" w:space="0" w:color="000000"/>
              <w:right w:val="nil"/>
            </w:tcBorders>
          </w:tcPr>
          <w:p w14:paraId="661DF565"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598.00</w:t>
            </w:r>
          </w:p>
        </w:tc>
        <w:tc>
          <w:tcPr>
            <w:tcW w:w="0" w:type="auto"/>
            <w:tcBorders>
              <w:top w:val="nil"/>
              <w:left w:val="nil"/>
              <w:bottom w:val="single" w:sz="6" w:space="0" w:color="000000"/>
              <w:right w:val="nil"/>
            </w:tcBorders>
          </w:tcPr>
          <w:p w14:paraId="265C198E"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3359.00</w:t>
            </w:r>
          </w:p>
        </w:tc>
        <w:tc>
          <w:tcPr>
            <w:tcW w:w="0" w:type="auto"/>
            <w:tcBorders>
              <w:top w:val="nil"/>
              <w:left w:val="nil"/>
              <w:bottom w:val="single" w:sz="6" w:space="0" w:color="000000"/>
              <w:right w:val="nil"/>
            </w:tcBorders>
          </w:tcPr>
          <w:p w14:paraId="364D2BB6" w14:textId="77777777" w:rsidR="00246661" w:rsidRPr="00246661" w:rsidRDefault="00246661">
            <w:pPr>
              <w:widowControl w:val="0"/>
              <w:autoSpaceDE w:val="0"/>
              <w:autoSpaceDN w:val="0"/>
              <w:adjustRightInd w:val="0"/>
              <w:spacing w:before="0" w:after="0" w:line="240" w:lineRule="exact"/>
              <w:ind w:left="120" w:right="-20"/>
              <w:rPr>
                <w:rFonts w:cs="Times New Roman"/>
                <w:szCs w:val="24"/>
              </w:rPr>
            </w:pPr>
            <w:r w:rsidRPr="00246661">
              <w:rPr>
                <w:rFonts w:cs="Times New Roman"/>
                <w:szCs w:val="24"/>
              </w:rPr>
              <w:t>8911.00</w:t>
            </w:r>
          </w:p>
        </w:tc>
      </w:tr>
    </w:tbl>
    <w:p w14:paraId="32B48227" w14:textId="77777777" w:rsidR="00246661" w:rsidRDefault="00246661" w:rsidP="000D3EFB">
      <w:pPr>
        <w:rPr>
          <w:rFonts w:cs="Times New Roman"/>
          <w:szCs w:val="24"/>
        </w:rPr>
      </w:pPr>
    </w:p>
    <w:p w14:paraId="34A83A83" w14:textId="77777777" w:rsidR="000D3EFB" w:rsidRDefault="000D3EFB" w:rsidP="000D3EFB">
      <w:pPr>
        <w:jc w:val="center"/>
        <w:rPr>
          <w:rFonts w:cs="Times New Roman"/>
          <w:szCs w:val="24"/>
        </w:rPr>
      </w:pPr>
      <w:r>
        <w:rPr>
          <w:noProof/>
        </w:rPr>
        <w:drawing>
          <wp:inline distT="0" distB="0" distL="0" distR="0" wp14:anchorId="567C12B1" wp14:editId="70E5EFD5">
            <wp:extent cx="5283200" cy="1085136"/>
            <wp:effectExtent l="0" t="0" r="0" b="1270"/>
            <wp:docPr id="2"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散点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3374" cy="1097495"/>
                    </a:xfrm>
                    <a:prstGeom prst="rect">
                      <a:avLst/>
                    </a:prstGeom>
                    <a:noFill/>
                    <a:ln>
                      <a:noFill/>
                    </a:ln>
                  </pic:spPr>
                </pic:pic>
              </a:graphicData>
            </a:graphic>
          </wp:inline>
        </w:drawing>
      </w:r>
    </w:p>
    <w:p w14:paraId="34D97B5F" w14:textId="77777777" w:rsidR="000D3EFB" w:rsidRDefault="000D3EFB" w:rsidP="00246661">
      <w:pPr>
        <w:jc w:val="both"/>
        <w:rPr>
          <w:rFonts w:cs="Times New Roman"/>
          <w:szCs w:val="24"/>
        </w:rPr>
      </w:pPr>
      <w:r>
        <w:rPr>
          <w:rFonts w:cs="Times New Roman"/>
          <w:szCs w:val="24"/>
        </w:rPr>
        <w:t xml:space="preserve">Figure S4: </w:t>
      </w:r>
      <w:r w:rsidRPr="004856D6">
        <w:rPr>
          <w:rFonts w:cs="Times New Roman"/>
          <w:szCs w:val="24"/>
        </w:rPr>
        <w:t xml:space="preserve">Annual cobalt demand for EVs under different scenarios. In the legend, </w:t>
      </w:r>
      <w:r w:rsidRPr="004856D6">
        <w:rPr>
          <w:rFonts w:cs="Times New Roman"/>
          <w:i/>
          <w:iCs/>
          <w:szCs w:val="24"/>
        </w:rPr>
        <w:t>High</w:t>
      </w:r>
      <w:r w:rsidRPr="004856D6">
        <w:rPr>
          <w:rFonts w:cs="Times New Roman"/>
          <w:szCs w:val="24"/>
        </w:rPr>
        <w:t xml:space="preserve"> denotes the high cobalt scenario, </w:t>
      </w:r>
      <w:r w:rsidRPr="004856D6">
        <w:rPr>
          <w:rFonts w:cs="Times New Roman"/>
          <w:i/>
          <w:iCs/>
          <w:szCs w:val="24"/>
        </w:rPr>
        <w:t>Medium</w:t>
      </w:r>
      <w:r w:rsidRPr="004856D6">
        <w:rPr>
          <w:rFonts w:cs="Times New Roman"/>
          <w:szCs w:val="24"/>
        </w:rPr>
        <w:t xml:space="preserve"> denotes the medium cobalt scenario, and </w:t>
      </w:r>
      <w:r w:rsidRPr="004856D6">
        <w:rPr>
          <w:rFonts w:cs="Times New Roman"/>
          <w:i/>
          <w:iCs/>
          <w:szCs w:val="24"/>
        </w:rPr>
        <w:t xml:space="preserve">Low </w:t>
      </w:r>
      <w:r w:rsidRPr="004856D6">
        <w:rPr>
          <w:rFonts w:cs="Times New Roman"/>
          <w:szCs w:val="24"/>
        </w:rPr>
        <w:t xml:space="preserve">represents the low cobalt scenario. This figure plots the </w:t>
      </w:r>
      <w:r>
        <w:rPr>
          <w:rFonts w:cs="Times New Roman"/>
          <w:szCs w:val="24"/>
        </w:rPr>
        <w:t>medium</w:t>
      </w:r>
      <w:r w:rsidRPr="004856D6">
        <w:rPr>
          <w:rFonts w:cs="Times New Roman"/>
          <w:szCs w:val="24"/>
        </w:rPr>
        <w:t xml:space="preserve"> scenario of ternary lithium battery market share</w:t>
      </w:r>
      <w:r>
        <w:rPr>
          <w:rFonts w:cs="Times New Roman"/>
          <w:szCs w:val="24"/>
        </w:rPr>
        <w:t xml:space="preserve"> (60%)</w:t>
      </w:r>
      <w:r w:rsidRPr="004856D6">
        <w:rPr>
          <w:rFonts w:cs="Times New Roman"/>
          <w:szCs w:val="24"/>
        </w:rPr>
        <w:t>.</w:t>
      </w:r>
    </w:p>
    <w:p w14:paraId="165EC5CE" w14:textId="77777777" w:rsidR="000D3EFB" w:rsidRDefault="000D3EFB" w:rsidP="000D3EFB">
      <w:pPr>
        <w:rPr>
          <w:rFonts w:cs="Times New Roman"/>
          <w:szCs w:val="24"/>
        </w:rPr>
      </w:pPr>
    </w:p>
    <w:p w14:paraId="4CD71E97" w14:textId="77777777" w:rsidR="000D3EFB" w:rsidRDefault="000D3EFB" w:rsidP="00AF4056">
      <w:pPr>
        <w:jc w:val="center"/>
        <w:rPr>
          <w:rFonts w:cs="Times New Roman"/>
          <w:szCs w:val="24"/>
        </w:rPr>
      </w:pPr>
      <w:r>
        <w:rPr>
          <w:noProof/>
        </w:rPr>
        <w:drawing>
          <wp:inline distT="0" distB="0" distL="0" distR="0" wp14:anchorId="402EAEEC" wp14:editId="59F966FA">
            <wp:extent cx="5274310" cy="1009650"/>
            <wp:effectExtent l="0" t="0" r="2540" b="0"/>
            <wp:docPr id="3"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009650"/>
                    </a:xfrm>
                    <a:prstGeom prst="rect">
                      <a:avLst/>
                    </a:prstGeom>
                    <a:noFill/>
                    <a:ln>
                      <a:noFill/>
                    </a:ln>
                  </pic:spPr>
                </pic:pic>
              </a:graphicData>
            </a:graphic>
          </wp:inline>
        </w:drawing>
      </w:r>
    </w:p>
    <w:p w14:paraId="73BD6DE1" w14:textId="77777777" w:rsidR="000D3EFB" w:rsidRDefault="000D3EFB" w:rsidP="00246661">
      <w:pPr>
        <w:jc w:val="both"/>
        <w:rPr>
          <w:rFonts w:cs="Times New Roman"/>
          <w:szCs w:val="24"/>
        </w:rPr>
      </w:pPr>
      <w:r>
        <w:rPr>
          <w:rFonts w:cs="Times New Roman"/>
          <w:szCs w:val="24"/>
        </w:rPr>
        <w:t xml:space="preserve">Figure S5: </w:t>
      </w:r>
      <w:r w:rsidRPr="004856D6">
        <w:rPr>
          <w:rFonts w:cs="Times New Roman"/>
          <w:szCs w:val="24"/>
        </w:rPr>
        <w:t xml:space="preserve">Annual cobalt demand for EVs under different scenarios. In the legend, </w:t>
      </w:r>
      <w:r w:rsidRPr="004856D6">
        <w:rPr>
          <w:rFonts w:cs="Times New Roman"/>
          <w:i/>
          <w:iCs/>
          <w:szCs w:val="24"/>
        </w:rPr>
        <w:t>High</w:t>
      </w:r>
      <w:r w:rsidRPr="004856D6">
        <w:rPr>
          <w:rFonts w:cs="Times New Roman"/>
          <w:szCs w:val="24"/>
        </w:rPr>
        <w:t xml:space="preserve"> denotes the high cobalt scenario, </w:t>
      </w:r>
      <w:r w:rsidRPr="004856D6">
        <w:rPr>
          <w:rFonts w:cs="Times New Roman"/>
          <w:i/>
          <w:iCs/>
          <w:szCs w:val="24"/>
        </w:rPr>
        <w:t>Medium</w:t>
      </w:r>
      <w:r w:rsidRPr="004856D6">
        <w:rPr>
          <w:rFonts w:cs="Times New Roman"/>
          <w:szCs w:val="24"/>
        </w:rPr>
        <w:t xml:space="preserve"> denotes the medium cobalt scenario, and </w:t>
      </w:r>
      <w:r w:rsidRPr="004856D6">
        <w:rPr>
          <w:rFonts w:cs="Times New Roman"/>
          <w:i/>
          <w:iCs/>
          <w:szCs w:val="24"/>
        </w:rPr>
        <w:t xml:space="preserve">Low </w:t>
      </w:r>
      <w:r w:rsidRPr="004856D6">
        <w:rPr>
          <w:rFonts w:cs="Times New Roman"/>
          <w:szCs w:val="24"/>
        </w:rPr>
        <w:t xml:space="preserve">represents the low cobalt scenario. This figure plots the </w:t>
      </w:r>
      <w:r>
        <w:rPr>
          <w:rFonts w:cs="Times New Roman"/>
          <w:szCs w:val="24"/>
        </w:rPr>
        <w:t>low</w:t>
      </w:r>
      <w:r w:rsidRPr="004856D6">
        <w:rPr>
          <w:rFonts w:cs="Times New Roman"/>
          <w:szCs w:val="24"/>
        </w:rPr>
        <w:t xml:space="preserve"> scenario of ternary lithium battery market share</w:t>
      </w:r>
      <w:r>
        <w:rPr>
          <w:rFonts w:cs="Times New Roman"/>
          <w:szCs w:val="24"/>
        </w:rPr>
        <w:t xml:space="preserve"> (50%)</w:t>
      </w:r>
      <w:r w:rsidRPr="004856D6">
        <w:rPr>
          <w:rFonts w:cs="Times New Roman"/>
          <w:szCs w:val="24"/>
        </w:rPr>
        <w:t>.</w:t>
      </w:r>
    </w:p>
    <w:p w14:paraId="677A760C" w14:textId="77777777" w:rsidR="000D3EFB" w:rsidRPr="000D3EFB" w:rsidRDefault="000D3EFB" w:rsidP="000D3EFB"/>
    <w:sectPr w:rsidR="000D3EFB" w:rsidRPr="000D3EFB"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D325F" w14:textId="77777777" w:rsidR="00EB699C" w:rsidRDefault="00EB699C" w:rsidP="00117666">
      <w:pPr>
        <w:spacing w:after="0"/>
      </w:pPr>
      <w:r>
        <w:separator/>
      </w:r>
    </w:p>
  </w:endnote>
  <w:endnote w:type="continuationSeparator" w:id="0">
    <w:p w14:paraId="7803C84D" w14:textId="77777777" w:rsidR="00EB699C" w:rsidRDefault="00EB699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3E40" w14:textId="77777777" w:rsidR="00EB699C" w:rsidRDefault="00EB699C" w:rsidP="00117666">
      <w:pPr>
        <w:spacing w:after="0"/>
      </w:pPr>
      <w:r>
        <w:separator/>
      </w:r>
    </w:p>
  </w:footnote>
  <w:footnote w:type="continuationSeparator" w:id="0">
    <w:p w14:paraId="53DC64B3" w14:textId="77777777" w:rsidR="00EB699C" w:rsidRDefault="00EB699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98780727">
    <w:abstractNumId w:val="0"/>
  </w:num>
  <w:num w:numId="2" w16cid:durableId="1692610455">
    <w:abstractNumId w:val="4"/>
  </w:num>
  <w:num w:numId="3" w16cid:durableId="1405227981">
    <w:abstractNumId w:val="1"/>
  </w:num>
  <w:num w:numId="4" w16cid:durableId="489827425">
    <w:abstractNumId w:val="5"/>
  </w:num>
  <w:num w:numId="5" w16cid:durableId="1024938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1981163">
    <w:abstractNumId w:val="3"/>
  </w:num>
  <w:num w:numId="7" w16cid:durableId="302125514">
    <w:abstractNumId w:val="6"/>
  </w:num>
  <w:num w:numId="8" w16cid:durableId="1589773342">
    <w:abstractNumId w:val="6"/>
  </w:num>
  <w:num w:numId="9" w16cid:durableId="198902322">
    <w:abstractNumId w:val="6"/>
  </w:num>
  <w:num w:numId="10" w16cid:durableId="1343512348">
    <w:abstractNumId w:val="6"/>
  </w:num>
  <w:num w:numId="11" w16cid:durableId="246113414">
    <w:abstractNumId w:val="6"/>
  </w:num>
  <w:num w:numId="12" w16cid:durableId="1241717062">
    <w:abstractNumId w:val="6"/>
  </w:num>
  <w:num w:numId="13" w16cid:durableId="1914705669">
    <w:abstractNumId w:val="3"/>
  </w:num>
  <w:num w:numId="14" w16cid:durableId="1584948639">
    <w:abstractNumId w:val="2"/>
  </w:num>
  <w:num w:numId="15" w16cid:durableId="1362048387">
    <w:abstractNumId w:val="2"/>
  </w:num>
  <w:num w:numId="16" w16cid:durableId="1154879857">
    <w:abstractNumId w:val="2"/>
  </w:num>
  <w:num w:numId="17" w16cid:durableId="1521239762">
    <w:abstractNumId w:val="2"/>
  </w:num>
  <w:num w:numId="18" w16cid:durableId="1082415684">
    <w:abstractNumId w:val="2"/>
  </w:num>
  <w:num w:numId="19" w16cid:durableId="1676881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D3EFB"/>
    <w:rsid w:val="000D6A21"/>
    <w:rsid w:val="00105FD9"/>
    <w:rsid w:val="00117666"/>
    <w:rsid w:val="001549D3"/>
    <w:rsid w:val="00160065"/>
    <w:rsid w:val="00177D84"/>
    <w:rsid w:val="001D0751"/>
    <w:rsid w:val="001F4F49"/>
    <w:rsid w:val="00246661"/>
    <w:rsid w:val="00267D18"/>
    <w:rsid w:val="00274347"/>
    <w:rsid w:val="002868E2"/>
    <w:rsid w:val="002869C3"/>
    <w:rsid w:val="002936E4"/>
    <w:rsid w:val="002B4A57"/>
    <w:rsid w:val="002C74CA"/>
    <w:rsid w:val="003123F4"/>
    <w:rsid w:val="003544FB"/>
    <w:rsid w:val="00361766"/>
    <w:rsid w:val="003D2F2D"/>
    <w:rsid w:val="00401590"/>
    <w:rsid w:val="00447801"/>
    <w:rsid w:val="00452E9C"/>
    <w:rsid w:val="0047174D"/>
    <w:rsid w:val="004735C8"/>
    <w:rsid w:val="004947A6"/>
    <w:rsid w:val="004961FF"/>
    <w:rsid w:val="00517A89"/>
    <w:rsid w:val="005250F2"/>
    <w:rsid w:val="0058341B"/>
    <w:rsid w:val="00593EEA"/>
    <w:rsid w:val="005A5EEE"/>
    <w:rsid w:val="005F4B82"/>
    <w:rsid w:val="006375C7"/>
    <w:rsid w:val="00654E8F"/>
    <w:rsid w:val="00660D05"/>
    <w:rsid w:val="006820B1"/>
    <w:rsid w:val="006B7D14"/>
    <w:rsid w:val="00701727"/>
    <w:rsid w:val="0070566C"/>
    <w:rsid w:val="00714C50"/>
    <w:rsid w:val="00725A7D"/>
    <w:rsid w:val="007501BE"/>
    <w:rsid w:val="00790BB3"/>
    <w:rsid w:val="007C206C"/>
    <w:rsid w:val="00817DD6"/>
    <w:rsid w:val="00836528"/>
    <w:rsid w:val="0083759F"/>
    <w:rsid w:val="00885156"/>
    <w:rsid w:val="008F0ABC"/>
    <w:rsid w:val="009151AA"/>
    <w:rsid w:val="0093429D"/>
    <w:rsid w:val="00943573"/>
    <w:rsid w:val="00964134"/>
    <w:rsid w:val="00970F7D"/>
    <w:rsid w:val="00994A3D"/>
    <w:rsid w:val="009C2B12"/>
    <w:rsid w:val="00A174D9"/>
    <w:rsid w:val="00AA4D24"/>
    <w:rsid w:val="00AB6715"/>
    <w:rsid w:val="00AF4056"/>
    <w:rsid w:val="00B1671E"/>
    <w:rsid w:val="00B25EB8"/>
    <w:rsid w:val="00B37F4D"/>
    <w:rsid w:val="00B819B6"/>
    <w:rsid w:val="00C311A1"/>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B699C"/>
    <w:rsid w:val="00EC090A"/>
    <w:rsid w:val="00ED20B5"/>
    <w:rsid w:val="00EF686A"/>
    <w:rsid w:val="00F46900"/>
    <w:rsid w:val="00F61D89"/>
    <w:rsid w:val="00FB7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Authornames">
    <w:name w:val="Author names"/>
    <w:basedOn w:val="a0"/>
    <w:next w:val="a0"/>
    <w:qFormat/>
    <w:rsid w:val="000D3EFB"/>
    <w:pPr>
      <w:spacing w:before="240" w:after="0" w:line="360" w:lineRule="auto"/>
    </w:pPr>
    <w:rPr>
      <w:rFonts w:eastAsia="Times New Roman" w:cs="Times New Roman"/>
      <w:sz w:val="28"/>
      <w:szCs w:val="24"/>
      <w:lang w:val="en-GB" w:eastAsia="en-GB"/>
    </w:rPr>
  </w:style>
  <w:style w:type="paragraph" w:customStyle="1" w:styleId="Affiliation">
    <w:name w:val="Affiliation"/>
    <w:basedOn w:val="a0"/>
    <w:qFormat/>
    <w:rsid w:val="000D3EFB"/>
    <w:pPr>
      <w:spacing w:before="240" w:after="0" w:line="360" w:lineRule="auto"/>
    </w:pPr>
    <w:rPr>
      <w:rFonts w:eastAsia="Times New Roman" w:cs="Times New Roman"/>
      <w:i/>
      <w:szCs w:val="24"/>
      <w:lang w:val="en-GB" w:eastAsia="en-GB"/>
    </w:rPr>
  </w:style>
  <w:style w:type="paragraph" w:customStyle="1" w:styleId="Correspondencedetails">
    <w:name w:val="Correspondence details"/>
    <w:basedOn w:val="a0"/>
    <w:qFormat/>
    <w:rsid w:val="000D3EFB"/>
    <w:pPr>
      <w:spacing w:before="240" w:after="0" w:line="360" w:lineRule="auto"/>
    </w:pPr>
    <w:rPr>
      <w:rFonts w:eastAsia="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qing@szu.edu.cn"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wzb.stats.gov.cn/pub/lwzb/zxgg/202107/W020210723348607396983.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TotalTime>
  <Pages>4</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Sun Xiaoqi</cp:lastModifiedBy>
  <cp:revision>13</cp:revision>
  <cp:lastPrinted>2013-10-03T12:51:00Z</cp:lastPrinted>
  <dcterms:created xsi:type="dcterms:W3CDTF">2018-11-23T08:58:00Z</dcterms:created>
  <dcterms:modified xsi:type="dcterms:W3CDTF">2022-04-06T07:09:00Z</dcterms:modified>
</cp:coreProperties>
</file>