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D5A427" w14:textId="7797AC24" w:rsidR="00EA3D3C" w:rsidRPr="00994A3D" w:rsidRDefault="007C4C8F" w:rsidP="007C4C8F">
      <w:pPr>
        <w:pStyle w:val="Ttulo1"/>
        <w:numPr>
          <w:ilvl w:val="0"/>
          <w:numId w:val="0"/>
        </w:numPr>
      </w:pPr>
      <w:r w:rsidRPr="007C4C8F">
        <w:t>Supplementary Methods</w:t>
      </w:r>
    </w:p>
    <w:p w14:paraId="141592AF" w14:textId="6B603653" w:rsidR="00B05534" w:rsidRPr="00994A3D" w:rsidRDefault="00B05534" w:rsidP="00994A3D">
      <w:pPr>
        <w:jc w:val="both"/>
        <w:rPr>
          <w:rFonts w:cs="Times New Roman"/>
          <w:szCs w:val="24"/>
        </w:rPr>
      </w:pPr>
      <w:r w:rsidRPr="00B05534">
        <w:rPr>
          <w:rFonts w:cs="Times New Roman"/>
          <w:szCs w:val="24"/>
        </w:rPr>
        <w:t xml:space="preserve">These supplementary methods are based on the proposals of </w:t>
      </w:r>
      <w:proofErr w:type="spellStart"/>
      <w:r w:rsidRPr="00B05534">
        <w:rPr>
          <w:rFonts w:cs="Times New Roman"/>
          <w:szCs w:val="24"/>
        </w:rPr>
        <w:t>Câmara</w:t>
      </w:r>
      <w:proofErr w:type="spellEnd"/>
      <w:r w:rsidRPr="00B05534">
        <w:rPr>
          <w:rFonts w:cs="Times New Roman"/>
          <w:szCs w:val="24"/>
        </w:rPr>
        <w:t xml:space="preserve"> et al. (2020, 2021), Nelson et al. (2015, 2018), and Nelson and Grubesic (2018) for composing the indicator presented methodology of this study.</w:t>
      </w:r>
    </w:p>
    <w:p w14:paraId="4D059444" w14:textId="5E1E79F1" w:rsidR="00994A3D" w:rsidRPr="00994A3D" w:rsidRDefault="007C4C8F" w:rsidP="007C4C8F">
      <w:pPr>
        <w:pStyle w:val="Ttulo1"/>
      </w:pPr>
      <w:r w:rsidRPr="007C4C8F">
        <w:t>Data selection in mapping</w:t>
      </w:r>
    </w:p>
    <w:p w14:paraId="516792AB" w14:textId="1D3B85D1" w:rsidR="007C4C8F" w:rsidRDefault="007C4C8F" w:rsidP="007C4C8F">
      <w:pPr>
        <w:ind w:firstLine="709"/>
        <w:jc w:val="both"/>
        <w:rPr>
          <w:rFonts w:cs="Times New Roman"/>
          <w:szCs w:val="24"/>
        </w:rPr>
      </w:pPr>
      <w:r w:rsidRPr="007C4C8F">
        <w:rPr>
          <w:rFonts w:cs="Times New Roman"/>
          <w:szCs w:val="24"/>
        </w:rPr>
        <w:t xml:space="preserve">The 68 MPAs locations analyzed were assembled into 37 digital maps using My Maps. Each map had an area of 25 km in length, having as a central point the </w:t>
      </w:r>
      <w:proofErr w:type="spellStart"/>
      <w:r w:rsidRPr="007C4C8F">
        <w:rPr>
          <w:rFonts w:cs="Times New Roman"/>
          <w:szCs w:val="24"/>
        </w:rPr>
        <w:t>georeferences</w:t>
      </w:r>
      <w:proofErr w:type="spellEnd"/>
      <w:r w:rsidRPr="007C4C8F">
        <w:rPr>
          <w:rFonts w:cs="Times New Roman"/>
          <w:szCs w:val="24"/>
        </w:rPr>
        <w:t xml:space="preserve"> of the oil spills that were made online available by </w:t>
      </w:r>
      <w:proofErr w:type="spellStart"/>
      <w:r w:rsidRPr="007C4C8F">
        <w:rPr>
          <w:rFonts w:cs="Times New Roman"/>
          <w:szCs w:val="24"/>
        </w:rPr>
        <w:t>Ibama</w:t>
      </w:r>
      <w:proofErr w:type="spellEnd"/>
      <w:r w:rsidRPr="007C4C8F">
        <w:rPr>
          <w:rFonts w:cs="Times New Roman"/>
          <w:szCs w:val="24"/>
        </w:rPr>
        <w:t xml:space="preserve"> (2020). However, 15 locations summarized in 4 maps, where no oil residues were spotted, were considered in the mapping, since the impact of the disaster was felt indirectly in the neighboring regions. In these locations (Table 1), we used the closest georeferenced spills and, consequently, had areas larger than 25 km.</w:t>
      </w:r>
    </w:p>
    <w:p w14:paraId="22C19F39" w14:textId="77777777" w:rsidR="00560596" w:rsidRPr="000C5D6B" w:rsidRDefault="00560596" w:rsidP="00560596">
      <w:pPr>
        <w:spacing w:after="0"/>
        <w:jc w:val="center"/>
        <w:rPr>
          <w:rFonts w:eastAsia="Times New Roman" w:cs="Times New Roman"/>
          <w:sz w:val="20"/>
          <w:szCs w:val="20"/>
        </w:rPr>
      </w:pPr>
      <w:r w:rsidRPr="000C5D6B">
        <w:rPr>
          <w:rFonts w:eastAsia="Times New Roman" w:cs="Times New Roman"/>
          <w:b/>
          <w:sz w:val="20"/>
          <w:szCs w:val="20"/>
        </w:rPr>
        <w:t xml:space="preserve">Table 1 – </w:t>
      </w:r>
      <w:r w:rsidRPr="000C5D6B">
        <w:rPr>
          <w:rFonts w:eastAsia="Times New Roman" w:cs="Times New Roman"/>
          <w:sz w:val="20"/>
          <w:szCs w:val="20"/>
        </w:rPr>
        <w:t>Mapped locations where no oil stains was spotted</w:t>
      </w:r>
    </w:p>
    <w:tbl>
      <w:tblPr>
        <w:tblW w:w="7947"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50"/>
        <w:gridCol w:w="1170"/>
        <w:gridCol w:w="1485"/>
        <w:gridCol w:w="2799"/>
        <w:gridCol w:w="1443"/>
      </w:tblGrid>
      <w:tr w:rsidR="00560596" w14:paraId="5AE11A06" w14:textId="77777777" w:rsidTr="000878CE">
        <w:trPr>
          <w:jc w:val="center"/>
        </w:trPr>
        <w:tc>
          <w:tcPr>
            <w:tcW w:w="1050" w:type="dxa"/>
            <w:tcBorders>
              <w:top w:val="single" w:sz="4" w:space="0" w:color="000000"/>
              <w:left w:val="single" w:sz="4" w:space="0" w:color="000000"/>
              <w:bottom w:val="single" w:sz="4" w:space="0" w:color="000000"/>
            </w:tcBorders>
            <w:vAlign w:val="center"/>
          </w:tcPr>
          <w:p w14:paraId="790604DA" w14:textId="77777777" w:rsidR="00560596" w:rsidRDefault="00560596" w:rsidP="00560596">
            <w:pPr>
              <w:spacing w:before="0" w:after="0"/>
              <w:jc w:val="center"/>
              <w:rPr>
                <w:rFonts w:eastAsia="Times New Roman" w:cs="Times New Roman"/>
                <w:b/>
                <w:sz w:val="20"/>
                <w:szCs w:val="20"/>
              </w:rPr>
            </w:pPr>
            <w:r>
              <w:rPr>
                <w:rFonts w:eastAsia="Times New Roman" w:cs="Times New Roman"/>
                <w:b/>
                <w:sz w:val="20"/>
                <w:szCs w:val="20"/>
              </w:rPr>
              <w:t xml:space="preserve">Map n° </w:t>
            </w:r>
          </w:p>
        </w:tc>
        <w:tc>
          <w:tcPr>
            <w:tcW w:w="1170" w:type="dxa"/>
            <w:tcBorders>
              <w:top w:val="single" w:sz="4" w:space="0" w:color="000000"/>
              <w:bottom w:val="single" w:sz="4" w:space="0" w:color="000000"/>
            </w:tcBorders>
            <w:vAlign w:val="center"/>
          </w:tcPr>
          <w:p w14:paraId="76F51368" w14:textId="77777777" w:rsidR="00560596" w:rsidRDefault="00560596" w:rsidP="00560596">
            <w:pPr>
              <w:spacing w:before="0" w:after="0"/>
              <w:jc w:val="center"/>
              <w:rPr>
                <w:rFonts w:eastAsia="Times New Roman" w:cs="Times New Roman"/>
                <w:b/>
                <w:sz w:val="20"/>
                <w:szCs w:val="20"/>
              </w:rPr>
            </w:pPr>
            <w:r>
              <w:rPr>
                <w:rFonts w:eastAsia="Times New Roman" w:cs="Times New Roman"/>
                <w:b/>
                <w:sz w:val="20"/>
                <w:szCs w:val="20"/>
              </w:rPr>
              <w:t>State</w:t>
            </w:r>
          </w:p>
        </w:tc>
        <w:tc>
          <w:tcPr>
            <w:tcW w:w="1485" w:type="dxa"/>
            <w:tcBorders>
              <w:top w:val="single" w:sz="4" w:space="0" w:color="000000"/>
              <w:bottom w:val="single" w:sz="4" w:space="0" w:color="000000"/>
            </w:tcBorders>
            <w:vAlign w:val="center"/>
          </w:tcPr>
          <w:p w14:paraId="32F6727F" w14:textId="77777777" w:rsidR="00560596" w:rsidRDefault="00560596" w:rsidP="00560596">
            <w:pPr>
              <w:spacing w:before="0" w:after="0"/>
              <w:jc w:val="center"/>
              <w:rPr>
                <w:rFonts w:eastAsia="Times New Roman" w:cs="Times New Roman"/>
                <w:b/>
                <w:sz w:val="20"/>
                <w:szCs w:val="20"/>
              </w:rPr>
            </w:pPr>
            <w:r>
              <w:rPr>
                <w:rFonts w:eastAsia="Times New Roman" w:cs="Times New Roman"/>
                <w:b/>
                <w:sz w:val="20"/>
                <w:szCs w:val="20"/>
              </w:rPr>
              <w:t>Municipality</w:t>
            </w:r>
          </w:p>
        </w:tc>
        <w:tc>
          <w:tcPr>
            <w:tcW w:w="2799" w:type="dxa"/>
            <w:tcBorders>
              <w:top w:val="single" w:sz="4" w:space="0" w:color="000000"/>
              <w:bottom w:val="single" w:sz="4" w:space="0" w:color="000000"/>
              <w:right w:val="single" w:sz="4" w:space="0" w:color="000000"/>
            </w:tcBorders>
            <w:vAlign w:val="center"/>
          </w:tcPr>
          <w:p w14:paraId="33933366" w14:textId="77777777" w:rsidR="00560596" w:rsidRDefault="00560596" w:rsidP="00560596">
            <w:pPr>
              <w:spacing w:before="0" w:after="0"/>
              <w:jc w:val="center"/>
              <w:rPr>
                <w:rFonts w:eastAsia="Times New Roman" w:cs="Times New Roman"/>
                <w:b/>
                <w:sz w:val="20"/>
                <w:szCs w:val="20"/>
              </w:rPr>
            </w:pPr>
            <w:r>
              <w:rPr>
                <w:rFonts w:eastAsia="Times New Roman" w:cs="Times New Roman"/>
                <w:b/>
                <w:sz w:val="20"/>
                <w:szCs w:val="20"/>
              </w:rPr>
              <w:t>Locality</w:t>
            </w:r>
          </w:p>
        </w:tc>
        <w:tc>
          <w:tcPr>
            <w:tcW w:w="1443" w:type="dxa"/>
            <w:tcBorders>
              <w:top w:val="single" w:sz="4" w:space="0" w:color="000000"/>
              <w:bottom w:val="single" w:sz="4" w:space="0" w:color="000000"/>
              <w:right w:val="single" w:sz="4" w:space="0" w:color="000000"/>
            </w:tcBorders>
          </w:tcPr>
          <w:p w14:paraId="3127B1EA" w14:textId="77777777" w:rsidR="00560596" w:rsidRDefault="00560596" w:rsidP="00560596">
            <w:pPr>
              <w:spacing w:before="0" w:after="0"/>
              <w:jc w:val="center"/>
              <w:rPr>
                <w:rFonts w:eastAsia="Times New Roman" w:cs="Times New Roman"/>
                <w:b/>
                <w:sz w:val="20"/>
                <w:szCs w:val="20"/>
              </w:rPr>
            </w:pPr>
            <w:r>
              <w:rPr>
                <w:rFonts w:eastAsia="Times New Roman" w:cs="Times New Roman"/>
                <w:b/>
                <w:sz w:val="20"/>
                <w:szCs w:val="20"/>
              </w:rPr>
              <w:t>Mapped Area Limit</w:t>
            </w:r>
          </w:p>
        </w:tc>
      </w:tr>
      <w:tr w:rsidR="00560596" w14:paraId="7B38E2BE" w14:textId="77777777" w:rsidTr="000878CE">
        <w:trPr>
          <w:trHeight w:val="200"/>
          <w:jc w:val="center"/>
        </w:trPr>
        <w:tc>
          <w:tcPr>
            <w:tcW w:w="1050" w:type="dxa"/>
            <w:vMerge w:val="restart"/>
            <w:tcBorders>
              <w:top w:val="single" w:sz="4" w:space="0" w:color="000000"/>
              <w:left w:val="single" w:sz="4" w:space="0" w:color="000000"/>
            </w:tcBorders>
          </w:tcPr>
          <w:p w14:paraId="08B044FB"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Map 1</w:t>
            </w:r>
          </w:p>
        </w:tc>
        <w:tc>
          <w:tcPr>
            <w:tcW w:w="1170" w:type="dxa"/>
            <w:vMerge w:val="restart"/>
            <w:tcBorders>
              <w:top w:val="single" w:sz="4" w:space="0" w:color="000000"/>
              <w:bottom w:val="single" w:sz="4" w:space="0" w:color="000000"/>
            </w:tcBorders>
            <w:vAlign w:val="center"/>
          </w:tcPr>
          <w:p w14:paraId="6D52FAC4"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Bahia</w:t>
            </w:r>
          </w:p>
        </w:tc>
        <w:tc>
          <w:tcPr>
            <w:tcW w:w="1485" w:type="dxa"/>
            <w:vMerge w:val="restart"/>
            <w:tcBorders>
              <w:top w:val="single" w:sz="4" w:space="0" w:color="000000"/>
            </w:tcBorders>
          </w:tcPr>
          <w:p w14:paraId="236B2A24" w14:textId="77777777" w:rsidR="00560596" w:rsidRDefault="00560596" w:rsidP="00560596">
            <w:pPr>
              <w:spacing w:before="0" w:after="0"/>
              <w:jc w:val="center"/>
              <w:rPr>
                <w:rFonts w:eastAsia="Times New Roman" w:cs="Times New Roman"/>
                <w:sz w:val="20"/>
                <w:szCs w:val="20"/>
              </w:rPr>
            </w:pPr>
            <w:r>
              <w:rPr>
                <w:rFonts w:eastAsia="Times New Roman" w:cs="Times New Roman"/>
                <w:color w:val="000000"/>
                <w:sz w:val="20"/>
                <w:szCs w:val="20"/>
              </w:rPr>
              <w:t>Salinas da Margarida</w:t>
            </w:r>
          </w:p>
        </w:tc>
        <w:tc>
          <w:tcPr>
            <w:tcW w:w="2799" w:type="dxa"/>
            <w:tcBorders>
              <w:top w:val="single" w:sz="4" w:space="0" w:color="000000"/>
              <w:right w:val="single" w:sz="4" w:space="0" w:color="000000"/>
            </w:tcBorders>
          </w:tcPr>
          <w:p w14:paraId="613C6125" w14:textId="77777777" w:rsidR="00560596" w:rsidRDefault="00560596" w:rsidP="00560596">
            <w:pPr>
              <w:spacing w:before="0" w:after="0"/>
              <w:jc w:val="both"/>
              <w:rPr>
                <w:rFonts w:eastAsia="Times New Roman" w:cs="Times New Roman"/>
                <w:color w:val="000000"/>
                <w:sz w:val="20"/>
                <w:szCs w:val="20"/>
              </w:rPr>
            </w:pPr>
            <w:proofErr w:type="spellStart"/>
            <w:r>
              <w:rPr>
                <w:rFonts w:eastAsia="Times New Roman" w:cs="Times New Roman"/>
                <w:color w:val="000000"/>
                <w:sz w:val="20"/>
                <w:szCs w:val="20"/>
              </w:rPr>
              <w:t>Conceição</w:t>
            </w:r>
            <w:proofErr w:type="spellEnd"/>
            <w:r>
              <w:rPr>
                <w:rFonts w:eastAsia="Times New Roman" w:cs="Times New Roman"/>
                <w:color w:val="000000"/>
                <w:sz w:val="20"/>
                <w:szCs w:val="20"/>
              </w:rPr>
              <w:t xml:space="preserve"> de Salinas</w:t>
            </w:r>
          </w:p>
        </w:tc>
        <w:tc>
          <w:tcPr>
            <w:tcW w:w="1443" w:type="dxa"/>
            <w:vMerge w:val="restart"/>
            <w:tcBorders>
              <w:top w:val="single" w:sz="4" w:space="0" w:color="000000"/>
              <w:right w:val="single" w:sz="4" w:space="0" w:color="000000"/>
            </w:tcBorders>
            <w:vAlign w:val="center"/>
          </w:tcPr>
          <w:p w14:paraId="6467BFE0" w14:textId="77777777" w:rsidR="00560596" w:rsidRDefault="00560596" w:rsidP="00560596">
            <w:pPr>
              <w:spacing w:before="0" w:after="0"/>
              <w:jc w:val="center"/>
              <w:rPr>
                <w:rFonts w:eastAsia="Times New Roman" w:cs="Times New Roman"/>
                <w:color w:val="000000"/>
                <w:sz w:val="20"/>
                <w:szCs w:val="20"/>
              </w:rPr>
            </w:pPr>
            <w:r>
              <w:rPr>
                <w:rFonts w:eastAsia="Times New Roman" w:cs="Times New Roman"/>
                <w:color w:val="000000"/>
                <w:sz w:val="20"/>
                <w:szCs w:val="20"/>
              </w:rPr>
              <w:t>52 km</w:t>
            </w:r>
          </w:p>
        </w:tc>
      </w:tr>
      <w:tr w:rsidR="00560596" w14:paraId="6B4159B8" w14:textId="77777777" w:rsidTr="000878CE">
        <w:trPr>
          <w:trHeight w:val="200"/>
          <w:jc w:val="center"/>
        </w:trPr>
        <w:tc>
          <w:tcPr>
            <w:tcW w:w="1050" w:type="dxa"/>
            <w:vMerge/>
            <w:tcBorders>
              <w:top w:val="single" w:sz="4" w:space="0" w:color="000000"/>
              <w:left w:val="single" w:sz="4" w:space="0" w:color="000000"/>
            </w:tcBorders>
          </w:tcPr>
          <w:p w14:paraId="505F8237"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1170" w:type="dxa"/>
            <w:vMerge/>
            <w:tcBorders>
              <w:top w:val="single" w:sz="4" w:space="0" w:color="000000"/>
              <w:bottom w:val="single" w:sz="4" w:space="0" w:color="000000"/>
            </w:tcBorders>
            <w:vAlign w:val="center"/>
          </w:tcPr>
          <w:p w14:paraId="7B136719"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1485" w:type="dxa"/>
            <w:vMerge/>
            <w:tcBorders>
              <w:top w:val="single" w:sz="4" w:space="0" w:color="000000"/>
            </w:tcBorders>
          </w:tcPr>
          <w:p w14:paraId="3267123C"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2799" w:type="dxa"/>
            <w:tcBorders>
              <w:right w:val="single" w:sz="4" w:space="0" w:color="000000"/>
            </w:tcBorders>
          </w:tcPr>
          <w:p w14:paraId="37334DDB" w14:textId="77777777" w:rsidR="00560596" w:rsidRDefault="00560596" w:rsidP="00560596">
            <w:pPr>
              <w:spacing w:before="0" w:after="0"/>
              <w:jc w:val="both"/>
              <w:rPr>
                <w:rFonts w:eastAsia="Times New Roman" w:cs="Times New Roman"/>
                <w:sz w:val="20"/>
                <w:szCs w:val="20"/>
              </w:rPr>
            </w:pPr>
            <w:proofErr w:type="spellStart"/>
            <w:r>
              <w:rPr>
                <w:rFonts w:eastAsia="Times New Roman" w:cs="Times New Roman"/>
                <w:color w:val="000000"/>
                <w:sz w:val="20"/>
                <w:szCs w:val="20"/>
              </w:rPr>
              <w:t>Cairu</w:t>
            </w:r>
            <w:proofErr w:type="spellEnd"/>
            <w:r>
              <w:rPr>
                <w:rFonts w:eastAsia="Times New Roman" w:cs="Times New Roman"/>
                <w:color w:val="000000"/>
                <w:sz w:val="20"/>
                <w:szCs w:val="20"/>
              </w:rPr>
              <w:t xml:space="preserve"> de Salinas </w:t>
            </w:r>
          </w:p>
        </w:tc>
        <w:tc>
          <w:tcPr>
            <w:tcW w:w="1443" w:type="dxa"/>
            <w:vMerge/>
            <w:tcBorders>
              <w:top w:val="single" w:sz="4" w:space="0" w:color="000000"/>
              <w:right w:val="single" w:sz="4" w:space="0" w:color="000000"/>
            </w:tcBorders>
            <w:vAlign w:val="center"/>
          </w:tcPr>
          <w:p w14:paraId="463E9E07"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r>
      <w:tr w:rsidR="00560596" w14:paraId="0E9AB950" w14:textId="77777777" w:rsidTr="000878CE">
        <w:trPr>
          <w:trHeight w:val="200"/>
          <w:jc w:val="center"/>
        </w:trPr>
        <w:tc>
          <w:tcPr>
            <w:tcW w:w="1050" w:type="dxa"/>
            <w:vMerge/>
            <w:tcBorders>
              <w:top w:val="single" w:sz="4" w:space="0" w:color="000000"/>
              <w:left w:val="single" w:sz="4" w:space="0" w:color="000000"/>
            </w:tcBorders>
          </w:tcPr>
          <w:p w14:paraId="451BC641"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170" w:type="dxa"/>
            <w:vMerge/>
            <w:tcBorders>
              <w:top w:val="single" w:sz="4" w:space="0" w:color="000000"/>
              <w:bottom w:val="single" w:sz="4" w:space="0" w:color="000000"/>
            </w:tcBorders>
            <w:vAlign w:val="center"/>
          </w:tcPr>
          <w:p w14:paraId="5591805B"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vMerge/>
            <w:tcBorders>
              <w:top w:val="single" w:sz="4" w:space="0" w:color="000000"/>
            </w:tcBorders>
          </w:tcPr>
          <w:p w14:paraId="49F60D9B"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2799" w:type="dxa"/>
            <w:tcBorders>
              <w:right w:val="single" w:sz="4" w:space="0" w:color="000000"/>
            </w:tcBorders>
          </w:tcPr>
          <w:p w14:paraId="7F74D862" w14:textId="77777777" w:rsidR="00560596" w:rsidRDefault="00560596" w:rsidP="00560596">
            <w:pPr>
              <w:spacing w:before="0" w:after="0"/>
              <w:jc w:val="both"/>
              <w:rPr>
                <w:rFonts w:eastAsia="Times New Roman" w:cs="Times New Roman"/>
                <w:sz w:val="20"/>
                <w:szCs w:val="20"/>
              </w:rPr>
            </w:pPr>
            <w:r>
              <w:rPr>
                <w:rFonts w:eastAsia="Times New Roman" w:cs="Times New Roman"/>
                <w:color w:val="000000"/>
                <w:sz w:val="20"/>
                <w:szCs w:val="20"/>
              </w:rPr>
              <w:t>Salinas da Margarida</w:t>
            </w:r>
          </w:p>
        </w:tc>
        <w:tc>
          <w:tcPr>
            <w:tcW w:w="1443" w:type="dxa"/>
            <w:vMerge/>
            <w:tcBorders>
              <w:top w:val="single" w:sz="4" w:space="0" w:color="000000"/>
              <w:right w:val="single" w:sz="4" w:space="0" w:color="000000"/>
            </w:tcBorders>
            <w:vAlign w:val="center"/>
          </w:tcPr>
          <w:p w14:paraId="409E2914"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r>
      <w:tr w:rsidR="00560596" w14:paraId="563C7F25" w14:textId="77777777" w:rsidTr="000878CE">
        <w:trPr>
          <w:trHeight w:val="200"/>
          <w:jc w:val="center"/>
        </w:trPr>
        <w:tc>
          <w:tcPr>
            <w:tcW w:w="1050" w:type="dxa"/>
            <w:vMerge w:val="restart"/>
            <w:tcBorders>
              <w:left w:val="single" w:sz="4" w:space="0" w:color="000000"/>
            </w:tcBorders>
          </w:tcPr>
          <w:p w14:paraId="60C3EBC1"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Map 2</w:t>
            </w:r>
          </w:p>
        </w:tc>
        <w:tc>
          <w:tcPr>
            <w:tcW w:w="1170" w:type="dxa"/>
            <w:vMerge/>
            <w:tcBorders>
              <w:top w:val="single" w:sz="4" w:space="0" w:color="000000"/>
              <w:bottom w:val="single" w:sz="4" w:space="0" w:color="000000"/>
            </w:tcBorders>
            <w:vAlign w:val="center"/>
          </w:tcPr>
          <w:p w14:paraId="57384612"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vMerge w:val="restart"/>
          </w:tcPr>
          <w:p w14:paraId="24E4FD27" w14:textId="77777777" w:rsidR="00560596" w:rsidRDefault="00560596" w:rsidP="00560596">
            <w:pPr>
              <w:spacing w:before="0" w:after="0"/>
              <w:jc w:val="center"/>
              <w:rPr>
                <w:rFonts w:eastAsia="Times New Roman" w:cs="Times New Roman"/>
                <w:color w:val="000000"/>
                <w:sz w:val="20"/>
                <w:szCs w:val="20"/>
              </w:rPr>
            </w:pPr>
            <w:r>
              <w:rPr>
                <w:rFonts w:eastAsia="Times New Roman" w:cs="Times New Roman"/>
                <w:color w:val="000000"/>
                <w:sz w:val="20"/>
                <w:szCs w:val="20"/>
              </w:rPr>
              <w:t>Salvador</w:t>
            </w:r>
          </w:p>
        </w:tc>
        <w:tc>
          <w:tcPr>
            <w:tcW w:w="2799" w:type="dxa"/>
            <w:tcBorders>
              <w:right w:val="single" w:sz="4" w:space="0" w:color="000000"/>
            </w:tcBorders>
          </w:tcPr>
          <w:p w14:paraId="7FD0881F" w14:textId="77777777" w:rsidR="00560596" w:rsidRDefault="00560596" w:rsidP="00560596">
            <w:pPr>
              <w:spacing w:before="0" w:after="0"/>
              <w:rPr>
                <w:rFonts w:eastAsia="Times New Roman" w:cs="Times New Roman"/>
                <w:sz w:val="20"/>
                <w:szCs w:val="20"/>
              </w:rPr>
            </w:pPr>
            <w:proofErr w:type="spellStart"/>
            <w:r>
              <w:rPr>
                <w:rFonts w:eastAsia="Times New Roman" w:cs="Times New Roman"/>
                <w:sz w:val="20"/>
                <w:szCs w:val="20"/>
              </w:rPr>
              <w:t>Ilha</w:t>
            </w:r>
            <w:proofErr w:type="spellEnd"/>
            <w:r>
              <w:rPr>
                <w:rFonts w:eastAsia="Times New Roman" w:cs="Times New Roman"/>
                <w:sz w:val="20"/>
                <w:szCs w:val="20"/>
              </w:rPr>
              <w:t xml:space="preserve"> de </w:t>
            </w:r>
            <w:proofErr w:type="spellStart"/>
            <w:r>
              <w:rPr>
                <w:rFonts w:eastAsia="Times New Roman" w:cs="Times New Roman"/>
                <w:sz w:val="20"/>
                <w:szCs w:val="20"/>
              </w:rPr>
              <w:t>Maré</w:t>
            </w:r>
            <w:proofErr w:type="spellEnd"/>
            <w:r>
              <w:rPr>
                <w:rFonts w:eastAsia="Times New Roman" w:cs="Times New Roman"/>
                <w:sz w:val="20"/>
                <w:szCs w:val="20"/>
              </w:rPr>
              <w:t xml:space="preserve">: </w:t>
            </w:r>
            <w:proofErr w:type="spellStart"/>
            <w:r>
              <w:rPr>
                <w:rFonts w:eastAsia="Times New Roman" w:cs="Times New Roman"/>
                <w:sz w:val="20"/>
                <w:szCs w:val="20"/>
              </w:rPr>
              <w:t>Bananeiras</w:t>
            </w:r>
            <w:proofErr w:type="spellEnd"/>
          </w:p>
        </w:tc>
        <w:tc>
          <w:tcPr>
            <w:tcW w:w="1443" w:type="dxa"/>
            <w:vMerge w:val="restart"/>
            <w:tcBorders>
              <w:right w:val="single" w:sz="4" w:space="0" w:color="000000"/>
            </w:tcBorders>
            <w:vAlign w:val="center"/>
          </w:tcPr>
          <w:p w14:paraId="7E030DFC"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51 km</w:t>
            </w:r>
          </w:p>
        </w:tc>
      </w:tr>
      <w:tr w:rsidR="00560596" w14:paraId="37D57ED8" w14:textId="77777777" w:rsidTr="000878CE">
        <w:trPr>
          <w:trHeight w:val="200"/>
          <w:jc w:val="center"/>
        </w:trPr>
        <w:tc>
          <w:tcPr>
            <w:tcW w:w="1050" w:type="dxa"/>
            <w:vMerge/>
            <w:tcBorders>
              <w:left w:val="single" w:sz="4" w:space="0" w:color="000000"/>
            </w:tcBorders>
          </w:tcPr>
          <w:p w14:paraId="69E69F5B"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170" w:type="dxa"/>
            <w:vMerge/>
            <w:tcBorders>
              <w:top w:val="single" w:sz="4" w:space="0" w:color="000000"/>
              <w:bottom w:val="single" w:sz="4" w:space="0" w:color="000000"/>
            </w:tcBorders>
            <w:vAlign w:val="center"/>
          </w:tcPr>
          <w:p w14:paraId="4F7C5BFF"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vMerge/>
          </w:tcPr>
          <w:p w14:paraId="70E21BBA"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2799" w:type="dxa"/>
            <w:tcBorders>
              <w:right w:val="single" w:sz="4" w:space="0" w:color="000000"/>
            </w:tcBorders>
          </w:tcPr>
          <w:p w14:paraId="2D4EA376" w14:textId="77777777" w:rsidR="00560596" w:rsidRDefault="00560596" w:rsidP="00560596">
            <w:pPr>
              <w:spacing w:before="0" w:after="0"/>
              <w:rPr>
                <w:rFonts w:eastAsia="Times New Roman" w:cs="Times New Roman"/>
                <w:sz w:val="20"/>
                <w:szCs w:val="20"/>
              </w:rPr>
            </w:pPr>
            <w:proofErr w:type="spellStart"/>
            <w:r>
              <w:rPr>
                <w:rFonts w:eastAsia="Times New Roman" w:cs="Times New Roman"/>
                <w:sz w:val="20"/>
                <w:szCs w:val="20"/>
              </w:rPr>
              <w:t>Ilha</w:t>
            </w:r>
            <w:proofErr w:type="spellEnd"/>
            <w:r>
              <w:rPr>
                <w:rFonts w:eastAsia="Times New Roman" w:cs="Times New Roman"/>
                <w:sz w:val="20"/>
                <w:szCs w:val="20"/>
              </w:rPr>
              <w:t xml:space="preserve"> de </w:t>
            </w:r>
            <w:proofErr w:type="spellStart"/>
            <w:r>
              <w:rPr>
                <w:rFonts w:eastAsia="Times New Roman" w:cs="Times New Roman"/>
                <w:sz w:val="20"/>
                <w:szCs w:val="20"/>
              </w:rPr>
              <w:t>Maré</w:t>
            </w:r>
            <w:proofErr w:type="spellEnd"/>
            <w:r>
              <w:rPr>
                <w:rFonts w:eastAsia="Times New Roman" w:cs="Times New Roman"/>
                <w:sz w:val="20"/>
                <w:szCs w:val="20"/>
              </w:rPr>
              <w:t xml:space="preserve">: </w:t>
            </w:r>
            <w:proofErr w:type="spellStart"/>
            <w:r>
              <w:rPr>
                <w:rFonts w:eastAsia="Times New Roman" w:cs="Times New Roman"/>
                <w:sz w:val="20"/>
                <w:szCs w:val="20"/>
              </w:rPr>
              <w:t>Candeias</w:t>
            </w:r>
            <w:proofErr w:type="spellEnd"/>
          </w:p>
        </w:tc>
        <w:tc>
          <w:tcPr>
            <w:tcW w:w="1443" w:type="dxa"/>
            <w:vMerge/>
            <w:tcBorders>
              <w:right w:val="single" w:sz="4" w:space="0" w:color="000000"/>
            </w:tcBorders>
            <w:vAlign w:val="center"/>
          </w:tcPr>
          <w:p w14:paraId="3CE1A721"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r>
      <w:tr w:rsidR="00560596" w14:paraId="2E0DF339" w14:textId="77777777" w:rsidTr="000878CE">
        <w:trPr>
          <w:trHeight w:val="200"/>
          <w:jc w:val="center"/>
        </w:trPr>
        <w:tc>
          <w:tcPr>
            <w:tcW w:w="1050" w:type="dxa"/>
            <w:vMerge/>
            <w:tcBorders>
              <w:left w:val="single" w:sz="4" w:space="0" w:color="000000"/>
            </w:tcBorders>
          </w:tcPr>
          <w:p w14:paraId="147006DA"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170" w:type="dxa"/>
            <w:vMerge/>
            <w:tcBorders>
              <w:top w:val="single" w:sz="4" w:space="0" w:color="000000"/>
              <w:bottom w:val="single" w:sz="4" w:space="0" w:color="000000"/>
            </w:tcBorders>
            <w:vAlign w:val="center"/>
          </w:tcPr>
          <w:p w14:paraId="28C39FA1"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vMerge/>
          </w:tcPr>
          <w:p w14:paraId="73CFB36F"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2799" w:type="dxa"/>
            <w:tcBorders>
              <w:right w:val="single" w:sz="4" w:space="0" w:color="000000"/>
            </w:tcBorders>
          </w:tcPr>
          <w:p w14:paraId="0223A243" w14:textId="77777777" w:rsidR="00560596" w:rsidRDefault="00560596" w:rsidP="00560596">
            <w:pPr>
              <w:spacing w:before="0" w:after="0"/>
              <w:rPr>
                <w:rFonts w:eastAsia="Times New Roman" w:cs="Times New Roman"/>
                <w:sz w:val="20"/>
                <w:szCs w:val="20"/>
              </w:rPr>
            </w:pPr>
            <w:proofErr w:type="spellStart"/>
            <w:r>
              <w:rPr>
                <w:rFonts w:eastAsia="Times New Roman" w:cs="Times New Roman"/>
                <w:sz w:val="20"/>
                <w:szCs w:val="20"/>
              </w:rPr>
              <w:t>Ilha</w:t>
            </w:r>
            <w:proofErr w:type="spellEnd"/>
            <w:r>
              <w:rPr>
                <w:rFonts w:eastAsia="Times New Roman" w:cs="Times New Roman"/>
                <w:sz w:val="20"/>
                <w:szCs w:val="20"/>
              </w:rPr>
              <w:t xml:space="preserve"> de </w:t>
            </w:r>
            <w:proofErr w:type="spellStart"/>
            <w:r>
              <w:rPr>
                <w:rFonts w:eastAsia="Times New Roman" w:cs="Times New Roman"/>
                <w:sz w:val="20"/>
                <w:szCs w:val="20"/>
              </w:rPr>
              <w:t>Maré</w:t>
            </w:r>
            <w:proofErr w:type="spellEnd"/>
            <w:r>
              <w:rPr>
                <w:rFonts w:eastAsia="Times New Roman" w:cs="Times New Roman"/>
                <w:sz w:val="20"/>
                <w:szCs w:val="20"/>
              </w:rPr>
              <w:t>: Maracanã</w:t>
            </w:r>
          </w:p>
        </w:tc>
        <w:tc>
          <w:tcPr>
            <w:tcW w:w="1443" w:type="dxa"/>
            <w:vMerge/>
            <w:tcBorders>
              <w:right w:val="single" w:sz="4" w:space="0" w:color="000000"/>
            </w:tcBorders>
            <w:vAlign w:val="center"/>
          </w:tcPr>
          <w:p w14:paraId="2C149E69"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r>
      <w:tr w:rsidR="00560596" w14:paraId="53FFCE0F" w14:textId="77777777" w:rsidTr="000878CE">
        <w:trPr>
          <w:trHeight w:val="200"/>
          <w:jc w:val="center"/>
        </w:trPr>
        <w:tc>
          <w:tcPr>
            <w:tcW w:w="1050" w:type="dxa"/>
            <w:vMerge/>
            <w:tcBorders>
              <w:left w:val="single" w:sz="4" w:space="0" w:color="000000"/>
            </w:tcBorders>
          </w:tcPr>
          <w:p w14:paraId="68388A5A"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170" w:type="dxa"/>
            <w:vMerge/>
            <w:tcBorders>
              <w:top w:val="single" w:sz="4" w:space="0" w:color="000000"/>
              <w:bottom w:val="single" w:sz="4" w:space="0" w:color="000000"/>
            </w:tcBorders>
            <w:vAlign w:val="center"/>
          </w:tcPr>
          <w:p w14:paraId="5C2084D2"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vMerge/>
          </w:tcPr>
          <w:p w14:paraId="66945C3B"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2799" w:type="dxa"/>
            <w:tcBorders>
              <w:right w:val="single" w:sz="4" w:space="0" w:color="000000"/>
            </w:tcBorders>
          </w:tcPr>
          <w:p w14:paraId="64A32B82" w14:textId="77777777" w:rsidR="00560596" w:rsidRDefault="00560596" w:rsidP="00560596">
            <w:pPr>
              <w:spacing w:before="0" w:after="0"/>
              <w:rPr>
                <w:rFonts w:eastAsia="Times New Roman" w:cs="Times New Roman"/>
                <w:sz w:val="20"/>
                <w:szCs w:val="20"/>
              </w:rPr>
            </w:pPr>
            <w:proofErr w:type="spellStart"/>
            <w:r>
              <w:rPr>
                <w:rFonts w:eastAsia="Times New Roman" w:cs="Times New Roman"/>
                <w:sz w:val="20"/>
                <w:szCs w:val="20"/>
              </w:rPr>
              <w:t>Ilha</w:t>
            </w:r>
            <w:proofErr w:type="spellEnd"/>
            <w:r>
              <w:rPr>
                <w:rFonts w:eastAsia="Times New Roman" w:cs="Times New Roman"/>
                <w:sz w:val="20"/>
                <w:szCs w:val="20"/>
              </w:rPr>
              <w:t xml:space="preserve"> de </w:t>
            </w:r>
            <w:proofErr w:type="spellStart"/>
            <w:r>
              <w:rPr>
                <w:rFonts w:eastAsia="Times New Roman" w:cs="Times New Roman"/>
                <w:sz w:val="20"/>
                <w:szCs w:val="20"/>
              </w:rPr>
              <w:t>Maré</w:t>
            </w:r>
            <w:proofErr w:type="spellEnd"/>
            <w:r>
              <w:rPr>
                <w:rFonts w:eastAsia="Times New Roman" w:cs="Times New Roman"/>
                <w:sz w:val="20"/>
                <w:szCs w:val="20"/>
              </w:rPr>
              <w:t xml:space="preserve">: </w:t>
            </w:r>
            <w:proofErr w:type="spellStart"/>
            <w:r>
              <w:rPr>
                <w:rFonts w:eastAsia="Times New Roman" w:cs="Times New Roman"/>
                <w:sz w:val="20"/>
                <w:szCs w:val="20"/>
              </w:rPr>
              <w:t>Martelo</w:t>
            </w:r>
            <w:proofErr w:type="spellEnd"/>
          </w:p>
        </w:tc>
        <w:tc>
          <w:tcPr>
            <w:tcW w:w="1443" w:type="dxa"/>
            <w:vMerge/>
            <w:tcBorders>
              <w:right w:val="single" w:sz="4" w:space="0" w:color="000000"/>
            </w:tcBorders>
            <w:vAlign w:val="center"/>
          </w:tcPr>
          <w:p w14:paraId="62C8FF87"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r>
      <w:tr w:rsidR="00560596" w14:paraId="159BCB0A" w14:textId="77777777" w:rsidTr="000878CE">
        <w:trPr>
          <w:trHeight w:val="200"/>
          <w:jc w:val="center"/>
        </w:trPr>
        <w:tc>
          <w:tcPr>
            <w:tcW w:w="1050" w:type="dxa"/>
            <w:vMerge/>
            <w:tcBorders>
              <w:left w:val="single" w:sz="4" w:space="0" w:color="000000"/>
            </w:tcBorders>
          </w:tcPr>
          <w:p w14:paraId="1791047F"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170" w:type="dxa"/>
            <w:vMerge/>
            <w:tcBorders>
              <w:top w:val="single" w:sz="4" w:space="0" w:color="000000"/>
              <w:bottom w:val="single" w:sz="4" w:space="0" w:color="000000"/>
            </w:tcBorders>
            <w:vAlign w:val="center"/>
          </w:tcPr>
          <w:p w14:paraId="316636F5"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vMerge/>
          </w:tcPr>
          <w:p w14:paraId="39571F09"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2799" w:type="dxa"/>
            <w:tcBorders>
              <w:right w:val="single" w:sz="4" w:space="0" w:color="000000"/>
            </w:tcBorders>
          </w:tcPr>
          <w:p w14:paraId="5E4E616D" w14:textId="77777777" w:rsidR="00560596" w:rsidRDefault="00560596" w:rsidP="00560596">
            <w:pPr>
              <w:spacing w:before="0" w:after="0"/>
              <w:rPr>
                <w:rFonts w:eastAsia="Times New Roman" w:cs="Times New Roman"/>
                <w:sz w:val="20"/>
                <w:szCs w:val="20"/>
              </w:rPr>
            </w:pPr>
            <w:proofErr w:type="spellStart"/>
            <w:r>
              <w:rPr>
                <w:rFonts w:eastAsia="Times New Roman" w:cs="Times New Roman"/>
                <w:sz w:val="20"/>
                <w:szCs w:val="20"/>
              </w:rPr>
              <w:t>Ilha</w:t>
            </w:r>
            <w:proofErr w:type="spellEnd"/>
            <w:r>
              <w:rPr>
                <w:rFonts w:eastAsia="Times New Roman" w:cs="Times New Roman"/>
                <w:sz w:val="20"/>
                <w:szCs w:val="20"/>
              </w:rPr>
              <w:t xml:space="preserve"> de </w:t>
            </w:r>
            <w:proofErr w:type="spellStart"/>
            <w:r>
              <w:rPr>
                <w:rFonts w:eastAsia="Times New Roman" w:cs="Times New Roman"/>
                <w:sz w:val="20"/>
                <w:szCs w:val="20"/>
              </w:rPr>
              <w:t>Maré</w:t>
            </w:r>
            <w:proofErr w:type="spellEnd"/>
            <w:r>
              <w:rPr>
                <w:rFonts w:eastAsia="Times New Roman" w:cs="Times New Roman"/>
                <w:sz w:val="20"/>
                <w:szCs w:val="20"/>
              </w:rPr>
              <w:t>: Passé</w:t>
            </w:r>
          </w:p>
        </w:tc>
        <w:tc>
          <w:tcPr>
            <w:tcW w:w="1443" w:type="dxa"/>
            <w:vMerge/>
            <w:tcBorders>
              <w:right w:val="single" w:sz="4" w:space="0" w:color="000000"/>
            </w:tcBorders>
            <w:vAlign w:val="center"/>
          </w:tcPr>
          <w:p w14:paraId="7FFC8589"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r>
      <w:tr w:rsidR="00560596" w:rsidRPr="00B05534" w14:paraId="574B98A1" w14:textId="77777777" w:rsidTr="000878CE">
        <w:trPr>
          <w:trHeight w:val="200"/>
          <w:jc w:val="center"/>
        </w:trPr>
        <w:tc>
          <w:tcPr>
            <w:tcW w:w="1050" w:type="dxa"/>
            <w:vMerge/>
            <w:tcBorders>
              <w:left w:val="single" w:sz="4" w:space="0" w:color="000000"/>
            </w:tcBorders>
          </w:tcPr>
          <w:p w14:paraId="14C8F243"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170" w:type="dxa"/>
            <w:vMerge/>
            <w:tcBorders>
              <w:top w:val="single" w:sz="4" w:space="0" w:color="000000"/>
              <w:bottom w:val="single" w:sz="4" w:space="0" w:color="000000"/>
            </w:tcBorders>
            <w:vAlign w:val="center"/>
          </w:tcPr>
          <w:p w14:paraId="7C02AD95"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vMerge/>
          </w:tcPr>
          <w:p w14:paraId="0DCA24A5"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2799" w:type="dxa"/>
            <w:tcBorders>
              <w:right w:val="single" w:sz="4" w:space="0" w:color="000000"/>
            </w:tcBorders>
          </w:tcPr>
          <w:p w14:paraId="1EEC76A1" w14:textId="77777777" w:rsidR="00560596" w:rsidRPr="00560596" w:rsidRDefault="00560596" w:rsidP="00560596">
            <w:pPr>
              <w:spacing w:before="0" w:after="0"/>
              <w:rPr>
                <w:rFonts w:eastAsia="Times New Roman" w:cs="Times New Roman"/>
                <w:sz w:val="20"/>
                <w:szCs w:val="20"/>
                <w:lang w:val="pt-BR"/>
              </w:rPr>
            </w:pPr>
            <w:r w:rsidRPr="00560596">
              <w:rPr>
                <w:rFonts w:eastAsia="Times New Roman" w:cs="Times New Roman"/>
                <w:sz w:val="20"/>
                <w:szCs w:val="20"/>
                <w:lang w:val="pt-BR"/>
              </w:rPr>
              <w:t>Ilha de Maré: Ponta Grossa</w:t>
            </w:r>
          </w:p>
        </w:tc>
        <w:tc>
          <w:tcPr>
            <w:tcW w:w="1443" w:type="dxa"/>
            <w:vMerge/>
            <w:tcBorders>
              <w:right w:val="single" w:sz="4" w:space="0" w:color="000000"/>
            </w:tcBorders>
            <w:vAlign w:val="center"/>
          </w:tcPr>
          <w:p w14:paraId="708FCA2A"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r>
      <w:tr w:rsidR="00560596" w:rsidRPr="00B05534" w14:paraId="755270BC" w14:textId="77777777" w:rsidTr="000878CE">
        <w:trPr>
          <w:trHeight w:val="200"/>
          <w:jc w:val="center"/>
        </w:trPr>
        <w:tc>
          <w:tcPr>
            <w:tcW w:w="1050" w:type="dxa"/>
            <w:vMerge/>
            <w:tcBorders>
              <w:left w:val="single" w:sz="4" w:space="0" w:color="000000"/>
            </w:tcBorders>
          </w:tcPr>
          <w:p w14:paraId="0A2B3D92"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c>
          <w:tcPr>
            <w:tcW w:w="1170" w:type="dxa"/>
            <w:vMerge/>
            <w:tcBorders>
              <w:top w:val="single" w:sz="4" w:space="0" w:color="000000"/>
              <w:bottom w:val="single" w:sz="4" w:space="0" w:color="000000"/>
            </w:tcBorders>
            <w:vAlign w:val="center"/>
          </w:tcPr>
          <w:p w14:paraId="37E5BECA"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c>
          <w:tcPr>
            <w:tcW w:w="1485" w:type="dxa"/>
            <w:vMerge/>
          </w:tcPr>
          <w:p w14:paraId="03D5206E"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c>
          <w:tcPr>
            <w:tcW w:w="2799" w:type="dxa"/>
            <w:tcBorders>
              <w:right w:val="single" w:sz="4" w:space="0" w:color="000000"/>
            </w:tcBorders>
          </w:tcPr>
          <w:p w14:paraId="2249D5A8" w14:textId="77777777" w:rsidR="00560596" w:rsidRPr="00560596" w:rsidRDefault="00560596" w:rsidP="00560596">
            <w:pPr>
              <w:spacing w:before="0" w:after="0"/>
              <w:rPr>
                <w:rFonts w:eastAsia="Times New Roman" w:cs="Times New Roman"/>
                <w:sz w:val="20"/>
                <w:szCs w:val="20"/>
                <w:lang w:val="pt-BR"/>
              </w:rPr>
            </w:pPr>
            <w:r w:rsidRPr="00560596">
              <w:rPr>
                <w:rFonts w:eastAsia="Times New Roman" w:cs="Times New Roman"/>
                <w:sz w:val="20"/>
                <w:szCs w:val="20"/>
                <w:lang w:val="pt-BR"/>
              </w:rPr>
              <w:t>Ilha de Maré: Porto dos Cavalos</w:t>
            </w:r>
          </w:p>
        </w:tc>
        <w:tc>
          <w:tcPr>
            <w:tcW w:w="1443" w:type="dxa"/>
            <w:vMerge/>
            <w:tcBorders>
              <w:right w:val="single" w:sz="4" w:space="0" w:color="000000"/>
            </w:tcBorders>
            <w:vAlign w:val="center"/>
          </w:tcPr>
          <w:p w14:paraId="059662A1"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r>
      <w:tr w:rsidR="00560596" w:rsidRPr="00B05534" w14:paraId="637862A7" w14:textId="77777777" w:rsidTr="000878CE">
        <w:trPr>
          <w:trHeight w:val="200"/>
          <w:jc w:val="center"/>
        </w:trPr>
        <w:tc>
          <w:tcPr>
            <w:tcW w:w="1050" w:type="dxa"/>
            <w:vMerge/>
            <w:tcBorders>
              <w:left w:val="single" w:sz="4" w:space="0" w:color="000000"/>
            </w:tcBorders>
          </w:tcPr>
          <w:p w14:paraId="76BBC99D"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c>
          <w:tcPr>
            <w:tcW w:w="1170" w:type="dxa"/>
            <w:vMerge/>
            <w:tcBorders>
              <w:top w:val="single" w:sz="4" w:space="0" w:color="000000"/>
              <w:bottom w:val="single" w:sz="4" w:space="0" w:color="000000"/>
            </w:tcBorders>
            <w:vAlign w:val="center"/>
          </w:tcPr>
          <w:p w14:paraId="1D328CD7"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c>
          <w:tcPr>
            <w:tcW w:w="1485" w:type="dxa"/>
            <w:vMerge/>
          </w:tcPr>
          <w:p w14:paraId="3751D0E0"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c>
          <w:tcPr>
            <w:tcW w:w="2799" w:type="dxa"/>
            <w:tcBorders>
              <w:right w:val="single" w:sz="4" w:space="0" w:color="000000"/>
            </w:tcBorders>
          </w:tcPr>
          <w:p w14:paraId="58C6E0C3" w14:textId="77777777" w:rsidR="00560596" w:rsidRPr="00560596" w:rsidRDefault="00560596" w:rsidP="00560596">
            <w:pPr>
              <w:spacing w:before="0" w:after="0"/>
              <w:rPr>
                <w:rFonts w:eastAsia="Times New Roman" w:cs="Times New Roman"/>
                <w:sz w:val="20"/>
                <w:szCs w:val="20"/>
                <w:lang w:val="pt-BR"/>
              </w:rPr>
            </w:pPr>
            <w:r w:rsidRPr="00560596">
              <w:rPr>
                <w:rFonts w:eastAsia="Times New Roman" w:cs="Times New Roman"/>
                <w:sz w:val="20"/>
                <w:szCs w:val="20"/>
                <w:lang w:val="pt-BR"/>
              </w:rPr>
              <w:t>Ilha de Maré: Praia Grande</w:t>
            </w:r>
          </w:p>
        </w:tc>
        <w:tc>
          <w:tcPr>
            <w:tcW w:w="1443" w:type="dxa"/>
            <w:vMerge/>
            <w:tcBorders>
              <w:right w:val="single" w:sz="4" w:space="0" w:color="000000"/>
            </w:tcBorders>
            <w:vAlign w:val="center"/>
          </w:tcPr>
          <w:p w14:paraId="60A98C4D" w14:textId="77777777" w:rsidR="00560596" w:rsidRPr="00560596" w:rsidRDefault="00560596" w:rsidP="00560596">
            <w:pPr>
              <w:widowControl w:val="0"/>
              <w:pBdr>
                <w:top w:val="nil"/>
                <w:left w:val="nil"/>
                <w:bottom w:val="nil"/>
                <w:right w:val="nil"/>
                <w:between w:val="nil"/>
              </w:pBdr>
              <w:spacing w:before="0" w:after="0"/>
              <w:rPr>
                <w:rFonts w:eastAsia="Times New Roman" w:cs="Times New Roman"/>
                <w:sz w:val="20"/>
                <w:szCs w:val="20"/>
                <w:lang w:val="pt-BR"/>
              </w:rPr>
            </w:pPr>
          </w:p>
        </w:tc>
      </w:tr>
      <w:tr w:rsidR="00560596" w14:paraId="0E2B4B62" w14:textId="77777777" w:rsidTr="000878CE">
        <w:trPr>
          <w:trHeight w:val="200"/>
          <w:jc w:val="center"/>
        </w:trPr>
        <w:tc>
          <w:tcPr>
            <w:tcW w:w="1050" w:type="dxa"/>
            <w:tcBorders>
              <w:left w:val="single" w:sz="4" w:space="0" w:color="000000"/>
            </w:tcBorders>
          </w:tcPr>
          <w:p w14:paraId="1C6D841A"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Map 3</w:t>
            </w:r>
          </w:p>
        </w:tc>
        <w:tc>
          <w:tcPr>
            <w:tcW w:w="1170" w:type="dxa"/>
            <w:vMerge/>
            <w:tcBorders>
              <w:top w:val="single" w:sz="4" w:space="0" w:color="000000"/>
              <w:bottom w:val="single" w:sz="4" w:space="0" w:color="000000"/>
            </w:tcBorders>
            <w:vAlign w:val="center"/>
          </w:tcPr>
          <w:p w14:paraId="30718E59"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p>
        </w:tc>
        <w:tc>
          <w:tcPr>
            <w:tcW w:w="1485" w:type="dxa"/>
          </w:tcPr>
          <w:p w14:paraId="0F6EA8F4"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Madre de Deus</w:t>
            </w:r>
          </w:p>
        </w:tc>
        <w:tc>
          <w:tcPr>
            <w:tcW w:w="2799" w:type="dxa"/>
            <w:tcBorders>
              <w:right w:val="single" w:sz="4" w:space="0" w:color="000000"/>
            </w:tcBorders>
          </w:tcPr>
          <w:p w14:paraId="23544A18" w14:textId="77777777" w:rsidR="00560596" w:rsidRDefault="00560596" w:rsidP="00560596">
            <w:pPr>
              <w:spacing w:before="0" w:after="0"/>
              <w:rPr>
                <w:rFonts w:eastAsia="Times New Roman" w:cs="Times New Roman"/>
                <w:color w:val="000000"/>
                <w:sz w:val="20"/>
                <w:szCs w:val="20"/>
              </w:rPr>
            </w:pPr>
            <w:proofErr w:type="spellStart"/>
            <w:r>
              <w:rPr>
                <w:rFonts w:eastAsia="Times New Roman" w:cs="Times New Roman"/>
                <w:sz w:val="20"/>
                <w:szCs w:val="20"/>
              </w:rPr>
              <w:t>Suape</w:t>
            </w:r>
            <w:proofErr w:type="spellEnd"/>
            <w:r>
              <w:rPr>
                <w:rFonts w:eastAsia="Times New Roman" w:cs="Times New Roman"/>
                <w:color w:val="000000"/>
                <w:sz w:val="20"/>
                <w:szCs w:val="20"/>
              </w:rPr>
              <w:t xml:space="preserve"> </w:t>
            </w:r>
          </w:p>
        </w:tc>
        <w:tc>
          <w:tcPr>
            <w:tcW w:w="1443" w:type="dxa"/>
            <w:tcBorders>
              <w:right w:val="single" w:sz="4" w:space="0" w:color="000000"/>
            </w:tcBorders>
            <w:vAlign w:val="center"/>
          </w:tcPr>
          <w:p w14:paraId="73AB500F" w14:textId="77777777" w:rsidR="00560596" w:rsidRDefault="00560596" w:rsidP="00560596">
            <w:pPr>
              <w:spacing w:before="0" w:after="0"/>
              <w:jc w:val="center"/>
              <w:rPr>
                <w:rFonts w:eastAsia="Times New Roman" w:cs="Times New Roman"/>
                <w:color w:val="000000"/>
                <w:sz w:val="20"/>
                <w:szCs w:val="20"/>
              </w:rPr>
            </w:pPr>
            <w:r>
              <w:rPr>
                <w:rFonts w:eastAsia="Times New Roman" w:cs="Times New Roman"/>
                <w:color w:val="000000"/>
                <w:sz w:val="20"/>
                <w:szCs w:val="20"/>
              </w:rPr>
              <w:t>59</w:t>
            </w:r>
            <w:r>
              <w:rPr>
                <w:rFonts w:eastAsia="Times New Roman" w:cs="Times New Roman"/>
                <w:sz w:val="20"/>
                <w:szCs w:val="20"/>
              </w:rPr>
              <w:t>.</w:t>
            </w:r>
            <w:r>
              <w:rPr>
                <w:rFonts w:eastAsia="Times New Roman" w:cs="Times New Roman"/>
                <w:color w:val="000000"/>
                <w:sz w:val="20"/>
                <w:szCs w:val="20"/>
              </w:rPr>
              <w:t>3 km</w:t>
            </w:r>
          </w:p>
        </w:tc>
      </w:tr>
      <w:tr w:rsidR="00560596" w14:paraId="5DB63C90" w14:textId="77777777" w:rsidTr="000878CE">
        <w:trPr>
          <w:trHeight w:val="200"/>
          <w:jc w:val="center"/>
        </w:trPr>
        <w:tc>
          <w:tcPr>
            <w:tcW w:w="1050" w:type="dxa"/>
            <w:vMerge w:val="restart"/>
            <w:tcBorders>
              <w:left w:val="single" w:sz="4" w:space="0" w:color="000000"/>
            </w:tcBorders>
          </w:tcPr>
          <w:p w14:paraId="2DF7B2DD"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Map 4</w:t>
            </w:r>
          </w:p>
        </w:tc>
        <w:tc>
          <w:tcPr>
            <w:tcW w:w="1170" w:type="dxa"/>
            <w:vMerge w:val="restart"/>
            <w:tcBorders>
              <w:top w:val="single" w:sz="4" w:space="0" w:color="000000"/>
              <w:bottom w:val="single" w:sz="4" w:space="0" w:color="000000"/>
            </w:tcBorders>
            <w:vAlign w:val="center"/>
          </w:tcPr>
          <w:p w14:paraId="12958DF9" w14:textId="77777777" w:rsidR="00560596" w:rsidRDefault="00560596" w:rsidP="00560596">
            <w:pPr>
              <w:widowControl w:val="0"/>
              <w:pBdr>
                <w:top w:val="nil"/>
                <w:left w:val="nil"/>
                <w:bottom w:val="nil"/>
                <w:right w:val="nil"/>
                <w:between w:val="nil"/>
              </w:pBdr>
              <w:spacing w:before="0" w:after="0"/>
              <w:rPr>
                <w:rFonts w:eastAsia="Times New Roman" w:cs="Times New Roman"/>
                <w:sz w:val="20"/>
                <w:szCs w:val="20"/>
              </w:rPr>
            </w:pPr>
            <w:r>
              <w:rPr>
                <w:rFonts w:eastAsia="Times New Roman" w:cs="Times New Roman"/>
                <w:sz w:val="20"/>
                <w:szCs w:val="20"/>
              </w:rPr>
              <w:t>Rio Grande do Norte</w:t>
            </w:r>
          </w:p>
        </w:tc>
        <w:tc>
          <w:tcPr>
            <w:tcW w:w="1485" w:type="dxa"/>
            <w:vMerge w:val="restart"/>
          </w:tcPr>
          <w:p w14:paraId="0E743A17" w14:textId="77777777" w:rsidR="00560596" w:rsidRDefault="00560596" w:rsidP="00560596">
            <w:pPr>
              <w:spacing w:before="0" w:after="0"/>
              <w:jc w:val="center"/>
              <w:rPr>
                <w:rFonts w:eastAsia="Times New Roman" w:cs="Times New Roman"/>
                <w:sz w:val="20"/>
                <w:szCs w:val="20"/>
              </w:rPr>
            </w:pPr>
            <w:r>
              <w:rPr>
                <w:rFonts w:eastAsia="Times New Roman" w:cs="Times New Roman"/>
                <w:sz w:val="20"/>
                <w:szCs w:val="20"/>
              </w:rPr>
              <w:t>Macau</w:t>
            </w:r>
          </w:p>
        </w:tc>
        <w:tc>
          <w:tcPr>
            <w:tcW w:w="2799" w:type="dxa"/>
            <w:tcBorders>
              <w:right w:val="single" w:sz="4" w:space="0" w:color="000000"/>
            </w:tcBorders>
            <w:vAlign w:val="bottom"/>
          </w:tcPr>
          <w:p w14:paraId="1BE5336A" w14:textId="77777777" w:rsidR="00560596" w:rsidRDefault="00560596" w:rsidP="00560596">
            <w:pPr>
              <w:spacing w:before="0" w:after="0"/>
              <w:rPr>
                <w:rFonts w:eastAsia="Times New Roman" w:cs="Times New Roman"/>
                <w:color w:val="000000"/>
                <w:sz w:val="20"/>
                <w:szCs w:val="20"/>
              </w:rPr>
            </w:pPr>
            <w:proofErr w:type="spellStart"/>
            <w:r>
              <w:rPr>
                <w:rFonts w:eastAsia="Times New Roman" w:cs="Times New Roman"/>
                <w:color w:val="000000"/>
                <w:sz w:val="20"/>
                <w:szCs w:val="20"/>
              </w:rPr>
              <w:t>Diogo</w:t>
            </w:r>
            <w:proofErr w:type="spellEnd"/>
            <w:r>
              <w:rPr>
                <w:rFonts w:eastAsia="Times New Roman" w:cs="Times New Roman"/>
                <w:color w:val="000000"/>
                <w:sz w:val="20"/>
                <w:szCs w:val="20"/>
              </w:rPr>
              <w:t xml:space="preserve"> Lopes</w:t>
            </w:r>
          </w:p>
        </w:tc>
        <w:tc>
          <w:tcPr>
            <w:tcW w:w="1443" w:type="dxa"/>
            <w:vMerge w:val="restart"/>
            <w:tcBorders>
              <w:right w:val="single" w:sz="4" w:space="0" w:color="000000"/>
            </w:tcBorders>
            <w:vAlign w:val="center"/>
          </w:tcPr>
          <w:p w14:paraId="42F21FAE" w14:textId="77777777" w:rsidR="00560596" w:rsidRDefault="00560596" w:rsidP="00560596">
            <w:pPr>
              <w:spacing w:before="0" w:after="0"/>
              <w:jc w:val="center"/>
              <w:rPr>
                <w:rFonts w:eastAsia="Times New Roman" w:cs="Times New Roman"/>
                <w:color w:val="000000"/>
                <w:sz w:val="20"/>
                <w:szCs w:val="20"/>
              </w:rPr>
            </w:pPr>
            <w:r>
              <w:rPr>
                <w:rFonts w:eastAsia="Times New Roman" w:cs="Times New Roman"/>
                <w:color w:val="000000"/>
                <w:sz w:val="20"/>
                <w:szCs w:val="20"/>
              </w:rPr>
              <w:t>118 km</w:t>
            </w:r>
          </w:p>
        </w:tc>
      </w:tr>
      <w:tr w:rsidR="00560596" w14:paraId="65390D33" w14:textId="77777777" w:rsidTr="000878CE">
        <w:trPr>
          <w:trHeight w:val="200"/>
          <w:jc w:val="center"/>
        </w:trPr>
        <w:tc>
          <w:tcPr>
            <w:tcW w:w="1050" w:type="dxa"/>
            <w:vMerge/>
            <w:tcBorders>
              <w:left w:val="single" w:sz="4" w:space="0" w:color="000000"/>
            </w:tcBorders>
          </w:tcPr>
          <w:p w14:paraId="333E3ECC"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1170" w:type="dxa"/>
            <w:vMerge/>
            <w:tcBorders>
              <w:top w:val="single" w:sz="4" w:space="0" w:color="000000"/>
              <w:bottom w:val="single" w:sz="4" w:space="0" w:color="000000"/>
            </w:tcBorders>
            <w:vAlign w:val="center"/>
          </w:tcPr>
          <w:p w14:paraId="75FBF3D2"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1485" w:type="dxa"/>
            <w:vMerge/>
          </w:tcPr>
          <w:p w14:paraId="5DC5A5B7"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2799" w:type="dxa"/>
            <w:tcBorders>
              <w:right w:val="single" w:sz="4" w:space="0" w:color="000000"/>
            </w:tcBorders>
            <w:vAlign w:val="bottom"/>
          </w:tcPr>
          <w:p w14:paraId="02734303" w14:textId="77777777" w:rsidR="00560596" w:rsidRDefault="00560596" w:rsidP="00560596">
            <w:pPr>
              <w:spacing w:before="0" w:after="0"/>
              <w:rPr>
                <w:rFonts w:eastAsia="Times New Roman" w:cs="Times New Roman"/>
                <w:color w:val="000000"/>
                <w:sz w:val="20"/>
                <w:szCs w:val="20"/>
              </w:rPr>
            </w:pPr>
            <w:proofErr w:type="spellStart"/>
            <w:r>
              <w:rPr>
                <w:rFonts w:eastAsia="Times New Roman" w:cs="Times New Roman"/>
                <w:color w:val="000000"/>
                <w:sz w:val="20"/>
                <w:szCs w:val="20"/>
              </w:rPr>
              <w:t>Barreiras</w:t>
            </w:r>
            <w:proofErr w:type="spellEnd"/>
            <w:r>
              <w:rPr>
                <w:rFonts w:eastAsia="Times New Roman" w:cs="Times New Roman"/>
                <w:color w:val="000000"/>
                <w:sz w:val="20"/>
                <w:szCs w:val="20"/>
              </w:rPr>
              <w:t xml:space="preserve"> </w:t>
            </w:r>
          </w:p>
        </w:tc>
        <w:tc>
          <w:tcPr>
            <w:tcW w:w="1443" w:type="dxa"/>
            <w:vMerge/>
            <w:tcBorders>
              <w:right w:val="single" w:sz="4" w:space="0" w:color="000000"/>
            </w:tcBorders>
            <w:vAlign w:val="center"/>
          </w:tcPr>
          <w:p w14:paraId="1ADE824A"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r>
      <w:tr w:rsidR="00560596" w14:paraId="03EE03BD" w14:textId="77777777" w:rsidTr="000878CE">
        <w:trPr>
          <w:trHeight w:val="200"/>
          <w:jc w:val="center"/>
        </w:trPr>
        <w:tc>
          <w:tcPr>
            <w:tcW w:w="1050" w:type="dxa"/>
            <w:vMerge/>
            <w:tcBorders>
              <w:left w:val="single" w:sz="4" w:space="0" w:color="000000"/>
            </w:tcBorders>
          </w:tcPr>
          <w:p w14:paraId="58BC56D6"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1170" w:type="dxa"/>
            <w:vMerge/>
            <w:tcBorders>
              <w:top w:val="single" w:sz="4" w:space="0" w:color="000000"/>
              <w:bottom w:val="single" w:sz="4" w:space="0" w:color="000000"/>
            </w:tcBorders>
            <w:vAlign w:val="center"/>
          </w:tcPr>
          <w:p w14:paraId="4C5C2C81"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1485" w:type="dxa"/>
            <w:vMerge/>
          </w:tcPr>
          <w:p w14:paraId="072425C3"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c>
          <w:tcPr>
            <w:tcW w:w="2799" w:type="dxa"/>
            <w:tcBorders>
              <w:bottom w:val="single" w:sz="4" w:space="0" w:color="000000"/>
              <w:right w:val="single" w:sz="4" w:space="0" w:color="000000"/>
            </w:tcBorders>
            <w:vAlign w:val="bottom"/>
          </w:tcPr>
          <w:p w14:paraId="10C9559A" w14:textId="77777777" w:rsidR="00560596" w:rsidRDefault="00560596" w:rsidP="00560596">
            <w:pPr>
              <w:spacing w:before="0" w:after="0"/>
              <w:rPr>
                <w:rFonts w:eastAsia="Times New Roman" w:cs="Times New Roman"/>
                <w:color w:val="000000"/>
                <w:sz w:val="20"/>
                <w:szCs w:val="20"/>
              </w:rPr>
            </w:pPr>
            <w:proofErr w:type="spellStart"/>
            <w:r>
              <w:rPr>
                <w:rFonts w:eastAsia="Times New Roman" w:cs="Times New Roman"/>
                <w:color w:val="000000"/>
                <w:sz w:val="20"/>
                <w:szCs w:val="20"/>
              </w:rPr>
              <w:t>Sertãozinho</w:t>
            </w:r>
            <w:proofErr w:type="spellEnd"/>
          </w:p>
        </w:tc>
        <w:tc>
          <w:tcPr>
            <w:tcW w:w="1443" w:type="dxa"/>
            <w:vMerge/>
            <w:tcBorders>
              <w:right w:val="single" w:sz="4" w:space="0" w:color="000000"/>
            </w:tcBorders>
            <w:vAlign w:val="center"/>
          </w:tcPr>
          <w:p w14:paraId="16E5AB6C" w14:textId="77777777" w:rsidR="00560596" w:rsidRDefault="00560596" w:rsidP="00560596">
            <w:pPr>
              <w:widowControl w:val="0"/>
              <w:pBdr>
                <w:top w:val="nil"/>
                <w:left w:val="nil"/>
                <w:bottom w:val="nil"/>
                <w:right w:val="nil"/>
                <w:between w:val="nil"/>
              </w:pBdr>
              <w:spacing w:before="0" w:after="0"/>
              <w:rPr>
                <w:rFonts w:eastAsia="Times New Roman" w:cs="Times New Roman"/>
                <w:color w:val="000000"/>
                <w:sz w:val="20"/>
                <w:szCs w:val="20"/>
              </w:rPr>
            </w:pPr>
          </w:p>
        </w:tc>
      </w:tr>
    </w:tbl>
    <w:p w14:paraId="0F895654" w14:textId="77777777" w:rsidR="00560596" w:rsidRPr="007C4C8F" w:rsidRDefault="00560596" w:rsidP="00560596">
      <w:pPr>
        <w:spacing w:before="0" w:after="0"/>
        <w:jc w:val="both"/>
        <w:rPr>
          <w:rFonts w:cs="Times New Roman"/>
          <w:szCs w:val="24"/>
        </w:rPr>
      </w:pPr>
    </w:p>
    <w:p w14:paraId="6904C9A4" w14:textId="0E47B3BC" w:rsidR="00560596" w:rsidRDefault="00560596" w:rsidP="00560596">
      <w:pPr>
        <w:pStyle w:val="Ttulo2"/>
      </w:pPr>
      <w:r w:rsidRPr="00560596">
        <w:t>Criteria for dividing activities by exposure level</w:t>
      </w:r>
    </w:p>
    <w:p w14:paraId="6FC6FDFF" w14:textId="1260CB86" w:rsidR="00560596" w:rsidRDefault="00560596" w:rsidP="00560596">
      <w:pPr>
        <w:ind w:firstLine="709"/>
        <w:jc w:val="both"/>
      </w:pPr>
      <w:r w:rsidRPr="00560596">
        <w:t xml:space="preserve">The division of the mapped establishments, according to the level of exposure to oil slicks, had as parameter the classification of Blue Economy activities adopted by Carvalho (2018) and agreed upon by </w:t>
      </w:r>
      <w:proofErr w:type="spellStart"/>
      <w:r w:rsidRPr="00560596">
        <w:t>Câmara</w:t>
      </w:r>
      <w:proofErr w:type="spellEnd"/>
      <w:r w:rsidRPr="00560596">
        <w:t xml:space="preserve"> et al. (2021). These activities (Table 2) were grouped into economic sectors, following the national classification of economic activities (NCEA).</w:t>
      </w:r>
    </w:p>
    <w:p w14:paraId="2BDA8318" w14:textId="77777777" w:rsidR="00EC2E4B" w:rsidRPr="000C5D6B" w:rsidRDefault="00EC2E4B" w:rsidP="00EC2E4B">
      <w:pPr>
        <w:spacing w:after="0"/>
        <w:jc w:val="both"/>
        <w:rPr>
          <w:rFonts w:eastAsia="Times New Roman" w:cs="Times New Roman"/>
          <w:sz w:val="20"/>
          <w:szCs w:val="20"/>
        </w:rPr>
      </w:pPr>
      <w:r w:rsidRPr="000C5D6B">
        <w:rPr>
          <w:rFonts w:eastAsia="Times New Roman" w:cs="Times New Roman"/>
          <w:b/>
          <w:sz w:val="20"/>
          <w:szCs w:val="20"/>
        </w:rPr>
        <w:t xml:space="preserve">Table 2 – </w:t>
      </w:r>
      <w:r w:rsidRPr="000C5D6B">
        <w:rPr>
          <w:rFonts w:eastAsia="Times New Roman" w:cs="Times New Roman"/>
          <w:sz w:val="20"/>
          <w:szCs w:val="20"/>
        </w:rPr>
        <w:t>Classification of the establishments identified in the digital mapping, according to sector and exposure level.</w:t>
      </w:r>
    </w:p>
    <w:tbl>
      <w:tblPr>
        <w:tblW w:w="8524"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134"/>
        <w:gridCol w:w="1696"/>
        <w:gridCol w:w="5694"/>
      </w:tblGrid>
      <w:tr w:rsidR="00EC2E4B" w14:paraId="67EB639D" w14:textId="77777777" w:rsidTr="000878CE">
        <w:trPr>
          <w:trHeight w:val="56"/>
          <w:jc w:val="center"/>
        </w:trPr>
        <w:tc>
          <w:tcPr>
            <w:tcW w:w="1134" w:type="dxa"/>
            <w:tcBorders>
              <w:top w:val="single" w:sz="4" w:space="0" w:color="000000"/>
              <w:left w:val="single" w:sz="4" w:space="0" w:color="000000"/>
              <w:bottom w:val="single" w:sz="4" w:space="0" w:color="000000"/>
            </w:tcBorders>
            <w:vAlign w:val="center"/>
          </w:tcPr>
          <w:p w14:paraId="78E3F7F2" w14:textId="77777777" w:rsidR="00EC2E4B" w:rsidRDefault="00EC2E4B" w:rsidP="00EC2E4B">
            <w:pPr>
              <w:spacing w:before="0" w:after="0"/>
              <w:jc w:val="center"/>
              <w:rPr>
                <w:rFonts w:eastAsia="Times New Roman" w:cs="Times New Roman"/>
                <w:b/>
                <w:sz w:val="20"/>
                <w:szCs w:val="20"/>
              </w:rPr>
            </w:pPr>
            <w:r>
              <w:rPr>
                <w:rFonts w:eastAsia="Times New Roman" w:cs="Times New Roman"/>
                <w:b/>
                <w:sz w:val="20"/>
                <w:szCs w:val="20"/>
              </w:rPr>
              <w:t>Level of Exposure</w:t>
            </w:r>
          </w:p>
        </w:tc>
        <w:tc>
          <w:tcPr>
            <w:tcW w:w="1696" w:type="dxa"/>
            <w:tcBorders>
              <w:top w:val="single" w:sz="4" w:space="0" w:color="000000"/>
              <w:bottom w:val="single" w:sz="4" w:space="0" w:color="000000"/>
            </w:tcBorders>
            <w:vAlign w:val="center"/>
          </w:tcPr>
          <w:p w14:paraId="5CAC0303" w14:textId="77777777" w:rsidR="00EC2E4B" w:rsidRDefault="00EC2E4B" w:rsidP="00EC2E4B">
            <w:pPr>
              <w:spacing w:before="0" w:after="0"/>
              <w:jc w:val="center"/>
              <w:rPr>
                <w:rFonts w:eastAsia="Times New Roman" w:cs="Times New Roman"/>
                <w:b/>
                <w:sz w:val="20"/>
                <w:szCs w:val="20"/>
              </w:rPr>
            </w:pPr>
            <w:r>
              <w:rPr>
                <w:rFonts w:eastAsia="Times New Roman" w:cs="Times New Roman"/>
                <w:b/>
                <w:sz w:val="20"/>
                <w:szCs w:val="20"/>
              </w:rPr>
              <w:t>Sectors</w:t>
            </w:r>
          </w:p>
        </w:tc>
        <w:tc>
          <w:tcPr>
            <w:tcW w:w="5694" w:type="dxa"/>
            <w:tcBorders>
              <w:top w:val="single" w:sz="4" w:space="0" w:color="000000"/>
              <w:bottom w:val="single" w:sz="4" w:space="0" w:color="000000"/>
              <w:right w:val="single" w:sz="4" w:space="0" w:color="000000"/>
            </w:tcBorders>
            <w:vAlign w:val="center"/>
          </w:tcPr>
          <w:p w14:paraId="4DFC6CEB" w14:textId="77777777" w:rsidR="00EC2E4B" w:rsidRDefault="00EC2E4B" w:rsidP="00EC2E4B">
            <w:pPr>
              <w:spacing w:before="0" w:after="0"/>
              <w:jc w:val="center"/>
              <w:rPr>
                <w:rFonts w:eastAsia="Times New Roman" w:cs="Times New Roman"/>
                <w:b/>
                <w:sz w:val="20"/>
                <w:szCs w:val="20"/>
              </w:rPr>
            </w:pPr>
            <w:r>
              <w:rPr>
                <w:rFonts w:eastAsia="Times New Roman" w:cs="Times New Roman"/>
                <w:b/>
                <w:sz w:val="20"/>
                <w:szCs w:val="20"/>
              </w:rPr>
              <w:t>Economic Activity</w:t>
            </w:r>
          </w:p>
        </w:tc>
      </w:tr>
      <w:tr w:rsidR="00EC2E4B" w14:paraId="331A9D1D" w14:textId="77777777" w:rsidTr="000878CE">
        <w:trPr>
          <w:trHeight w:val="214"/>
          <w:jc w:val="center"/>
        </w:trPr>
        <w:tc>
          <w:tcPr>
            <w:tcW w:w="1134" w:type="dxa"/>
            <w:vMerge w:val="restart"/>
            <w:tcBorders>
              <w:top w:val="single" w:sz="4" w:space="0" w:color="000000"/>
              <w:left w:val="single" w:sz="4" w:space="0" w:color="000000"/>
              <w:bottom w:val="single" w:sz="4" w:space="0" w:color="000000"/>
            </w:tcBorders>
            <w:vAlign w:val="center"/>
          </w:tcPr>
          <w:p w14:paraId="4C595B9F"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High Exposure</w:t>
            </w:r>
          </w:p>
        </w:tc>
        <w:tc>
          <w:tcPr>
            <w:tcW w:w="1696" w:type="dxa"/>
            <w:vMerge w:val="restart"/>
            <w:tcBorders>
              <w:top w:val="single" w:sz="4" w:space="0" w:color="000000"/>
              <w:bottom w:val="nil"/>
            </w:tcBorders>
            <w:vAlign w:val="center"/>
          </w:tcPr>
          <w:p w14:paraId="1B1CB795"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Food</w:t>
            </w:r>
          </w:p>
        </w:tc>
        <w:tc>
          <w:tcPr>
            <w:tcW w:w="5694" w:type="dxa"/>
            <w:tcBorders>
              <w:top w:val="single" w:sz="4" w:space="0" w:color="000000"/>
              <w:bottom w:val="nil"/>
              <w:right w:val="single" w:sz="4" w:space="0" w:color="000000"/>
            </w:tcBorders>
          </w:tcPr>
          <w:p w14:paraId="37BB9A48"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Restaurants</w:t>
            </w:r>
          </w:p>
        </w:tc>
      </w:tr>
      <w:tr w:rsidR="00EC2E4B" w14:paraId="287248F0" w14:textId="77777777" w:rsidTr="000878CE">
        <w:trPr>
          <w:trHeight w:val="199"/>
          <w:jc w:val="center"/>
        </w:trPr>
        <w:tc>
          <w:tcPr>
            <w:tcW w:w="1134" w:type="dxa"/>
            <w:vMerge/>
            <w:tcBorders>
              <w:top w:val="single" w:sz="4" w:space="0" w:color="000000"/>
              <w:left w:val="single" w:sz="4" w:space="0" w:color="000000"/>
              <w:bottom w:val="single" w:sz="4" w:space="0" w:color="000000"/>
            </w:tcBorders>
            <w:vAlign w:val="center"/>
          </w:tcPr>
          <w:p w14:paraId="1F0A3D0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6D3E0B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696024D7"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Bars</w:t>
            </w:r>
          </w:p>
        </w:tc>
      </w:tr>
      <w:tr w:rsidR="00EC2E4B" w14:paraId="11728898"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4364EA3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11792CD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0B95804"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Snack Bars</w:t>
            </w:r>
          </w:p>
        </w:tc>
      </w:tr>
      <w:tr w:rsidR="00EC2E4B" w14:paraId="2510656E"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71EEDB80"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7367A4C0"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6A283F47"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Beach huts</w:t>
            </w:r>
          </w:p>
        </w:tc>
      </w:tr>
      <w:tr w:rsidR="00EC2E4B" w14:paraId="370A4409"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010FF040"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5B807F12"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6B97BBBD"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Markets and fish trade</w:t>
            </w:r>
          </w:p>
        </w:tc>
      </w:tr>
      <w:tr w:rsidR="00EC2E4B" w14:paraId="528C64D3"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1FE0E935"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125F6B3A"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1A142CB"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Ice cream parlor</w:t>
            </w:r>
          </w:p>
        </w:tc>
      </w:tr>
      <w:tr w:rsidR="00EC2E4B" w14:paraId="1E71704B"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6F04CEE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681CB4F"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5C615E74"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 xml:space="preserve">Barbecue restaurant </w:t>
            </w:r>
          </w:p>
        </w:tc>
      </w:tr>
      <w:tr w:rsidR="00EC2E4B" w14:paraId="5032048F"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00EDB329"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39FECB1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EC1143B"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Sweetshop</w:t>
            </w:r>
          </w:p>
        </w:tc>
      </w:tr>
      <w:tr w:rsidR="00EC2E4B" w14:paraId="5A04A666"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29E5B5CC"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C7C106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6E8E0938"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Coffee shop</w:t>
            </w:r>
          </w:p>
        </w:tc>
      </w:tr>
      <w:tr w:rsidR="00EC2E4B" w14:paraId="02C308B4" w14:textId="77777777" w:rsidTr="000878CE">
        <w:trPr>
          <w:trHeight w:val="119"/>
          <w:jc w:val="center"/>
        </w:trPr>
        <w:tc>
          <w:tcPr>
            <w:tcW w:w="1134" w:type="dxa"/>
            <w:vMerge/>
            <w:tcBorders>
              <w:top w:val="single" w:sz="4" w:space="0" w:color="000000"/>
              <w:left w:val="single" w:sz="4" w:space="0" w:color="000000"/>
              <w:bottom w:val="single" w:sz="4" w:space="0" w:color="000000"/>
            </w:tcBorders>
            <w:vAlign w:val="center"/>
          </w:tcPr>
          <w:p w14:paraId="7F707709"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1893884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6EDF2CB5"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Bakeries</w:t>
            </w:r>
          </w:p>
        </w:tc>
      </w:tr>
      <w:tr w:rsidR="00EC2E4B" w14:paraId="35909797"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0F31991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val="restart"/>
            <w:tcBorders>
              <w:top w:val="single" w:sz="4" w:space="0" w:color="000000"/>
              <w:bottom w:val="nil"/>
            </w:tcBorders>
            <w:vAlign w:val="center"/>
          </w:tcPr>
          <w:p w14:paraId="7CC9D314"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Accommodation</w:t>
            </w:r>
          </w:p>
        </w:tc>
        <w:tc>
          <w:tcPr>
            <w:tcW w:w="5694" w:type="dxa"/>
            <w:tcBorders>
              <w:top w:val="single" w:sz="4" w:space="0" w:color="000000"/>
              <w:bottom w:val="nil"/>
              <w:right w:val="single" w:sz="4" w:space="0" w:color="000000"/>
            </w:tcBorders>
          </w:tcPr>
          <w:p w14:paraId="65B3960F"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Hotel</w:t>
            </w:r>
          </w:p>
        </w:tc>
      </w:tr>
      <w:tr w:rsidR="00EC2E4B" w14:paraId="2101F597"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0714430B"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F5C9F8A"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0F6140DC"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Inn</w:t>
            </w:r>
          </w:p>
        </w:tc>
      </w:tr>
      <w:tr w:rsidR="00EC2E4B" w14:paraId="0DCDF128"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6337682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5FA2EF17"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08BB202C"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Resort</w:t>
            </w:r>
          </w:p>
        </w:tc>
      </w:tr>
      <w:tr w:rsidR="00EC2E4B" w14:paraId="70ADF413"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30A955B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B49FA3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1010D451"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Hostel</w:t>
            </w:r>
          </w:p>
        </w:tc>
      </w:tr>
      <w:tr w:rsidR="00EC2E4B" w14:paraId="195E760E"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5C79762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3AB5F2A9"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12AFDFB"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Beach House</w:t>
            </w:r>
          </w:p>
        </w:tc>
      </w:tr>
      <w:tr w:rsidR="00EC2E4B" w14:paraId="02C6C44A"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57E3B1E7"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552CDB4F"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34E65139"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Ranch</w:t>
            </w:r>
          </w:p>
        </w:tc>
      </w:tr>
      <w:tr w:rsidR="00EC2E4B" w14:paraId="68B245FA"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1E64F06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1683927"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36655673"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Apartment</w:t>
            </w:r>
          </w:p>
        </w:tc>
      </w:tr>
      <w:tr w:rsidR="00EC2E4B" w14:paraId="35F60789"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1A337D9C"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446691D4"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2DF548C9"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Chalet</w:t>
            </w:r>
          </w:p>
        </w:tc>
      </w:tr>
      <w:tr w:rsidR="00EC2E4B" w14:paraId="1EA14B97" w14:textId="77777777" w:rsidTr="000878CE">
        <w:trPr>
          <w:trHeight w:val="95"/>
          <w:jc w:val="center"/>
        </w:trPr>
        <w:tc>
          <w:tcPr>
            <w:tcW w:w="1134" w:type="dxa"/>
            <w:vMerge/>
            <w:tcBorders>
              <w:top w:val="single" w:sz="4" w:space="0" w:color="000000"/>
              <w:left w:val="single" w:sz="4" w:space="0" w:color="000000"/>
              <w:bottom w:val="single" w:sz="4" w:space="0" w:color="000000"/>
            </w:tcBorders>
            <w:vAlign w:val="center"/>
          </w:tcPr>
          <w:p w14:paraId="3A8BD54E"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val="restart"/>
            <w:tcBorders>
              <w:top w:val="single" w:sz="4" w:space="0" w:color="000000"/>
              <w:bottom w:val="nil"/>
            </w:tcBorders>
            <w:vAlign w:val="center"/>
          </w:tcPr>
          <w:p w14:paraId="2182F691"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Tourism and leisure</w:t>
            </w:r>
          </w:p>
        </w:tc>
        <w:tc>
          <w:tcPr>
            <w:tcW w:w="5694" w:type="dxa"/>
            <w:tcBorders>
              <w:top w:val="single" w:sz="4" w:space="0" w:color="000000"/>
              <w:bottom w:val="nil"/>
              <w:right w:val="single" w:sz="4" w:space="0" w:color="000000"/>
            </w:tcBorders>
          </w:tcPr>
          <w:p w14:paraId="3839DB5D"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 xml:space="preserve">Tourist spots </w:t>
            </w:r>
          </w:p>
        </w:tc>
      </w:tr>
      <w:tr w:rsidR="00EC2E4B" w:rsidRPr="00217464" w14:paraId="6F63A71D" w14:textId="77777777" w:rsidTr="000878CE">
        <w:trPr>
          <w:trHeight w:val="95"/>
          <w:jc w:val="center"/>
        </w:trPr>
        <w:tc>
          <w:tcPr>
            <w:tcW w:w="1134" w:type="dxa"/>
            <w:vMerge/>
            <w:tcBorders>
              <w:top w:val="single" w:sz="4" w:space="0" w:color="000000"/>
              <w:left w:val="single" w:sz="4" w:space="0" w:color="000000"/>
              <w:bottom w:val="single" w:sz="4" w:space="0" w:color="000000"/>
            </w:tcBorders>
            <w:vAlign w:val="center"/>
          </w:tcPr>
          <w:p w14:paraId="2CDD9A4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4C75498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4A927372" w14:textId="77777777" w:rsidR="00EC2E4B" w:rsidRPr="000C5D6B" w:rsidRDefault="00EC2E4B" w:rsidP="00EC2E4B">
            <w:pPr>
              <w:spacing w:before="0" w:after="0"/>
              <w:rPr>
                <w:rFonts w:eastAsia="Times New Roman" w:cs="Times New Roman"/>
                <w:sz w:val="20"/>
                <w:szCs w:val="20"/>
              </w:rPr>
            </w:pPr>
            <w:r w:rsidRPr="000C5D6B">
              <w:rPr>
                <w:rFonts w:eastAsia="Times New Roman" w:cs="Times New Roman"/>
                <w:sz w:val="20"/>
                <w:szCs w:val="20"/>
              </w:rPr>
              <w:t>Places for sports and orchestration or musical activity</w:t>
            </w:r>
          </w:p>
        </w:tc>
      </w:tr>
      <w:tr w:rsidR="00EC2E4B" w14:paraId="74C65039" w14:textId="77777777" w:rsidTr="000878CE">
        <w:trPr>
          <w:trHeight w:val="95"/>
          <w:jc w:val="center"/>
        </w:trPr>
        <w:tc>
          <w:tcPr>
            <w:tcW w:w="1134" w:type="dxa"/>
            <w:vMerge/>
            <w:tcBorders>
              <w:top w:val="single" w:sz="4" w:space="0" w:color="000000"/>
              <w:left w:val="single" w:sz="4" w:space="0" w:color="000000"/>
              <w:bottom w:val="single" w:sz="4" w:space="0" w:color="000000"/>
            </w:tcBorders>
            <w:vAlign w:val="center"/>
          </w:tcPr>
          <w:p w14:paraId="5D0F0768" w14:textId="77777777" w:rsidR="00EC2E4B" w:rsidRPr="000C5D6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49C14FF" w14:textId="77777777" w:rsidR="00EC2E4B" w:rsidRPr="000C5D6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12DE49EA"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Parks, campsites and clubs</w:t>
            </w:r>
          </w:p>
        </w:tc>
      </w:tr>
      <w:tr w:rsidR="00EC2E4B" w14:paraId="1FD5C817" w14:textId="77777777" w:rsidTr="000878CE">
        <w:trPr>
          <w:trHeight w:val="95"/>
          <w:jc w:val="center"/>
        </w:trPr>
        <w:tc>
          <w:tcPr>
            <w:tcW w:w="1134" w:type="dxa"/>
            <w:vMerge/>
            <w:tcBorders>
              <w:top w:val="single" w:sz="4" w:space="0" w:color="000000"/>
              <w:left w:val="single" w:sz="4" w:space="0" w:color="000000"/>
              <w:bottom w:val="single" w:sz="4" w:space="0" w:color="000000"/>
            </w:tcBorders>
            <w:vAlign w:val="center"/>
          </w:tcPr>
          <w:p w14:paraId="7700A014"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E0A0564"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117DBD59"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Buggy rides</w:t>
            </w:r>
          </w:p>
        </w:tc>
      </w:tr>
      <w:tr w:rsidR="00EC2E4B" w14:paraId="1C8B7F7E" w14:textId="77777777" w:rsidTr="000878CE">
        <w:trPr>
          <w:trHeight w:val="95"/>
          <w:jc w:val="center"/>
        </w:trPr>
        <w:tc>
          <w:tcPr>
            <w:tcW w:w="1134" w:type="dxa"/>
            <w:vMerge/>
            <w:tcBorders>
              <w:top w:val="single" w:sz="4" w:space="0" w:color="000000"/>
              <w:left w:val="single" w:sz="4" w:space="0" w:color="000000"/>
              <w:bottom w:val="single" w:sz="4" w:space="0" w:color="000000"/>
            </w:tcBorders>
            <w:vAlign w:val="center"/>
          </w:tcPr>
          <w:p w14:paraId="6769DC24"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32F3D59"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26516B3B"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Tourist sites</w:t>
            </w:r>
          </w:p>
        </w:tc>
      </w:tr>
      <w:tr w:rsidR="00EC2E4B" w14:paraId="0454CF32" w14:textId="77777777" w:rsidTr="000878CE">
        <w:trPr>
          <w:trHeight w:val="95"/>
          <w:jc w:val="center"/>
        </w:trPr>
        <w:tc>
          <w:tcPr>
            <w:tcW w:w="1134" w:type="dxa"/>
            <w:vMerge/>
            <w:tcBorders>
              <w:top w:val="single" w:sz="4" w:space="0" w:color="000000"/>
              <w:left w:val="single" w:sz="4" w:space="0" w:color="000000"/>
              <w:bottom w:val="single" w:sz="4" w:space="0" w:color="000000"/>
            </w:tcBorders>
            <w:vAlign w:val="center"/>
          </w:tcPr>
          <w:p w14:paraId="2EA6BC12"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4D89DA5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3C898F8C"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Museum or theater</w:t>
            </w:r>
          </w:p>
        </w:tc>
      </w:tr>
      <w:tr w:rsidR="00EC2E4B" w14:paraId="74987DBB"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449D62C4"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val="restart"/>
            <w:tcBorders>
              <w:top w:val="single" w:sz="4" w:space="0" w:color="000000"/>
              <w:bottom w:val="nil"/>
            </w:tcBorders>
            <w:vAlign w:val="center"/>
          </w:tcPr>
          <w:p w14:paraId="64E2DC7B" w14:textId="77777777" w:rsidR="00EC2E4B" w:rsidRPr="000C5D6B" w:rsidRDefault="00EC2E4B" w:rsidP="00EC2E4B">
            <w:pPr>
              <w:spacing w:before="0" w:after="0"/>
              <w:jc w:val="center"/>
              <w:rPr>
                <w:rFonts w:eastAsia="Times New Roman" w:cs="Times New Roman"/>
                <w:sz w:val="20"/>
                <w:szCs w:val="20"/>
                <w:vertAlign w:val="superscript"/>
              </w:rPr>
            </w:pPr>
            <w:r w:rsidRPr="000C5D6B">
              <w:rPr>
                <w:rFonts w:eastAsia="Times New Roman" w:cs="Times New Roman"/>
                <w:sz w:val="20"/>
                <w:szCs w:val="20"/>
              </w:rPr>
              <w:t>General services of high exposure</w:t>
            </w:r>
          </w:p>
        </w:tc>
        <w:tc>
          <w:tcPr>
            <w:tcW w:w="5694" w:type="dxa"/>
            <w:tcBorders>
              <w:top w:val="single" w:sz="4" w:space="0" w:color="000000"/>
              <w:bottom w:val="nil"/>
              <w:right w:val="single" w:sz="4" w:space="0" w:color="000000"/>
            </w:tcBorders>
          </w:tcPr>
          <w:p w14:paraId="6E314E5F"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Real Estate Activity</w:t>
            </w:r>
          </w:p>
        </w:tc>
      </w:tr>
      <w:tr w:rsidR="00EC2E4B" w14:paraId="3FF2E206"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191C6C7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7278E81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236DA22A"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Travel and tourism</w:t>
            </w:r>
          </w:p>
        </w:tc>
      </w:tr>
      <w:tr w:rsidR="00EC2E4B" w:rsidRPr="00217464" w14:paraId="563335F0"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63D5E5EE"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1FE2CEE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5B29306A" w14:textId="77777777" w:rsidR="00EC2E4B" w:rsidRPr="000C5D6B" w:rsidRDefault="00EC2E4B" w:rsidP="00EC2E4B">
            <w:pPr>
              <w:spacing w:before="0" w:after="0"/>
              <w:rPr>
                <w:rFonts w:eastAsia="Times New Roman" w:cs="Times New Roman"/>
                <w:sz w:val="20"/>
                <w:szCs w:val="20"/>
              </w:rPr>
            </w:pPr>
            <w:r w:rsidRPr="000C5D6B">
              <w:rPr>
                <w:rFonts w:eastAsia="Times New Roman" w:cs="Times New Roman"/>
                <w:sz w:val="20"/>
                <w:szCs w:val="20"/>
              </w:rPr>
              <w:t>Water transport, sea terminal or port customs</w:t>
            </w:r>
          </w:p>
        </w:tc>
      </w:tr>
      <w:tr w:rsidR="00EC2E4B" w14:paraId="76FF0196"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05A91374" w14:textId="77777777" w:rsidR="00EC2E4B" w:rsidRPr="000C5D6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val="restart"/>
            <w:tcBorders>
              <w:top w:val="single" w:sz="4" w:space="0" w:color="000000"/>
              <w:bottom w:val="nil"/>
            </w:tcBorders>
            <w:vAlign w:val="center"/>
          </w:tcPr>
          <w:p w14:paraId="425C05C2" w14:textId="77777777" w:rsidR="00EC2E4B" w:rsidRDefault="00EC2E4B" w:rsidP="00EC2E4B">
            <w:pPr>
              <w:spacing w:before="0" w:after="0"/>
              <w:jc w:val="center"/>
              <w:rPr>
                <w:rFonts w:eastAsia="Times New Roman" w:cs="Times New Roman"/>
                <w:sz w:val="20"/>
                <w:szCs w:val="20"/>
                <w:vertAlign w:val="superscript"/>
              </w:rPr>
            </w:pPr>
            <w:r>
              <w:rPr>
                <w:rFonts w:eastAsia="Times New Roman" w:cs="Times New Roman"/>
                <w:sz w:val="20"/>
                <w:szCs w:val="20"/>
              </w:rPr>
              <w:t>Stores of high exposure</w:t>
            </w:r>
          </w:p>
        </w:tc>
        <w:tc>
          <w:tcPr>
            <w:tcW w:w="5694" w:type="dxa"/>
            <w:tcBorders>
              <w:top w:val="single" w:sz="4" w:space="0" w:color="000000"/>
              <w:bottom w:val="nil"/>
              <w:right w:val="single" w:sz="4" w:space="0" w:color="000000"/>
            </w:tcBorders>
          </w:tcPr>
          <w:p w14:paraId="5F55BB4A"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Aquaculture</w:t>
            </w:r>
          </w:p>
        </w:tc>
      </w:tr>
      <w:tr w:rsidR="00EC2E4B" w14:paraId="0E957A4E" w14:textId="77777777" w:rsidTr="000878CE">
        <w:trPr>
          <w:trHeight w:val="54"/>
          <w:jc w:val="center"/>
        </w:trPr>
        <w:tc>
          <w:tcPr>
            <w:tcW w:w="1134" w:type="dxa"/>
            <w:vMerge/>
            <w:tcBorders>
              <w:top w:val="single" w:sz="4" w:space="0" w:color="000000"/>
              <w:left w:val="single" w:sz="4" w:space="0" w:color="000000"/>
              <w:bottom w:val="single" w:sz="4" w:space="0" w:color="000000"/>
            </w:tcBorders>
            <w:vAlign w:val="center"/>
          </w:tcPr>
          <w:p w14:paraId="2FECD36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B77C0DC"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2C2E7D9B"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Handicraft or embroidery</w:t>
            </w:r>
          </w:p>
        </w:tc>
      </w:tr>
      <w:tr w:rsidR="00EC2E4B" w14:paraId="7999CCB2" w14:textId="77777777" w:rsidTr="000878CE">
        <w:trPr>
          <w:trHeight w:val="244"/>
          <w:jc w:val="center"/>
        </w:trPr>
        <w:tc>
          <w:tcPr>
            <w:tcW w:w="1134" w:type="dxa"/>
            <w:vMerge/>
            <w:tcBorders>
              <w:top w:val="single" w:sz="4" w:space="0" w:color="000000"/>
              <w:left w:val="single" w:sz="4" w:space="0" w:color="000000"/>
              <w:bottom w:val="single" w:sz="4" w:space="0" w:color="000000"/>
            </w:tcBorders>
            <w:vAlign w:val="center"/>
          </w:tcPr>
          <w:p w14:paraId="1781B165"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57F25D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59DC75A3"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Food industry</w:t>
            </w:r>
          </w:p>
        </w:tc>
      </w:tr>
      <w:tr w:rsidR="00EC2E4B" w14:paraId="3A126D02" w14:textId="77777777" w:rsidTr="000878CE">
        <w:trPr>
          <w:trHeight w:val="66"/>
          <w:jc w:val="center"/>
        </w:trPr>
        <w:tc>
          <w:tcPr>
            <w:tcW w:w="1134" w:type="dxa"/>
            <w:vMerge w:val="restart"/>
            <w:tcBorders>
              <w:top w:val="single" w:sz="4" w:space="0" w:color="000000"/>
              <w:left w:val="single" w:sz="4" w:space="0" w:color="000000"/>
            </w:tcBorders>
            <w:vAlign w:val="center"/>
          </w:tcPr>
          <w:p w14:paraId="1C4ECABE"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Low Exposure</w:t>
            </w:r>
          </w:p>
        </w:tc>
        <w:tc>
          <w:tcPr>
            <w:tcW w:w="1696" w:type="dxa"/>
            <w:vMerge w:val="restart"/>
            <w:tcBorders>
              <w:top w:val="single" w:sz="4" w:space="0" w:color="000000"/>
              <w:bottom w:val="nil"/>
            </w:tcBorders>
            <w:vAlign w:val="center"/>
          </w:tcPr>
          <w:p w14:paraId="15C49B17"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Automotive services</w:t>
            </w:r>
          </w:p>
        </w:tc>
        <w:tc>
          <w:tcPr>
            <w:tcW w:w="5694" w:type="dxa"/>
            <w:tcBorders>
              <w:top w:val="single" w:sz="4" w:space="0" w:color="000000"/>
              <w:bottom w:val="nil"/>
              <w:right w:val="single" w:sz="4" w:space="0" w:color="000000"/>
            </w:tcBorders>
          </w:tcPr>
          <w:p w14:paraId="327E8072"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Tire or welding shop</w:t>
            </w:r>
          </w:p>
        </w:tc>
      </w:tr>
      <w:tr w:rsidR="00EC2E4B" w14:paraId="4DEDEC91" w14:textId="77777777" w:rsidTr="000878CE">
        <w:trPr>
          <w:trHeight w:val="66"/>
          <w:jc w:val="center"/>
        </w:trPr>
        <w:tc>
          <w:tcPr>
            <w:tcW w:w="1134" w:type="dxa"/>
            <w:vMerge/>
            <w:tcBorders>
              <w:top w:val="single" w:sz="4" w:space="0" w:color="000000"/>
              <w:left w:val="single" w:sz="4" w:space="0" w:color="000000"/>
            </w:tcBorders>
            <w:vAlign w:val="center"/>
          </w:tcPr>
          <w:p w14:paraId="6FECA62A"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4AF7B30"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3B15C9DD"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Car wash</w:t>
            </w:r>
          </w:p>
        </w:tc>
      </w:tr>
      <w:tr w:rsidR="00EC2E4B" w:rsidRPr="00217464" w14:paraId="7B9DE946" w14:textId="77777777" w:rsidTr="000878CE">
        <w:trPr>
          <w:trHeight w:val="66"/>
          <w:jc w:val="center"/>
        </w:trPr>
        <w:tc>
          <w:tcPr>
            <w:tcW w:w="1134" w:type="dxa"/>
            <w:vMerge/>
            <w:tcBorders>
              <w:top w:val="single" w:sz="4" w:space="0" w:color="000000"/>
              <w:left w:val="single" w:sz="4" w:space="0" w:color="000000"/>
            </w:tcBorders>
            <w:vAlign w:val="center"/>
          </w:tcPr>
          <w:p w14:paraId="3B9942E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01A7812B"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1212F06B" w14:textId="77777777" w:rsidR="00EC2E4B" w:rsidRPr="000C5D6B" w:rsidRDefault="00EC2E4B" w:rsidP="00EC2E4B">
            <w:pPr>
              <w:spacing w:before="0" w:after="0"/>
              <w:rPr>
                <w:rFonts w:eastAsia="Times New Roman" w:cs="Times New Roman"/>
                <w:sz w:val="20"/>
                <w:szCs w:val="20"/>
              </w:rPr>
            </w:pPr>
            <w:r w:rsidRPr="000C5D6B">
              <w:rPr>
                <w:rFonts w:eastAsia="Times New Roman" w:cs="Times New Roman"/>
                <w:sz w:val="20"/>
                <w:szCs w:val="20"/>
              </w:rPr>
              <w:t>Workshop and auto parts (car and motorcycle parts)</w:t>
            </w:r>
          </w:p>
        </w:tc>
      </w:tr>
      <w:tr w:rsidR="00EC2E4B" w14:paraId="75E62A0F" w14:textId="77777777" w:rsidTr="000878CE">
        <w:trPr>
          <w:trHeight w:val="66"/>
          <w:jc w:val="center"/>
        </w:trPr>
        <w:tc>
          <w:tcPr>
            <w:tcW w:w="1134" w:type="dxa"/>
            <w:vMerge/>
            <w:tcBorders>
              <w:top w:val="single" w:sz="4" w:space="0" w:color="000000"/>
              <w:left w:val="single" w:sz="4" w:space="0" w:color="000000"/>
            </w:tcBorders>
            <w:vAlign w:val="center"/>
          </w:tcPr>
          <w:p w14:paraId="740B14CE" w14:textId="77777777" w:rsidR="00EC2E4B" w:rsidRPr="000C5D6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val="restart"/>
            <w:tcBorders>
              <w:top w:val="single" w:sz="4" w:space="0" w:color="000000"/>
              <w:bottom w:val="nil"/>
            </w:tcBorders>
            <w:vAlign w:val="center"/>
          </w:tcPr>
          <w:p w14:paraId="682A1A7F"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Esthetic services</w:t>
            </w:r>
          </w:p>
        </w:tc>
        <w:tc>
          <w:tcPr>
            <w:tcW w:w="5694" w:type="dxa"/>
            <w:tcBorders>
              <w:top w:val="single" w:sz="4" w:space="0" w:color="000000"/>
              <w:bottom w:val="nil"/>
              <w:right w:val="single" w:sz="4" w:space="0" w:color="000000"/>
            </w:tcBorders>
          </w:tcPr>
          <w:p w14:paraId="32475720"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Beauty salon and manicure</w:t>
            </w:r>
          </w:p>
        </w:tc>
      </w:tr>
      <w:tr w:rsidR="00EC2E4B" w14:paraId="2809AF6A" w14:textId="77777777" w:rsidTr="000878CE">
        <w:trPr>
          <w:trHeight w:val="66"/>
          <w:jc w:val="center"/>
        </w:trPr>
        <w:tc>
          <w:tcPr>
            <w:tcW w:w="1134" w:type="dxa"/>
            <w:vMerge/>
            <w:tcBorders>
              <w:top w:val="single" w:sz="4" w:space="0" w:color="000000"/>
              <w:left w:val="single" w:sz="4" w:space="0" w:color="000000"/>
            </w:tcBorders>
            <w:vAlign w:val="center"/>
          </w:tcPr>
          <w:p w14:paraId="19E86D9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04C05814"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61FFA92B"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Tanning salon</w:t>
            </w:r>
          </w:p>
        </w:tc>
      </w:tr>
      <w:tr w:rsidR="00EC2E4B" w:rsidRPr="00217464" w14:paraId="333111DE" w14:textId="77777777" w:rsidTr="000878CE">
        <w:trPr>
          <w:trHeight w:val="66"/>
          <w:jc w:val="center"/>
        </w:trPr>
        <w:tc>
          <w:tcPr>
            <w:tcW w:w="1134" w:type="dxa"/>
            <w:vMerge/>
            <w:tcBorders>
              <w:top w:val="single" w:sz="4" w:space="0" w:color="000000"/>
              <w:left w:val="single" w:sz="4" w:space="0" w:color="000000"/>
            </w:tcBorders>
            <w:vAlign w:val="center"/>
          </w:tcPr>
          <w:p w14:paraId="169B325A"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5AE76D0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B4F7B10" w14:textId="77777777" w:rsidR="00EC2E4B" w:rsidRPr="000C5D6B" w:rsidRDefault="00EC2E4B" w:rsidP="00EC2E4B">
            <w:pPr>
              <w:spacing w:before="0" w:after="0"/>
              <w:rPr>
                <w:rFonts w:eastAsia="Times New Roman" w:cs="Times New Roman"/>
                <w:sz w:val="20"/>
                <w:szCs w:val="20"/>
              </w:rPr>
            </w:pPr>
            <w:r w:rsidRPr="000C5D6B">
              <w:rPr>
                <w:rFonts w:eastAsia="Times New Roman" w:cs="Times New Roman"/>
                <w:sz w:val="20"/>
                <w:szCs w:val="20"/>
              </w:rPr>
              <w:t>SPA, beauty or hair removal clinic</w:t>
            </w:r>
          </w:p>
        </w:tc>
      </w:tr>
      <w:tr w:rsidR="00EC2E4B" w14:paraId="1A440DBF" w14:textId="77777777" w:rsidTr="000878CE">
        <w:trPr>
          <w:trHeight w:val="66"/>
          <w:jc w:val="center"/>
        </w:trPr>
        <w:tc>
          <w:tcPr>
            <w:tcW w:w="1134" w:type="dxa"/>
            <w:vMerge/>
            <w:tcBorders>
              <w:top w:val="single" w:sz="4" w:space="0" w:color="000000"/>
              <w:left w:val="single" w:sz="4" w:space="0" w:color="000000"/>
            </w:tcBorders>
            <w:vAlign w:val="center"/>
          </w:tcPr>
          <w:p w14:paraId="7C8751A1" w14:textId="77777777" w:rsidR="00EC2E4B" w:rsidRPr="000C5D6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E53817A" w14:textId="77777777" w:rsidR="00EC2E4B" w:rsidRPr="000C5D6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149B060E"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Gym and/or yoga</w:t>
            </w:r>
          </w:p>
        </w:tc>
      </w:tr>
      <w:tr w:rsidR="00EC2E4B" w14:paraId="267B2CBA" w14:textId="77777777" w:rsidTr="000878CE">
        <w:trPr>
          <w:trHeight w:val="66"/>
          <w:jc w:val="center"/>
        </w:trPr>
        <w:tc>
          <w:tcPr>
            <w:tcW w:w="1134" w:type="dxa"/>
            <w:vMerge/>
            <w:tcBorders>
              <w:top w:val="single" w:sz="4" w:space="0" w:color="000000"/>
              <w:left w:val="single" w:sz="4" w:space="0" w:color="000000"/>
            </w:tcBorders>
            <w:vAlign w:val="center"/>
          </w:tcPr>
          <w:p w14:paraId="3FD016E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D0A7BF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0641D453"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Barber shop</w:t>
            </w:r>
          </w:p>
        </w:tc>
      </w:tr>
      <w:tr w:rsidR="00EC2E4B" w14:paraId="372AA53B" w14:textId="77777777" w:rsidTr="000878CE">
        <w:trPr>
          <w:trHeight w:val="66"/>
          <w:jc w:val="center"/>
        </w:trPr>
        <w:tc>
          <w:tcPr>
            <w:tcW w:w="1134" w:type="dxa"/>
            <w:vMerge/>
            <w:tcBorders>
              <w:top w:val="single" w:sz="4" w:space="0" w:color="000000"/>
              <w:left w:val="single" w:sz="4" w:space="0" w:color="000000"/>
            </w:tcBorders>
            <w:vAlign w:val="center"/>
          </w:tcPr>
          <w:p w14:paraId="5E6F945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799BA7D9"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63831788"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Tattoo parlor</w:t>
            </w:r>
          </w:p>
        </w:tc>
      </w:tr>
      <w:tr w:rsidR="00EC2E4B" w14:paraId="499772CD" w14:textId="77777777" w:rsidTr="000878CE">
        <w:trPr>
          <w:trHeight w:val="66"/>
          <w:jc w:val="center"/>
        </w:trPr>
        <w:tc>
          <w:tcPr>
            <w:tcW w:w="1134" w:type="dxa"/>
            <w:vMerge/>
            <w:tcBorders>
              <w:top w:val="single" w:sz="4" w:space="0" w:color="000000"/>
              <w:left w:val="single" w:sz="4" w:space="0" w:color="000000"/>
            </w:tcBorders>
            <w:vAlign w:val="center"/>
          </w:tcPr>
          <w:p w14:paraId="7A11A6B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val="restart"/>
            <w:tcBorders>
              <w:top w:val="single" w:sz="4" w:space="0" w:color="000000"/>
            </w:tcBorders>
            <w:vAlign w:val="center"/>
          </w:tcPr>
          <w:p w14:paraId="1234C179" w14:textId="77777777" w:rsidR="00EC2E4B" w:rsidRPr="00C85A27" w:rsidRDefault="00EC2E4B" w:rsidP="00EC2E4B">
            <w:pPr>
              <w:spacing w:before="0" w:after="0"/>
              <w:jc w:val="center"/>
              <w:rPr>
                <w:rFonts w:eastAsia="Times New Roman" w:cs="Times New Roman"/>
                <w:sz w:val="20"/>
                <w:szCs w:val="20"/>
                <w:vertAlign w:val="superscript"/>
              </w:rPr>
            </w:pPr>
            <w:r w:rsidRPr="00C85A27">
              <w:rPr>
                <w:rFonts w:eastAsia="Times New Roman" w:cs="Times New Roman"/>
                <w:sz w:val="20"/>
                <w:szCs w:val="20"/>
              </w:rPr>
              <w:t>General services of low exposure</w:t>
            </w:r>
          </w:p>
        </w:tc>
        <w:tc>
          <w:tcPr>
            <w:tcW w:w="5694" w:type="dxa"/>
            <w:tcBorders>
              <w:top w:val="single" w:sz="4" w:space="0" w:color="000000"/>
              <w:right w:val="single" w:sz="4" w:space="0" w:color="000000"/>
            </w:tcBorders>
          </w:tcPr>
          <w:p w14:paraId="0CEF0B76"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Gas stations</w:t>
            </w:r>
          </w:p>
        </w:tc>
      </w:tr>
      <w:tr w:rsidR="00EC2E4B" w14:paraId="3C793485" w14:textId="77777777" w:rsidTr="000878CE">
        <w:trPr>
          <w:trHeight w:val="66"/>
          <w:jc w:val="center"/>
        </w:trPr>
        <w:tc>
          <w:tcPr>
            <w:tcW w:w="1134" w:type="dxa"/>
            <w:vMerge/>
            <w:tcBorders>
              <w:top w:val="single" w:sz="4" w:space="0" w:color="000000"/>
              <w:left w:val="single" w:sz="4" w:space="0" w:color="000000"/>
            </w:tcBorders>
            <w:vAlign w:val="center"/>
          </w:tcPr>
          <w:p w14:paraId="521C0082"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174C537F"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662BE190"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Educational institutions (including universities)</w:t>
            </w:r>
          </w:p>
        </w:tc>
      </w:tr>
      <w:tr w:rsidR="00EC2E4B" w:rsidRPr="00217464" w14:paraId="1C8663AA" w14:textId="77777777" w:rsidTr="000878CE">
        <w:trPr>
          <w:trHeight w:val="66"/>
          <w:jc w:val="center"/>
        </w:trPr>
        <w:tc>
          <w:tcPr>
            <w:tcW w:w="1134" w:type="dxa"/>
            <w:vMerge/>
            <w:tcBorders>
              <w:top w:val="single" w:sz="4" w:space="0" w:color="000000"/>
              <w:left w:val="single" w:sz="4" w:space="0" w:color="000000"/>
            </w:tcBorders>
            <w:vAlign w:val="center"/>
          </w:tcPr>
          <w:p w14:paraId="10E098A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134DEDD5"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2FA9B4B5"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NGO, foundation, association or council</w:t>
            </w:r>
          </w:p>
        </w:tc>
      </w:tr>
      <w:tr w:rsidR="00EC2E4B" w14:paraId="519304AE" w14:textId="77777777" w:rsidTr="000878CE">
        <w:trPr>
          <w:trHeight w:val="66"/>
          <w:jc w:val="center"/>
        </w:trPr>
        <w:tc>
          <w:tcPr>
            <w:tcW w:w="1134" w:type="dxa"/>
            <w:vMerge/>
            <w:tcBorders>
              <w:top w:val="single" w:sz="4" w:space="0" w:color="000000"/>
              <w:left w:val="single" w:sz="4" w:space="0" w:color="000000"/>
            </w:tcBorders>
            <w:vAlign w:val="center"/>
          </w:tcPr>
          <w:p w14:paraId="6AAA376A"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1F1CC25D"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2D592FFF"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Fishermen's association</w:t>
            </w:r>
          </w:p>
        </w:tc>
      </w:tr>
      <w:tr w:rsidR="00EC2E4B" w:rsidRPr="00217464" w14:paraId="64C096A4" w14:textId="77777777" w:rsidTr="000878CE">
        <w:trPr>
          <w:trHeight w:val="66"/>
          <w:jc w:val="center"/>
        </w:trPr>
        <w:tc>
          <w:tcPr>
            <w:tcW w:w="1134" w:type="dxa"/>
            <w:vMerge/>
            <w:tcBorders>
              <w:top w:val="single" w:sz="4" w:space="0" w:color="000000"/>
              <w:left w:val="single" w:sz="4" w:space="0" w:color="000000"/>
            </w:tcBorders>
            <w:vAlign w:val="center"/>
          </w:tcPr>
          <w:p w14:paraId="1027662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52867899"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0BCD79A6"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Health center, hospital, emergency care units, clinic or dentist</w:t>
            </w:r>
          </w:p>
        </w:tc>
      </w:tr>
      <w:tr w:rsidR="00EC2E4B" w14:paraId="5FC8153E" w14:textId="77777777" w:rsidTr="000878CE">
        <w:trPr>
          <w:trHeight w:val="66"/>
          <w:jc w:val="center"/>
        </w:trPr>
        <w:tc>
          <w:tcPr>
            <w:tcW w:w="1134" w:type="dxa"/>
            <w:vMerge/>
            <w:tcBorders>
              <w:top w:val="single" w:sz="4" w:space="0" w:color="000000"/>
              <w:left w:val="single" w:sz="4" w:space="0" w:color="000000"/>
            </w:tcBorders>
            <w:vAlign w:val="center"/>
          </w:tcPr>
          <w:p w14:paraId="4B5FFA67"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3C161FAE"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37CA1D05"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Advertising studio or agency</w:t>
            </w:r>
          </w:p>
        </w:tc>
      </w:tr>
      <w:tr w:rsidR="00EC2E4B" w:rsidRPr="00217464" w14:paraId="1F339ACE" w14:textId="77777777" w:rsidTr="000878CE">
        <w:trPr>
          <w:trHeight w:val="66"/>
          <w:jc w:val="center"/>
        </w:trPr>
        <w:tc>
          <w:tcPr>
            <w:tcW w:w="1134" w:type="dxa"/>
            <w:vMerge/>
            <w:tcBorders>
              <w:top w:val="single" w:sz="4" w:space="0" w:color="000000"/>
              <w:left w:val="single" w:sz="4" w:space="0" w:color="000000"/>
            </w:tcBorders>
            <w:vAlign w:val="center"/>
          </w:tcPr>
          <w:p w14:paraId="19E3CFDB"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53A9C05A"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32451496"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Financial, legal, insurance or business activity</w:t>
            </w:r>
          </w:p>
        </w:tc>
      </w:tr>
      <w:tr w:rsidR="00EC2E4B" w:rsidRPr="00217464" w14:paraId="6399A258" w14:textId="77777777" w:rsidTr="000878CE">
        <w:trPr>
          <w:trHeight w:val="66"/>
          <w:jc w:val="center"/>
        </w:trPr>
        <w:tc>
          <w:tcPr>
            <w:tcW w:w="1134" w:type="dxa"/>
            <w:vMerge/>
            <w:tcBorders>
              <w:top w:val="single" w:sz="4" w:space="0" w:color="000000"/>
              <w:left w:val="single" w:sz="4" w:space="0" w:color="000000"/>
            </w:tcBorders>
            <w:vAlign w:val="center"/>
          </w:tcPr>
          <w:p w14:paraId="19C6A249"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744C8F00"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3816F3F4"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Events, nightclubs, catering or other entertainment activities</w:t>
            </w:r>
          </w:p>
        </w:tc>
      </w:tr>
      <w:tr w:rsidR="00EC2E4B" w:rsidRPr="00217464" w14:paraId="012CC095" w14:textId="77777777" w:rsidTr="000878CE">
        <w:trPr>
          <w:trHeight w:val="66"/>
          <w:jc w:val="center"/>
        </w:trPr>
        <w:tc>
          <w:tcPr>
            <w:tcW w:w="1134" w:type="dxa"/>
            <w:vMerge/>
            <w:tcBorders>
              <w:top w:val="single" w:sz="4" w:space="0" w:color="000000"/>
              <w:left w:val="single" w:sz="4" w:space="0" w:color="000000"/>
            </w:tcBorders>
            <w:vAlign w:val="center"/>
          </w:tcPr>
          <w:p w14:paraId="17F5E77B"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4FBE2789"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4CFF820B"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 xml:space="preserve">Post office, registry office, forum or newspaper </w:t>
            </w:r>
          </w:p>
        </w:tc>
      </w:tr>
      <w:tr w:rsidR="00EC2E4B" w14:paraId="20A213BB" w14:textId="77777777" w:rsidTr="000878CE">
        <w:trPr>
          <w:trHeight w:val="66"/>
          <w:jc w:val="center"/>
        </w:trPr>
        <w:tc>
          <w:tcPr>
            <w:tcW w:w="1134" w:type="dxa"/>
            <w:vMerge/>
            <w:tcBorders>
              <w:top w:val="single" w:sz="4" w:space="0" w:color="000000"/>
              <w:left w:val="single" w:sz="4" w:space="0" w:color="000000"/>
            </w:tcBorders>
            <w:vAlign w:val="center"/>
          </w:tcPr>
          <w:p w14:paraId="2CE4CCC7"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6090AE0E"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29724A88"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 xml:space="preserve">Engineering services </w:t>
            </w:r>
          </w:p>
        </w:tc>
      </w:tr>
      <w:tr w:rsidR="00EC2E4B" w14:paraId="6407B058" w14:textId="77777777" w:rsidTr="000878CE">
        <w:trPr>
          <w:trHeight w:val="66"/>
          <w:jc w:val="center"/>
        </w:trPr>
        <w:tc>
          <w:tcPr>
            <w:tcW w:w="1134" w:type="dxa"/>
            <w:vMerge/>
            <w:tcBorders>
              <w:top w:val="single" w:sz="4" w:space="0" w:color="000000"/>
              <w:left w:val="single" w:sz="4" w:space="0" w:color="000000"/>
            </w:tcBorders>
            <w:vAlign w:val="center"/>
          </w:tcPr>
          <w:p w14:paraId="04DBBBF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7CC77E39"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0C423C15"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Technical support or internet</w:t>
            </w:r>
          </w:p>
        </w:tc>
      </w:tr>
      <w:tr w:rsidR="00EC2E4B" w14:paraId="791E2816" w14:textId="77777777" w:rsidTr="000878CE">
        <w:trPr>
          <w:trHeight w:val="66"/>
          <w:jc w:val="center"/>
        </w:trPr>
        <w:tc>
          <w:tcPr>
            <w:tcW w:w="1134" w:type="dxa"/>
            <w:vMerge/>
            <w:tcBorders>
              <w:top w:val="single" w:sz="4" w:space="0" w:color="000000"/>
              <w:left w:val="single" w:sz="4" w:space="0" w:color="000000"/>
            </w:tcBorders>
            <w:vAlign w:val="center"/>
          </w:tcPr>
          <w:p w14:paraId="1604FB1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582129AC"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0B488B8C"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 xml:space="preserve">Security </w:t>
            </w:r>
          </w:p>
        </w:tc>
      </w:tr>
      <w:tr w:rsidR="00EC2E4B" w14:paraId="3BFA0814" w14:textId="77777777" w:rsidTr="000878CE">
        <w:trPr>
          <w:trHeight w:val="66"/>
          <w:jc w:val="center"/>
        </w:trPr>
        <w:tc>
          <w:tcPr>
            <w:tcW w:w="1134" w:type="dxa"/>
            <w:vMerge/>
            <w:tcBorders>
              <w:top w:val="single" w:sz="4" w:space="0" w:color="000000"/>
              <w:left w:val="single" w:sz="4" w:space="0" w:color="000000"/>
            </w:tcBorders>
            <w:vAlign w:val="center"/>
          </w:tcPr>
          <w:p w14:paraId="14F4D6F8"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0FE7AF0E"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46336016"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Driving school</w:t>
            </w:r>
          </w:p>
        </w:tc>
      </w:tr>
      <w:tr w:rsidR="00EC2E4B" w14:paraId="13C518BE" w14:textId="77777777" w:rsidTr="000878CE">
        <w:trPr>
          <w:trHeight w:val="66"/>
          <w:jc w:val="center"/>
        </w:trPr>
        <w:tc>
          <w:tcPr>
            <w:tcW w:w="1134" w:type="dxa"/>
            <w:vMerge/>
            <w:tcBorders>
              <w:top w:val="single" w:sz="4" w:space="0" w:color="000000"/>
              <w:left w:val="single" w:sz="4" w:space="0" w:color="000000"/>
            </w:tcBorders>
            <w:vAlign w:val="center"/>
          </w:tcPr>
          <w:p w14:paraId="0214CA2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729CCAD4"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041E26DA"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Bank or lottery</w:t>
            </w:r>
          </w:p>
        </w:tc>
      </w:tr>
      <w:tr w:rsidR="00EC2E4B" w14:paraId="41A732F8" w14:textId="77777777" w:rsidTr="000878CE">
        <w:trPr>
          <w:trHeight w:val="66"/>
          <w:jc w:val="center"/>
        </w:trPr>
        <w:tc>
          <w:tcPr>
            <w:tcW w:w="1134" w:type="dxa"/>
            <w:vMerge/>
            <w:tcBorders>
              <w:top w:val="single" w:sz="4" w:space="0" w:color="000000"/>
              <w:left w:val="single" w:sz="4" w:space="0" w:color="000000"/>
            </w:tcBorders>
            <w:vAlign w:val="center"/>
          </w:tcPr>
          <w:p w14:paraId="0B52F68F"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08C99502"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38662506"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Laundry</w:t>
            </w:r>
          </w:p>
        </w:tc>
      </w:tr>
      <w:tr w:rsidR="00EC2E4B" w14:paraId="46023660" w14:textId="77777777" w:rsidTr="000878CE">
        <w:trPr>
          <w:trHeight w:val="66"/>
          <w:jc w:val="center"/>
        </w:trPr>
        <w:tc>
          <w:tcPr>
            <w:tcW w:w="1134" w:type="dxa"/>
            <w:vMerge/>
            <w:tcBorders>
              <w:top w:val="single" w:sz="4" w:space="0" w:color="000000"/>
              <w:left w:val="single" w:sz="4" w:space="0" w:color="000000"/>
            </w:tcBorders>
            <w:vAlign w:val="center"/>
          </w:tcPr>
          <w:p w14:paraId="465B1B20"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302C7BF5"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359C3DF8"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Telecommunication</w:t>
            </w:r>
          </w:p>
        </w:tc>
      </w:tr>
      <w:tr w:rsidR="00EC2E4B" w14:paraId="68B9274F" w14:textId="77777777" w:rsidTr="000878CE">
        <w:trPr>
          <w:trHeight w:val="66"/>
          <w:jc w:val="center"/>
        </w:trPr>
        <w:tc>
          <w:tcPr>
            <w:tcW w:w="1134" w:type="dxa"/>
            <w:vMerge/>
            <w:tcBorders>
              <w:top w:val="single" w:sz="4" w:space="0" w:color="000000"/>
              <w:left w:val="single" w:sz="4" w:space="0" w:color="000000"/>
            </w:tcBorders>
            <w:vAlign w:val="center"/>
          </w:tcPr>
          <w:p w14:paraId="5DECCE3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60AF65C0"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43DF4DD1"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Parking</w:t>
            </w:r>
          </w:p>
        </w:tc>
      </w:tr>
      <w:tr w:rsidR="00EC2E4B" w:rsidRPr="00217464" w14:paraId="5922C942" w14:textId="77777777" w:rsidTr="000878CE">
        <w:trPr>
          <w:trHeight w:val="66"/>
          <w:jc w:val="center"/>
        </w:trPr>
        <w:tc>
          <w:tcPr>
            <w:tcW w:w="1134" w:type="dxa"/>
            <w:vMerge/>
            <w:tcBorders>
              <w:top w:val="single" w:sz="4" w:space="0" w:color="000000"/>
              <w:left w:val="single" w:sz="4" w:space="0" w:color="000000"/>
            </w:tcBorders>
            <w:vAlign w:val="center"/>
          </w:tcPr>
          <w:p w14:paraId="2226007B"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26ED2F0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7432BA52"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Power, mining or water treatment stations</w:t>
            </w:r>
          </w:p>
        </w:tc>
      </w:tr>
      <w:tr w:rsidR="00EC2E4B" w:rsidRPr="00217464" w14:paraId="45471918" w14:textId="77777777" w:rsidTr="000878CE">
        <w:trPr>
          <w:trHeight w:val="66"/>
          <w:jc w:val="center"/>
        </w:trPr>
        <w:tc>
          <w:tcPr>
            <w:tcW w:w="1134" w:type="dxa"/>
            <w:vMerge/>
            <w:tcBorders>
              <w:top w:val="single" w:sz="4" w:space="0" w:color="000000"/>
              <w:left w:val="single" w:sz="4" w:space="0" w:color="000000"/>
            </w:tcBorders>
            <w:vAlign w:val="center"/>
          </w:tcPr>
          <w:p w14:paraId="268FD15B"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765F4481"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3FD40EC3"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Police station, police command, army or air force</w:t>
            </w:r>
          </w:p>
        </w:tc>
      </w:tr>
      <w:tr w:rsidR="00EC2E4B" w:rsidRPr="00217464" w14:paraId="2ADB8A01" w14:textId="77777777" w:rsidTr="000878CE">
        <w:trPr>
          <w:trHeight w:val="66"/>
          <w:jc w:val="center"/>
        </w:trPr>
        <w:tc>
          <w:tcPr>
            <w:tcW w:w="1134" w:type="dxa"/>
            <w:vMerge/>
            <w:tcBorders>
              <w:top w:val="single" w:sz="4" w:space="0" w:color="000000"/>
              <w:left w:val="single" w:sz="4" w:space="0" w:color="000000"/>
            </w:tcBorders>
            <w:vAlign w:val="center"/>
          </w:tcPr>
          <w:p w14:paraId="539A87C8"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6A57EA3B"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49C1CCD3"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Toilet rentals, cleaning services or garbage collection</w:t>
            </w:r>
          </w:p>
        </w:tc>
      </w:tr>
      <w:tr w:rsidR="00EC2E4B" w14:paraId="752173E7" w14:textId="77777777" w:rsidTr="000878CE">
        <w:trPr>
          <w:trHeight w:val="66"/>
          <w:jc w:val="center"/>
        </w:trPr>
        <w:tc>
          <w:tcPr>
            <w:tcW w:w="1134" w:type="dxa"/>
            <w:vMerge/>
            <w:tcBorders>
              <w:top w:val="single" w:sz="4" w:space="0" w:color="000000"/>
              <w:left w:val="single" w:sz="4" w:space="0" w:color="000000"/>
            </w:tcBorders>
            <w:vAlign w:val="center"/>
          </w:tcPr>
          <w:p w14:paraId="434A098D"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0A5D411D"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right w:val="single" w:sz="4" w:space="0" w:color="000000"/>
            </w:tcBorders>
          </w:tcPr>
          <w:p w14:paraId="3697B5AD"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Transportation or logistics services</w:t>
            </w:r>
          </w:p>
        </w:tc>
      </w:tr>
      <w:tr w:rsidR="00EC2E4B" w:rsidRPr="00217464" w14:paraId="12FA9FC2" w14:textId="77777777" w:rsidTr="000878CE">
        <w:trPr>
          <w:trHeight w:val="66"/>
          <w:jc w:val="center"/>
        </w:trPr>
        <w:tc>
          <w:tcPr>
            <w:tcW w:w="1134" w:type="dxa"/>
            <w:vMerge/>
            <w:tcBorders>
              <w:top w:val="single" w:sz="4" w:space="0" w:color="000000"/>
              <w:left w:val="single" w:sz="4" w:space="0" w:color="000000"/>
            </w:tcBorders>
            <w:vAlign w:val="center"/>
          </w:tcPr>
          <w:p w14:paraId="1F685EC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tcBorders>
            <w:vAlign w:val="center"/>
          </w:tcPr>
          <w:p w14:paraId="0207D315"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bottom w:val="single" w:sz="4" w:space="0" w:color="000000"/>
              <w:right w:val="single" w:sz="4" w:space="0" w:color="000000"/>
            </w:tcBorders>
          </w:tcPr>
          <w:p w14:paraId="01396C41"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Government or union headquarters or department</w:t>
            </w:r>
          </w:p>
        </w:tc>
      </w:tr>
      <w:tr w:rsidR="00EC2E4B" w:rsidRPr="00217464" w14:paraId="29262967" w14:textId="77777777" w:rsidTr="000878CE">
        <w:trPr>
          <w:trHeight w:val="136"/>
          <w:jc w:val="center"/>
        </w:trPr>
        <w:tc>
          <w:tcPr>
            <w:tcW w:w="1134" w:type="dxa"/>
            <w:vMerge/>
            <w:tcBorders>
              <w:top w:val="single" w:sz="4" w:space="0" w:color="000000"/>
              <w:left w:val="single" w:sz="4" w:space="0" w:color="000000"/>
            </w:tcBorders>
            <w:vAlign w:val="center"/>
          </w:tcPr>
          <w:p w14:paraId="33CF8B0C"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val="restart"/>
            <w:tcBorders>
              <w:top w:val="single" w:sz="4" w:space="0" w:color="000000"/>
              <w:bottom w:val="nil"/>
            </w:tcBorders>
            <w:vAlign w:val="center"/>
          </w:tcPr>
          <w:p w14:paraId="3C160D34"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Stores of low exposure</w:t>
            </w:r>
          </w:p>
        </w:tc>
        <w:tc>
          <w:tcPr>
            <w:tcW w:w="5694" w:type="dxa"/>
            <w:tcBorders>
              <w:top w:val="single" w:sz="4" w:space="0" w:color="000000"/>
              <w:bottom w:val="nil"/>
              <w:right w:val="single" w:sz="4" w:space="0" w:color="000000"/>
            </w:tcBorders>
          </w:tcPr>
          <w:p w14:paraId="350558A3"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Fashion, cosmetics, jewelry or shoe stores</w:t>
            </w:r>
          </w:p>
        </w:tc>
      </w:tr>
      <w:tr w:rsidR="00EC2E4B" w14:paraId="5919497D" w14:textId="77777777" w:rsidTr="000878CE">
        <w:trPr>
          <w:trHeight w:val="136"/>
          <w:jc w:val="center"/>
        </w:trPr>
        <w:tc>
          <w:tcPr>
            <w:tcW w:w="1134" w:type="dxa"/>
            <w:vMerge/>
            <w:tcBorders>
              <w:top w:val="single" w:sz="4" w:space="0" w:color="000000"/>
              <w:left w:val="single" w:sz="4" w:space="0" w:color="000000"/>
            </w:tcBorders>
            <w:vAlign w:val="center"/>
          </w:tcPr>
          <w:p w14:paraId="380F1322"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355DDA77"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6C92DC46"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Children's stores</w:t>
            </w:r>
          </w:p>
        </w:tc>
      </w:tr>
      <w:tr w:rsidR="00EC2E4B" w:rsidRPr="00217464" w14:paraId="37E37110" w14:textId="77777777" w:rsidTr="000878CE">
        <w:trPr>
          <w:trHeight w:val="136"/>
          <w:jc w:val="center"/>
        </w:trPr>
        <w:tc>
          <w:tcPr>
            <w:tcW w:w="1134" w:type="dxa"/>
            <w:vMerge/>
            <w:tcBorders>
              <w:top w:val="single" w:sz="4" w:space="0" w:color="000000"/>
              <w:left w:val="single" w:sz="4" w:space="0" w:color="000000"/>
            </w:tcBorders>
            <w:vAlign w:val="center"/>
          </w:tcPr>
          <w:p w14:paraId="3A251528"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3BA963B7"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6C63488E"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Furniture, household goods, or appliances</w:t>
            </w:r>
          </w:p>
        </w:tc>
      </w:tr>
      <w:tr w:rsidR="00EC2E4B" w:rsidRPr="00217464" w14:paraId="01EB25E4" w14:textId="77777777" w:rsidTr="000878CE">
        <w:trPr>
          <w:trHeight w:val="136"/>
          <w:jc w:val="center"/>
        </w:trPr>
        <w:tc>
          <w:tcPr>
            <w:tcW w:w="1134" w:type="dxa"/>
            <w:vMerge/>
            <w:tcBorders>
              <w:top w:val="single" w:sz="4" w:space="0" w:color="000000"/>
              <w:left w:val="single" w:sz="4" w:space="0" w:color="000000"/>
            </w:tcBorders>
            <w:vAlign w:val="center"/>
          </w:tcPr>
          <w:p w14:paraId="2B7547DC"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4D527C9E"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0838DFD"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Electronics, musical instrument, or game stores</w:t>
            </w:r>
          </w:p>
        </w:tc>
      </w:tr>
      <w:tr w:rsidR="00EC2E4B" w14:paraId="6F3E3D52" w14:textId="77777777" w:rsidTr="000878CE">
        <w:trPr>
          <w:trHeight w:val="136"/>
          <w:jc w:val="center"/>
        </w:trPr>
        <w:tc>
          <w:tcPr>
            <w:tcW w:w="1134" w:type="dxa"/>
            <w:vMerge/>
            <w:tcBorders>
              <w:top w:val="single" w:sz="4" w:space="0" w:color="000000"/>
              <w:left w:val="single" w:sz="4" w:space="0" w:color="000000"/>
            </w:tcBorders>
            <w:vAlign w:val="center"/>
          </w:tcPr>
          <w:p w14:paraId="35193C6C"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42FD59A"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5A2241AC"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Technology company</w:t>
            </w:r>
          </w:p>
        </w:tc>
      </w:tr>
      <w:tr w:rsidR="00EC2E4B" w:rsidRPr="00217464" w14:paraId="753D983D" w14:textId="77777777" w:rsidTr="000878CE">
        <w:trPr>
          <w:trHeight w:val="136"/>
          <w:jc w:val="center"/>
        </w:trPr>
        <w:tc>
          <w:tcPr>
            <w:tcW w:w="1134" w:type="dxa"/>
            <w:vMerge/>
            <w:tcBorders>
              <w:top w:val="single" w:sz="4" w:space="0" w:color="000000"/>
              <w:left w:val="single" w:sz="4" w:space="0" w:color="000000"/>
            </w:tcBorders>
            <w:vAlign w:val="center"/>
          </w:tcPr>
          <w:p w14:paraId="41C36AD3"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00E5FA32"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11BC05F7"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Stationery, printing, book, or party supply stores</w:t>
            </w:r>
          </w:p>
        </w:tc>
      </w:tr>
      <w:tr w:rsidR="00EC2E4B" w:rsidRPr="00217464" w14:paraId="2E572A01" w14:textId="77777777" w:rsidTr="000878CE">
        <w:trPr>
          <w:trHeight w:val="136"/>
          <w:jc w:val="center"/>
        </w:trPr>
        <w:tc>
          <w:tcPr>
            <w:tcW w:w="1134" w:type="dxa"/>
            <w:vMerge/>
            <w:tcBorders>
              <w:top w:val="single" w:sz="4" w:space="0" w:color="000000"/>
              <w:left w:val="single" w:sz="4" w:space="0" w:color="000000"/>
            </w:tcBorders>
            <w:vAlign w:val="center"/>
          </w:tcPr>
          <w:p w14:paraId="57065AC0"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9D46047"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537E462E"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Bicycle and quad bike stores</w:t>
            </w:r>
          </w:p>
        </w:tc>
      </w:tr>
      <w:tr w:rsidR="00EC2E4B" w14:paraId="372FCE6A" w14:textId="77777777" w:rsidTr="000878CE">
        <w:trPr>
          <w:trHeight w:val="136"/>
          <w:jc w:val="center"/>
        </w:trPr>
        <w:tc>
          <w:tcPr>
            <w:tcW w:w="1134" w:type="dxa"/>
            <w:vMerge/>
            <w:tcBorders>
              <w:top w:val="single" w:sz="4" w:space="0" w:color="000000"/>
              <w:left w:val="single" w:sz="4" w:space="0" w:color="000000"/>
            </w:tcBorders>
            <w:vAlign w:val="center"/>
          </w:tcPr>
          <w:p w14:paraId="60F3334A"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D03904C"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3CC39B76"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PET stores</w:t>
            </w:r>
          </w:p>
        </w:tc>
      </w:tr>
      <w:tr w:rsidR="00EC2E4B" w:rsidRPr="00217464" w14:paraId="0164EAB7" w14:textId="77777777" w:rsidTr="000878CE">
        <w:trPr>
          <w:trHeight w:val="244"/>
          <w:jc w:val="center"/>
        </w:trPr>
        <w:tc>
          <w:tcPr>
            <w:tcW w:w="1134" w:type="dxa"/>
            <w:vMerge/>
            <w:tcBorders>
              <w:top w:val="single" w:sz="4" w:space="0" w:color="000000"/>
              <w:left w:val="single" w:sz="4" w:space="0" w:color="000000"/>
            </w:tcBorders>
            <w:vAlign w:val="center"/>
          </w:tcPr>
          <w:p w14:paraId="400E9C76"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0B95408C"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7DA00FD"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Flower, garden and lawn supply stores</w:t>
            </w:r>
          </w:p>
        </w:tc>
      </w:tr>
      <w:tr w:rsidR="00EC2E4B" w14:paraId="221562AE" w14:textId="77777777" w:rsidTr="000878CE">
        <w:trPr>
          <w:trHeight w:val="136"/>
          <w:jc w:val="center"/>
        </w:trPr>
        <w:tc>
          <w:tcPr>
            <w:tcW w:w="1134" w:type="dxa"/>
            <w:vMerge/>
            <w:tcBorders>
              <w:top w:val="single" w:sz="4" w:space="0" w:color="000000"/>
              <w:left w:val="single" w:sz="4" w:space="0" w:color="000000"/>
            </w:tcBorders>
            <w:vAlign w:val="center"/>
          </w:tcPr>
          <w:p w14:paraId="178D2B40"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1DC0F5A5"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0E9C6D2F"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Gas distributor</w:t>
            </w:r>
          </w:p>
        </w:tc>
      </w:tr>
      <w:tr w:rsidR="00EC2E4B" w:rsidRPr="00217464" w14:paraId="52677225" w14:textId="77777777" w:rsidTr="000878CE">
        <w:trPr>
          <w:trHeight w:val="136"/>
          <w:jc w:val="center"/>
        </w:trPr>
        <w:tc>
          <w:tcPr>
            <w:tcW w:w="1134" w:type="dxa"/>
            <w:vMerge/>
            <w:tcBorders>
              <w:top w:val="single" w:sz="4" w:space="0" w:color="000000"/>
              <w:left w:val="single" w:sz="4" w:space="0" w:color="000000"/>
            </w:tcBorders>
            <w:vAlign w:val="center"/>
          </w:tcPr>
          <w:p w14:paraId="29776AB1"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544D058"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1BF99F78"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Beverage, ice, liquor or tobacco vendor</w:t>
            </w:r>
          </w:p>
        </w:tc>
      </w:tr>
      <w:tr w:rsidR="00EC2E4B" w:rsidRPr="00217464" w14:paraId="078E84C4" w14:textId="77777777" w:rsidTr="000878CE">
        <w:trPr>
          <w:trHeight w:val="136"/>
          <w:jc w:val="center"/>
        </w:trPr>
        <w:tc>
          <w:tcPr>
            <w:tcW w:w="1134" w:type="dxa"/>
            <w:vMerge/>
            <w:tcBorders>
              <w:top w:val="single" w:sz="4" w:space="0" w:color="000000"/>
              <w:left w:val="single" w:sz="4" w:space="0" w:color="000000"/>
            </w:tcBorders>
            <w:vAlign w:val="center"/>
          </w:tcPr>
          <w:p w14:paraId="6592CE14"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4BF8D0E6"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2372D628"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Pool or beach entertainment items</w:t>
            </w:r>
          </w:p>
        </w:tc>
      </w:tr>
      <w:tr w:rsidR="00EC2E4B" w:rsidRPr="00217464" w14:paraId="77F7A301" w14:textId="77777777" w:rsidTr="000878CE">
        <w:trPr>
          <w:trHeight w:val="136"/>
          <w:jc w:val="center"/>
        </w:trPr>
        <w:tc>
          <w:tcPr>
            <w:tcW w:w="1134" w:type="dxa"/>
            <w:vMerge/>
            <w:tcBorders>
              <w:top w:val="single" w:sz="4" w:space="0" w:color="000000"/>
              <w:left w:val="single" w:sz="4" w:space="0" w:color="000000"/>
            </w:tcBorders>
            <w:vAlign w:val="center"/>
          </w:tcPr>
          <w:p w14:paraId="01880A94"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5B0A8C28"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3EAFC3CF"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Construction materials, parts and hardware or blasting</w:t>
            </w:r>
          </w:p>
        </w:tc>
      </w:tr>
      <w:tr w:rsidR="00EC2E4B" w14:paraId="5E7B2302" w14:textId="77777777" w:rsidTr="000878CE">
        <w:trPr>
          <w:trHeight w:val="136"/>
          <w:jc w:val="center"/>
        </w:trPr>
        <w:tc>
          <w:tcPr>
            <w:tcW w:w="1134" w:type="dxa"/>
            <w:vMerge/>
            <w:tcBorders>
              <w:top w:val="single" w:sz="4" w:space="0" w:color="000000"/>
              <w:left w:val="single" w:sz="4" w:space="0" w:color="000000"/>
            </w:tcBorders>
            <w:vAlign w:val="center"/>
          </w:tcPr>
          <w:p w14:paraId="72355027"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0250CC80"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0C2065D"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Pharmacy or supplement store</w:t>
            </w:r>
          </w:p>
        </w:tc>
      </w:tr>
      <w:tr w:rsidR="00EC2E4B" w:rsidRPr="00217464" w14:paraId="75F1716C" w14:textId="77777777" w:rsidTr="000878CE">
        <w:trPr>
          <w:trHeight w:val="136"/>
          <w:jc w:val="center"/>
        </w:trPr>
        <w:tc>
          <w:tcPr>
            <w:tcW w:w="1134" w:type="dxa"/>
            <w:vMerge/>
            <w:tcBorders>
              <w:top w:val="single" w:sz="4" w:space="0" w:color="000000"/>
              <w:left w:val="single" w:sz="4" w:space="0" w:color="000000"/>
            </w:tcBorders>
            <w:vAlign w:val="center"/>
          </w:tcPr>
          <w:p w14:paraId="34FAF2FF"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1A48F05D"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B39DD73"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Surf store, fishing or hunting supplies</w:t>
            </w:r>
          </w:p>
        </w:tc>
      </w:tr>
      <w:tr w:rsidR="00EC2E4B" w14:paraId="6EC653C0" w14:textId="77777777" w:rsidTr="000878CE">
        <w:trPr>
          <w:trHeight w:val="136"/>
          <w:jc w:val="center"/>
        </w:trPr>
        <w:tc>
          <w:tcPr>
            <w:tcW w:w="1134" w:type="dxa"/>
            <w:vMerge/>
            <w:tcBorders>
              <w:top w:val="single" w:sz="4" w:space="0" w:color="000000"/>
              <w:left w:val="single" w:sz="4" w:space="0" w:color="000000"/>
            </w:tcBorders>
            <w:vAlign w:val="center"/>
          </w:tcPr>
          <w:p w14:paraId="4A9924C2"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70240F4C"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326BDB3C"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 xml:space="preserve">Optics </w:t>
            </w:r>
          </w:p>
        </w:tc>
      </w:tr>
      <w:tr w:rsidR="00EC2E4B" w:rsidRPr="00217464" w14:paraId="27B281B8" w14:textId="77777777" w:rsidTr="000878CE">
        <w:trPr>
          <w:trHeight w:val="136"/>
          <w:jc w:val="center"/>
        </w:trPr>
        <w:tc>
          <w:tcPr>
            <w:tcW w:w="1134" w:type="dxa"/>
            <w:vMerge/>
            <w:tcBorders>
              <w:top w:val="single" w:sz="4" w:space="0" w:color="000000"/>
              <w:left w:val="single" w:sz="4" w:space="0" w:color="000000"/>
            </w:tcBorders>
            <w:vAlign w:val="center"/>
          </w:tcPr>
          <w:p w14:paraId="4987ED7A"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7EAE3D8E"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7D7C616D" w14:textId="77777777" w:rsidR="00EC2E4B" w:rsidRPr="00C85A27" w:rsidRDefault="00EC2E4B" w:rsidP="00EC2E4B">
            <w:pPr>
              <w:spacing w:before="0" w:after="0"/>
              <w:rPr>
                <w:rFonts w:eastAsia="Times New Roman" w:cs="Times New Roman"/>
                <w:sz w:val="20"/>
                <w:szCs w:val="20"/>
              </w:rPr>
            </w:pPr>
            <w:r w:rsidRPr="00C85A27">
              <w:rPr>
                <w:rFonts w:eastAsia="Times New Roman" w:cs="Times New Roman"/>
                <w:sz w:val="20"/>
                <w:szCs w:val="20"/>
              </w:rPr>
              <w:t>Concessionaires, boat and motorboat stores</w:t>
            </w:r>
          </w:p>
        </w:tc>
      </w:tr>
      <w:tr w:rsidR="00EC2E4B" w14:paraId="765B2321" w14:textId="77777777" w:rsidTr="000878CE">
        <w:trPr>
          <w:trHeight w:val="136"/>
          <w:jc w:val="center"/>
        </w:trPr>
        <w:tc>
          <w:tcPr>
            <w:tcW w:w="1134" w:type="dxa"/>
            <w:vMerge/>
            <w:tcBorders>
              <w:top w:val="single" w:sz="4" w:space="0" w:color="000000"/>
              <w:left w:val="single" w:sz="4" w:space="0" w:color="000000"/>
            </w:tcBorders>
            <w:vAlign w:val="center"/>
          </w:tcPr>
          <w:p w14:paraId="062731B6"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28AAB9A2" w14:textId="77777777" w:rsidR="00EC2E4B" w:rsidRPr="00C85A27"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nil"/>
              <w:right w:val="single" w:sz="4" w:space="0" w:color="000000"/>
            </w:tcBorders>
          </w:tcPr>
          <w:p w14:paraId="38A03D44"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Religious articles store</w:t>
            </w:r>
          </w:p>
        </w:tc>
      </w:tr>
      <w:tr w:rsidR="00EC2E4B" w14:paraId="74147C68" w14:textId="77777777" w:rsidTr="000878CE">
        <w:trPr>
          <w:trHeight w:val="136"/>
          <w:jc w:val="center"/>
        </w:trPr>
        <w:tc>
          <w:tcPr>
            <w:tcW w:w="1134" w:type="dxa"/>
            <w:vMerge/>
            <w:tcBorders>
              <w:top w:val="single" w:sz="4" w:space="0" w:color="000000"/>
              <w:left w:val="single" w:sz="4" w:space="0" w:color="000000"/>
            </w:tcBorders>
            <w:vAlign w:val="center"/>
          </w:tcPr>
          <w:p w14:paraId="215FA97E"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vMerge/>
            <w:tcBorders>
              <w:top w:val="single" w:sz="4" w:space="0" w:color="000000"/>
              <w:bottom w:val="nil"/>
            </w:tcBorders>
            <w:vAlign w:val="center"/>
          </w:tcPr>
          <w:p w14:paraId="6DF60E07"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5694" w:type="dxa"/>
            <w:tcBorders>
              <w:top w:val="nil"/>
              <w:bottom w:val="single" w:sz="4" w:space="0" w:color="000000"/>
              <w:right w:val="single" w:sz="4" w:space="0" w:color="000000"/>
            </w:tcBorders>
          </w:tcPr>
          <w:p w14:paraId="138518C8"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Variety</w:t>
            </w:r>
          </w:p>
        </w:tc>
      </w:tr>
      <w:tr w:rsidR="00EC2E4B" w14:paraId="1EA123F2" w14:textId="77777777" w:rsidTr="000878CE">
        <w:trPr>
          <w:trHeight w:val="136"/>
          <w:jc w:val="center"/>
        </w:trPr>
        <w:tc>
          <w:tcPr>
            <w:tcW w:w="1134" w:type="dxa"/>
            <w:vMerge/>
            <w:tcBorders>
              <w:top w:val="single" w:sz="4" w:space="0" w:color="000000"/>
              <w:left w:val="single" w:sz="4" w:space="0" w:color="000000"/>
            </w:tcBorders>
            <w:vAlign w:val="center"/>
          </w:tcPr>
          <w:p w14:paraId="50F5941F" w14:textId="77777777" w:rsidR="00EC2E4B"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1696" w:type="dxa"/>
            <w:tcBorders>
              <w:top w:val="single" w:sz="4" w:space="0" w:color="000000"/>
              <w:bottom w:val="single" w:sz="4" w:space="0" w:color="000000"/>
              <w:right w:val="nil"/>
            </w:tcBorders>
            <w:vAlign w:val="center"/>
          </w:tcPr>
          <w:p w14:paraId="78404A4A"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w:t>
            </w:r>
          </w:p>
        </w:tc>
        <w:tc>
          <w:tcPr>
            <w:tcW w:w="5694" w:type="dxa"/>
            <w:tcBorders>
              <w:top w:val="single" w:sz="4" w:space="0" w:color="000000"/>
              <w:left w:val="nil"/>
              <w:bottom w:val="single" w:sz="4" w:space="0" w:color="000000"/>
              <w:right w:val="single" w:sz="4" w:space="0" w:color="000000"/>
            </w:tcBorders>
            <w:vAlign w:val="center"/>
          </w:tcPr>
          <w:p w14:paraId="556F01B3" w14:textId="77777777" w:rsidR="00EC2E4B" w:rsidRDefault="00EC2E4B" w:rsidP="00EC2E4B">
            <w:pPr>
              <w:spacing w:before="0" w:after="0"/>
              <w:rPr>
                <w:rFonts w:eastAsia="Times New Roman" w:cs="Times New Roman"/>
                <w:sz w:val="20"/>
                <w:szCs w:val="20"/>
              </w:rPr>
            </w:pPr>
            <w:r>
              <w:rPr>
                <w:rFonts w:eastAsia="Times New Roman" w:cs="Times New Roman"/>
                <w:sz w:val="20"/>
                <w:szCs w:val="20"/>
              </w:rPr>
              <w:t>Religious institutions</w:t>
            </w:r>
          </w:p>
        </w:tc>
      </w:tr>
    </w:tbl>
    <w:p w14:paraId="266C8296" w14:textId="3765A90F" w:rsidR="00EC2E4B" w:rsidRDefault="00EC2E4B" w:rsidP="00EC2E4B">
      <w:pPr>
        <w:jc w:val="both"/>
      </w:pPr>
    </w:p>
    <w:p w14:paraId="4E8509B6" w14:textId="395E2452" w:rsidR="00EC2E4B" w:rsidRDefault="00EC2E4B" w:rsidP="00EC2E4B">
      <w:pPr>
        <w:pStyle w:val="Ttulo1"/>
      </w:pPr>
      <w:r w:rsidRPr="00EC2E4B">
        <w:t>Focus Group</w:t>
      </w:r>
    </w:p>
    <w:p w14:paraId="7A628F04" w14:textId="77777777" w:rsidR="00EC2E4B" w:rsidRDefault="00EC2E4B" w:rsidP="00EC2E4B">
      <w:pPr>
        <w:ind w:firstLine="709"/>
        <w:jc w:val="both"/>
      </w:pPr>
      <w:r>
        <w:t>Focus group sessions were held, aiming to increase the in-depth evaluation based on the specificities of each location in MPAs, consulting experts and marine scientists with knowledge of the field reality in these Brazilian regions. In all, four online focus group sessions were held, three synchronously and one asynchronously. These are text-based, while those allow a real-time conversation, and both can be used in a complementary way in order to give greater flexibility of time and make use of facilitating tools such as discussion boards or online forums (</w:t>
      </w:r>
      <w:proofErr w:type="spellStart"/>
      <w:r>
        <w:t>Lijadi</w:t>
      </w:r>
      <w:proofErr w:type="spellEnd"/>
      <w:r>
        <w:t xml:space="preserve"> &amp; Schalkwyk, 2015). It should be noted that the synchronous sessions were conducted on Google Meet and the asynchronous one on Google Drive. In total, the synchronous sessions had 16 participants and an average of 1 hour of duration each, recording all issues discussed by two moderators and making them available in Google Drive.</w:t>
      </w:r>
    </w:p>
    <w:p w14:paraId="321584A4" w14:textId="77777777" w:rsidR="00EC2E4B" w:rsidRDefault="00EC2E4B" w:rsidP="00EC2E4B">
      <w:pPr>
        <w:ind w:firstLine="709"/>
        <w:jc w:val="both"/>
      </w:pPr>
      <w:r>
        <w:t xml:space="preserve">In the first session, the objective, the steps of the research method, and the study areas covered were presented and discussed with the group. Subsequently, in the second session, participants were asked open-ended questions about the main issues related to the dependence of local economic activities and traditional communities on coastal and marine resources. It is emphasized that it appropriated concepts such as from Hossain et al. (2020), Selig et al. (2019), and </w:t>
      </w:r>
      <w:proofErr w:type="spellStart"/>
      <w:r>
        <w:t>Cinner</w:t>
      </w:r>
      <w:proofErr w:type="spellEnd"/>
      <w:r>
        <w:t xml:space="preserve"> and Pomeroy (2012), which highlight a more social-ecological approach to marine-coastal dependence, indicating that it is a diverse and heterogeneous system, so they depend on diverse livelihoods or resources, whether in the political, social, economic, environmental, and cultural spheres. Therefore, this session asked about the sectors essentiality like tourism, real estate, and food for the local economy, the diversification of the source of income in the traditional communities of people of the sea, as well as the dedication of these people to fishing, the governmental support to these communities, the balance </w:t>
      </w:r>
      <w:r>
        <w:lastRenderedPageBreak/>
        <w:t>of power between them, and the participation of these people in policies of local interest. After the group's considerations, the items of the questionnaire were prepared, based on a metric scale logic, according to the precepts of Allport and Hartman (1925) and Likert (1932), in an attempt to develop a measurement instrument capable of allowing a comparison between the groups of mapped UC localities.</w:t>
      </w:r>
    </w:p>
    <w:p w14:paraId="7E8E488A" w14:textId="77777777" w:rsidR="00EC2E4B" w:rsidRDefault="00EC2E4B" w:rsidP="00EC2E4B">
      <w:pPr>
        <w:ind w:firstLine="709"/>
        <w:jc w:val="both"/>
      </w:pPr>
      <w:r>
        <w:t xml:space="preserve">In the third session, the questionnaire items developed were given to these experts to select the most useful ones for the final evaluation of the questionnaire. In this session, the experts proposed more topics, which could compose the questionnaire, specifically focused on the policies developed during the oil spill disaster. It is worth noting that this group of scientists participating in the focus group were also the target audience, since they had field experience in the communities. Therefore, collecting opinions with this audience allowed the statements to use the respondents' vocabulary and textual style (Likert, 1932). Finally, in the fourth session, asynchronously, the questionnaire was again given to the group through Google Drive for a final follow-up of the items. Furthermore, the final questionnaire (Table 3) had a five-point Likert scale and received a total of 68 answers, referring to the evaluation of 20 specialists. </w:t>
      </w:r>
    </w:p>
    <w:p w14:paraId="059CB878" w14:textId="6BA43108" w:rsidR="00EC2E4B" w:rsidRDefault="00EC2E4B" w:rsidP="00EC2E4B">
      <w:pPr>
        <w:ind w:firstLine="709"/>
        <w:jc w:val="both"/>
      </w:pPr>
      <w:r>
        <w:t xml:space="preserve">As for the profile of the experts who evaluated the marine-coastal dependence questionnaires, 75% were men and 25% women, where 85% had a Ph.D. or post-doctoral degree, and the rest (15%) of </w:t>
      </w:r>
      <w:proofErr w:type="gramStart"/>
      <w:r>
        <w:t>masters</w:t>
      </w:r>
      <w:proofErr w:type="gramEnd"/>
      <w:r>
        <w:t xml:space="preserve"> students. The majority (60%) had a degree in Natural Sciences, followed by Human Sciences, specifically in the field of Geography (30%).</w:t>
      </w:r>
    </w:p>
    <w:p w14:paraId="7C161D9C" w14:textId="77777777" w:rsidR="00EC2E4B" w:rsidRPr="00F82AE9" w:rsidRDefault="00EC2E4B" w:rsidP="00EC2E4B">
      <w:pPr>
        <w:spacing w:after="0"/>
        <w:jc w:val="center"/>
        <w:rPr>
          <w:rFonts w:eastAsia="Times New Roman" w:cs="Times New Roman"/>
          <w:sz w:val="20"/>
          <w:szCs w:val="20"/>
        </w:rPr>
      </w:pPr>
      <w:r w:rsidRPr="00F82AE9">
        <w:rPr>
          <w:rFonts w:eastAsia="Times New Roman" w:cs="Times New Roman"/>
          <w:b/>
          <w:sz w:val="20"/>
          <w:szCs w:val="20"/>
        </w:rPr>
        <w:t>Table 3</w:t>
      </w:r>
      <w:r w:rsidRPr="00F82AE9">
        <w:rPr>
          <w:rFonts w:eastAsia="Times New Roman" w:cs="Times New Roman"/>
          <w:sz w:val="20"/>
          <w:szCs w:val="20"/>
        </w:rPr>
        <w:t xml:space="preserve"> – Measurement items of the applied questionnaire and respective topics addressed </w:t>
      </w:r>
    </w:p>
    <w:tbl>
      <w:tblPr>
        <w:tblW w:w="8504"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090"/>
        <w:gridCol w:w="6414"/>
      </w:tblGrid>
      <w:tr w:rsidR="00EC2E4B" w14:paraId="71BAA0EF" w14:textId="77777777" w:rsidTr="00EC2E4B">
        <w:trPr>
          <w:jc w:val="center"/>
        </w:trPr>
        <w:tc>
          <w:tcPr>
            <w:tcW w:w="2090" w:type="dxa"/>
            <w:tcBorders>
              <w:top w:val="single" w:sz="4" w:space="0" w:color="000000"/>
              <w:bottom w:val="single" w:sz="4" w:space="0" w:color="000000"/>
            </w:tcBorders>
          </w:tcPr>
          <w:p w14:paraId="777ADCAF" w14:textId="77777777" w:rsidR="00EC2E4B" w:rsidRDefault="00EC2E4B" w:rsidP="00EC2E4B">
            <w:pPr>
              <w:spacing w:before="0" w:after="0"/>
              <w:jc w:val="center"/>
              <w:rPr>
                <w:rFonts w:eastAsia="Times New Roman" w:cs="Times New Roman"/>
                <w:b/>
                <w:sz w:val="20"/>
                <w:szCs w:val="20"/>
              </w:rPr>
            </w:pPr>
            <w:r>
              <w:rPr>
                <w:rFonts w:eastAsia="Times New Roman" w:cs="Times New Roman"/>
                <w:b/>
                <w:sz w:val="20"/>
                <w:szCs w:val="20"/>
              </w:rPr>
              <w:t>Theme</w:t>
            </w:r>
          </w:p>
        </w:tc>
        <w:tc>
          <w:tcPr>
            <w:tcW w:w="6414" w:type="dxa"/>
            <w:tcBorders>
              <w:top w:val="single" w:sz="4" w:space="0" w:color="000000"/>
              <w:bottom w:val="single" w:sz="4" w:space="0" w:color="000000"/>
            </w:tcBorders>
          </w:tcPr>
          <w:p w14:paraId="3F711EE2" w14:textId="77777777" w:rsidR="00EC2E4B" w:rsidRDefault="00EC2E4B" w:rsidP="00EC2E4B">
            <w:pPr>
              <w:spacing w:before="0" w:after="0"/>
              <w:jc w:val="center"/>
              <w:rPr>
                <w:rFonts w:eastAsia="Times New Roman" w:cs="Times New Roman"/>
                <w:b/>
                <w:sz w:val="20"/>
                <w:szCs w:val="20"/>
              </w:rPr>
            </w:pPr>
            <w:r>
              <w:rPr>
                <w:rFonts w:eastAsia="Times New Roman" w:cs="Times New Roman"/>
                <w:b/>
                <w:sz w:val="20"/>
                <w:szCs w:val="20"/>
              </w:rPr>
              <w:t>Item</w:t>
            </w:r>
          </w:p>
        </w:tc>
      </w:tr>
      <w:tr w:rsidR="00EC2E4B" w:rsidRPr="00217464" w14:paraId="57CBE128" w14:textId="77777777" w:rsidTr="00EC2E4B">
        <w:trPr>
          <w:jc w:val="center"/>
        </w:trPr>
        <w:tc>
          <w:tcPr>
            <w:tcW w:w="2090" w:type="dxa"/>
            <w:vMerge w:val="restart"/>
            <w:tcBorders>
              <w:top w:val="single" w:sz="4" w:space="0" w:color="000000"/>
              <w:bottom w:val="nil"/>
            </w:tcBorders>
            <w:vAlign w:val="center"/>
          </w:tcPr>
          <w:p w14:paraId="1FBCF30D"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Collaboration Network: Initial Actions</w:t>
            </w:r>
          </w:p>
        </w:tc>
        <w:tc>
          <w:tcPr>
            <w:tcW w:w="6414" w:type="dxa"/>
            <w:tcBorders>
              <w:top w:val="single" w:sz="4" w:space="0" w:color="000000"/>
              <w:bottom w:val="nil"/>
            </w:tcBorders>
          </w:tcPr>
          <w:p w14:paraId="2EC507E0"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Municipal government participation in beach cleanup</w:t>
            </w:r>
          </w:p>
        </w:tc>
      </w:tr>
      <w:tr w:rsidR="00EC2E4B" w:rsidRPr="00217464" w14:paraId="4A14F9B2" w14:textId="77777777" w:rsidTr="00EC2E4B">
        <w:trPr>
          <w:jc w:val="center"/>
        </w:trPr>
        <w:tc>
          <w:tcPr>
            <w:tcW w:w="2090" w:type="dxa"/>
            <w:vMerge/>
            <w:tcBorders>
              <w:top w:val="single" w:sz="4" w:space="0" w:color="000000"/>
              <w:bottom w:val="nil"/>
            </w:tcBorders>
            <w:vAlign w:val="center"/>
          </w:tcPr>
          <w:p w14:paraId="4389B1FE"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147E3DC9"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State government participation in beach cleanup</w:t>
            </w:r>
          </w:p>
        </w:tc>
      </w:tr>
      <w:tr w:rsidR="00EC2E4B" w:rsidRPr="00217464" w14:paraId="1B96D837" w14:textId="77777777" w:rsidTr="00EC2E4B">
        <w:trPr>
          <w:jc w:val="center"/>
        </w:trPr>
        <w:tc>
          <w:tcPr>
            <w:tcW w:w="2090" w:type="dxa"/>
            <w:vMerge/>
            <w:tcBorders>
              <w:top w:val="single" w:sz="4" w:space="0" w:color="000000"/>
              <w:bottom w:val="nil"/>
            </w:tcBorders>
            <w:vAlign w:val="center"/>
          </w:tcPr>
          <w:p w14:paraId="21BC0BEA"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4621D936"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Community participation in beach cleaning</w:t>
            </w:r>
          </w:p>
        </w:tc>
      </w:tr>
      <w:tr w:rsidR="00EC2E4B" w:rsidRPr="00217464" w14:paraId="473FC3F1" w14:textId="77777777" w:rsidTr="00EC2E4B">
        <w:trPr>
          <w:trHeight w:val="144"/>
          <w:jc w:val="center"/>
        </w:trPr>
        <w:tc>
          <w:tcPr>
            <w:tcW w:w="2090" w:type="dxa"/>
            <w:vMerge/>
            <w:tcBorders>
              <w:top w:val="single" w:sz="4" w:space="0" w:color="000000"/>
              <w:bottom w:val="nil"/>
            </w:tcBorders>
            <w:vAlign w:val="center"/>
          </w:tcPr>
          <w:p w14:paraId="04F18988"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4135C7D3"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Voluntary participation of non-governmental institutions in beach cleanup</w:t>
            </w:r>
          </w:p>
        </w:tc>
      </w:tr>
      <w:tr w:rsidR="00EC2E4B" w:rsidRPr="00217464" w14:paraId="27CA5E5B" w14:textId="77777777" w:rsidTr="00EC2E4B">
        <w:trPr>
          <w:trHeight w:val="66"/>
          <w:jc w:val="center"/>
        </w:trPr>
        <w:tc>
          <w:tcPr>
            <w:tcW w:w="2090" w:type="dxa"/>
            <w:vMerge/>
            <w:tcBorders>
              <w:top w:val="single" w:sz="4" w:space="0" w:color="000000"/>
              <w:bottom w:val="nil"/>
            </w:tcBorders>
            <w:vAlign w:val="center"/>
          </w:tcPr>
          <w:p w14:paraId="744CC9AB"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40E18C26"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Effectiveness of containment booms built to contain oil</w:t>
            </w:r>
          </w:p>
        </w:tc>
      </w:tr>
      <w:tr w:rsidR="00EC2E4B" w:rsidRPr="00217464" w14:paraId="4E2250AE" w14:textId="77777777" w:rsidTr="00EC2E4B">
        <w:trPr>
          <w:jc w:val="center"/>
        </w:trPr>
        <w:tc>
          <w:tcPr>
            <w:tcW w:w="2090" w:type="dxa"/>
            <w:vMerge/>
            <w:tcBorders>
              <w:top w:val="single" w:sz="4" w:space="0" w:color="000000"/>
              <w:bottom w:val="nil"/>
            </w:tcBorders>
            <w:vAlign w:val="center"/>
          </w:tcPr>
          <w:p w14:paraId="199286A7"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254473FC"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Monitoring of the oil by state government entities to predict the advance of the oil (</w:t>
            </w:r>
            <w:proofErr w:type="gramStart"/>
            <w:r w:rsidRPr="00F82AE9">
              <w:rPr>
                <w:rFonts w:eastAsia="Times New Roman" w:cs="Times New Roman"/>
                <w:sz w:val="20"/>
                <w:szCs w:val="20"/>
              </w:rPr>
              <w:t>e.g.</w:t>
            </w:r>
            <w:proofErr w:type="gramEnd"/>
            <w:r w:rsidRPr="00F82AE9">
              <w:rPr>
                <w:rFonts w:eastAsia="Times New Roman" w:cs="Times New Roman"/>
                <w:sz w:val="20"/>
                <w:szCs w:val="20"/>
              </w:rPr>
              <w:t xml:space="preserve"> monitoring based on the movement of ocean currents to predict the arrival of oil on beaches) - such as the use of the SAO chart</w:t>
            </w:r>
          </w:p>
        </w:tc>
      </w:tr>
      <w:tr w:rsidR="00EC2E4B" w:rsidRPr="00217464" w14:paraId="39792435" w14:textId="77777777" w:rsidTr="00EC2E4B">
        <w:trPr>
          <w:jc w:val="center"/>
        </w:trPr>
        <w:tc>
          <w:tcPr>
            <w:tcW w:w="2090" w:type="dxa"/>
            <w:vMerge/>
            <w:tcBorders>
              <w:top w:val="single" w:sz="4" w:space="0" w:color="000000"/>
              <w:bottom w:val="nil"/>
            </w:tcBorders>
            <w:vAlign w:val="center"/>
          </w:tcPr>
          <w:p w14:paraId="157DFDA7"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1D78AC5D"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Monitoring of the oil by municipal government entities to predict the advance of oil (</w:t>
            </w:r>
            <w:proofErr w:type="gramStart"/>
            <w:r w:rsidRPr="00F82AE9">
              <w:rPr>
                <w:rFonts w:eastAsia="Times New Roman" w:cs="Times New Roman"/>
                <w:sz w:val="20"/>
                <w:szCs w:val="20"/>
              </w:rPr>
              <w:t>e.g.</w:t>
            </w:r>
            <w:proofErr w:type="gramEnd"/>
            <w:r w:rsidRPr="00F82AE9">
              <w:rPr>
                <w:rFonts w:eastAsia="Times New Roman" w:cs="Times New Roman"/>
                <w:sz w:val="20"/>
                <w:szCs w:val="20"/>
              </w:rPr>
              <w:t xml:space="preserve"> monitoring based on the movement of sea currents to predict the arrival of oil on beaches) - such as the use of the SAO chart</w:t>
            </w:r>
          </w:p>
        </w:tc>
      </w:tr>
      <w:tr w:rsidR="00EC2E4B" w:rsidRPr="00217464" w14:paraId="57DCDD5D" w14:textId="77777777" w:rsidTr="00EC2E4B">
        <w:trPr>
          <w:jc w:val="center"/>
        </w:trPr>
        <w:tc>
          <w:tcPr>
            <w:tcW w:w="2090" w:type="dxa"/>
            <w:vMerge/>
            <w:tcBorders>
              <w:top w:val="single" w:sz="4" w:space="0" w:color="000000"/>
              <w:bottom w:val="nil"/>
            </w:tcBorders>
            <w:vAlign w:val="center"/>
          </w:tcPr>
          <w:p w14:paraId="776ED679"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single" w:sz="4" w:space="0" w:color="000000"/>
            </w:tcBorders>
          </w:tcPr>
          <w:p w14:paraId="7226DC43"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Distribution of personal protection kits (</w:t>
            </w:r>
            <w:proofErr w:type="gramStart"/>
            <w:r w:rsidRPr="00F82AE9">
              <w:rPr>
                <w:rFonts w:eastAsia="Times New Roman" w:cs="Times New Roman"/>
                <w:sz w:val="20"/>
                <w:szCs w:val="20"/>
              </w:rPr>
              <w:t>e.g.</w:t>
            </w:r>
            <w:proofErr w:type="gramEnd"/>
            <w:r w:rsidRPr="00F82AE9">
              <w:rPr>
                <w:rFonts w:eastAsia="Times New Roman" w:cs="Times New Roman"/>
                <w:sz w:val="20"/>
                <w:szCs w:val="20"/>
              </w:rPr>
              <w:t xml:space="preserve"> coveralls, goggles, mask, gloves and boots) by governmental entities to volunteers in beach cleanup</w:t>
            </w:r>
          </w:p>
        </w:tc>
      </w:tr>
      <w:tr w:rsidR="00EC2E4B" w:rsidRPr="00217464" w14:paraId="00C8CA15" w14:textId="77777777" w:rsidTr="00EC2E4B">
        <w:trPr>
          <w:jc w:val="center"/>
        </w:trPr>
        <w:tc>
          <w:tcPr>
            <w:tcW w:w="2090" w:type="dxa"/>
            <w:vMerge w:val="restart"/>
            <w:tcBorders>
              <w:top w:val="single" w:sz="4" w:space="0" w:color="000000"/>
              <w:bottom w:val="nil"/>
            </w:tcBorders>
            <w:vAlign w:val="center"/>
          </w:tcPr>
          <w:p w14:paraId="4F252FB2"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Collaboration Network: Later Actions</w:t>
            </w:r>
          </w:p>
        </w:tc>
        <w:tc>
          <w:tcPr>
            <w:tcW w:w="6414" w:type="dxa"/>
            <w:tcBorders>
              <w:top w:val="single" w:sz="4" w:space="0" w:color="000000"/>
              <w:bottom w:val="nil"/>
            </w:tcBorders>
          </w:tcPr>
          <w:p w14:paraId="60A3A39E"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Follow up by the municipal government on the health status of the population that has had direct or indirect contact with the oil</w:t>
            </w:r>
          </w:p>
        </w:tc>
      </w:tr>
      <w:tr w:rsidR="00EC2E4B" w:rsidRPr="00217464" w14:paraId="60192654" w14:textId="77777777" w:rsidTr="00EC2E4B">
        <w:trPr>
          <w:jc w:val="center"/>
        </w:trPr>
        <w:tc>
          <w:tcPr>
            <w:tcW w:w="2090" w:type="dxa"/>
            <w:vMerge/>
            <w:tcBorders>
              <w:top w:val="single" w:sz="4" w:space="0" w:color="000000"/>
              <w:bottom w:val="nil"/>
            </w:tcBorders>
            <w:vAlign w:val="center"/>
          </w:tcPr>
          <w:p w14:paraId="31FD2766"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57DD4E7E"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Follow-up by the state government of the state of health of the population that had direct or indirect contact with the oil</w:t>
            </w:r>
          </w:p>
        </w:tc>
      </w:tr>
      <w:tr w:rsidR="00EC2E4B" w:rsidRPr="00217464" w14:paraId="459DA6C9" w14:textId="77777777" w:rsidTr="00EC2E4B">
        <w:trPr>
          <w:jc w:val="center"/>
        </w:trPr>
        <w:tc>
          <w:tcPr>
            <w:tcW w:w="2090" w:type="dxa"/>
            <w:vMerge/>
            <w:tcBorders>
              <w:top w:val="single" w:sz="4" w:space="0" w:color="000000"/>
              <w:bottom w:val="nil"/>
            </w:tcBorders>
            <w:vAlign w:val="center"/>
          </w:tcPr>
          <w:p w14:paraId="3FE051E9"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1BB338FB"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Disclosure by the state government entities of the volume of residues collected from the beaches</w:t>
            </w:r>
          </w:p>
        </w:tc>
      </w:tr>
      <w:tr w:rsidR="00EC2E4B" w:rsidRPr="00217464" w14:paraId="7ADCB9D4" w14:textId="77777777" w:rsidTr="00EC2E4B">
        <w:trPr>
          <w:jc w:val="center"/>
        </w:trPr>
        <w:tc>
          <w:tcPr>
            <w:tcW w:w="2090" w:type="dxa"/>
            <w:vMerge/>
            <w:tcBorders>
              <w:top w:val="single" w:sz="4" w:space="0" w:color="000000"/>
              <w:bottom w:val="nil"/>
            </w:tcBorders>
            <w:vAlign w:val="center"/>
          </w:tcPr>
          <w:p w14:paraId="4C14504D"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4259674D"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Disclosure by the municipal governmental entities of the volume of residues collected from the beaches</w:t>
            </w:r>
          </w:p>
        </w:tc>
      </w:tr>
      <w:tr w:rsidR="00EC2E4B" w:rsidRPr="00217464" w14:paraId="580DCCA1" w14:textId="77777777" w:rsidTr="00EC2E4B">
        <w:trPr>
          <w:jc w:val="center"/>
        </w:trPr>
        <w:tc>
          <w:tcPr>
            <w:tcW w:w="2090" w:type="dxa"/>
            <w:vMerge/>
            <w:tcBorders>
              <w:top w:val="single" w:sz="4" w:space="0" w:color="000000"/>
              <w:bottom w:val="nil"/>
            </w:tcBorders>
            <w:vAlign w:val="center"/>
          </w:tcPr>
          <w:p w14:paraId="00D1F773"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120EACF4"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Current monitoring by state government entities regarding species and areas affected by the oil</w:t>
            </w:r>
          </w:p>
        </w:tc>
      </w:tr>
      <w:tr w:rsidR="00EC2E4B" w:rsidRPr="00217464" w14:paraId="5345AC33" w14:textId="77777777" w:rsidTr="00EC2E4B">
        <w:trPr>
          <w:jc w:val="center"/>
        </w:trPr>
        <w:tc>
          <w:tcPr>
            <w:tcW w:w="2090" w:type="dxa"/>
            <w:vMerge/>
            <w:tcBorders>
              <w:top w:val="single" w:sz="4" w:space="0" w:color="000000"/>
              <w:bottom w:val="nil"/>
            </w:tcBorders>
            <w:vAlign w:val="center"/>
          </w:tcPr>
          <w:p w14:paraId="2470267A"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single" w:sz="4" w:space="0" w:color="000000"/>
            </w:tcBorders>
          </w:tcPr>
          <w:p w14:paraId="7D80DA5A"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Current monitoring by municipal government entities regarding species and areas affected by the oil</w:t>
            </w:r>
          </w:p>
        </w:tc>
      </w:tr>
      <w:tr w:rsidR="00EC2E4B" w:rsidRPr="00217464" w14:paraId="4E4A78AF" w14:textId="77777777" w:rsidTr="00EC2E4B">
        <w:trPr>
          <w:jc w:val="center"/>
        </w:trPr>
        <w:tc>
          <w:tcPr>
            <w:tcW w:w="2090" w:type="dxa"/>
            <w:vMerge w:val="restart"/>
            <w:tcBorders>
              <w:top w:val="single" w:sz="4" w:space="0" w:color="000000"/>
              <w:bottom w:val="nil"/>
            </w:tcBorders>
            <w:vAlign w:val="center"/>
          </w:tcPr>
          <w:p w14:paraId="32EC03F5"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Dedication to Fishing</w:t>
            </w:r>
          </w:p>
        </w:tc>
        <w:tc>
          <w:tcPr>
            <w:tcW w:w="6414" w:type="dxa"/>
            <w:tcBorders>
              <w:top w:val="single" w:sz="4" w:space="0" w:color="000000"/>
              <w:bottom w:val="nil"/>
            </w:tcBorders>
          </w:tcPr>
          <w:p w14:paraId="2360A945"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Level of dedication of fishermen to alternative activities that are not related to fishing</w:t>
            </w:r>
          </w:p>
        </w:tc>
      </w:tr>
      <w:tr w:rsidR="00EC2E4B" w:rsidRPr="00217464" w14:paraId="0AB53A0E" w14:textId="77777777" w:rsidTr="00EC2E4B">
        <w:trPr>
          <w:jc w:val="center"/>
        </w:trPr>
        <w:tc>
          <w:tcPr>
            <w:tcW w:w="2090" w:type="dxa"/>
            <w:vMerge/>
            <w:tcBorders>
              <w:top w:val="single" w:sz="4" w:space="0" w:color="000000"/>
              <w:bottom w:val="nil"/>
            </w:tcBorders>
            <w:vAlign w:val="center"/>
          </w:tcPr>
          <w:p w14:paraId="1A04A965"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3FE336AC"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The degree of dependence of fishermen on financial benefits received from the government</w:t>
            </w:r>
          </w:p>
        </w:tc>
      </w:tr>
      <w:tr w:rsidR="00EC2E4B" w:rsidRPr="00217464" w14:paraId="2AD36FAA" w14:textId="77777777" w:rsidTr="00EC2E4B">
        <w:trPr>
          <w:jc w:val="center"/>
        </w:trPr>
        <w:tc>
          <w:tcPr>
            <w:tcW w:w="2090" w:type="dxa"/>
            <w:vMerge/>
            <w:tcBorders>
              <w:top w:val="single" w:sz="4" w:space="0" w:color="000000"/>
              <w:bottom w:val="nil"/>
            </w:tcBorders>
            <w:vAlign w:val="center"/>
          </w:tcPr>
          <w:p w14:paraId="6580EF32"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single" w:sz="4" w:space="0" w:color="000000"/>
            </w:tcBorders>
          </w:tcPr>
          <w:p w14:paraId="1E652F47"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The participation of fishing activity in the family income composition</w:t>
            </w:r>
          </w:p>
        </w:tc>
      </w:tr>
      <w:tr w:rsidR="00EC2E4B" w:rsidRPr="00217464" w14:paraId="17A9C58D" w14:textId="77777777" w:rsidTr="00EC2E4B">
        <w:trPr>
          <w:jc w:val="center"/>
        </w:trPr>
        <w:tc>
          <w:tcPr>
            <w:tcW w:w="2090" w:type="dxa"/>
            <w:vMerge w:val="restart"/>
            <w:tcBorders>
              <w:top w:val="single" w:sz="4" w:space="0" w:color="000000"/>
              <w:bottom w:val="nil"/>
            </w:tcBorders>
            <w:vAlign w:val="center"/>
          </w:tcPr>
          <w:p w14:paraId="0C6FA16E" w14:textId="77777777" w:rsidR="00EC2E4B" w:rsidRPr="00F82AE9" w:rsidRDefault="00EC2E4B" w:rsidP="00EC2E4B">
            <w:pPr>
              <w:spacing w:before="0" w:after="0"/>
              <w:jc w:val="center"/>
              <w:rPr>
                <w:rFonts w:eastAsia="Times New Roman" w:cs="Times New Roman"/>
                <w:sz w:val="20"/>
                <w:szCs w:val="20"/>
              </w:rPr>
            </w:pPr>
            <w:r w:rsidRPr="00F82AE9">
              <w:rPr>
                <w:rFonts w:eastAsia="Times New Roman" w:cs="Times New Roman"/>
                <w:sz w:val="20"/>
                <w:szCs w:val="20"/>
              </w:rPr>
              <w:t>Developing Tourism in the Region</w:t>
            </w:r>
          </w:p>
        </w:tc>
        <w:tc>
          <w:tcPr>
            <w:tcW w:w="6414" w:type="dxa"/>
            <w:tcBorders>
              <w:top w:val="single" w:sz="4" w:space="0" w:color="000000"/>
              <w:bottom w:val="nil"/>
            </w:tcBorders>
          </w:tcPr>
          <w:p w14:paraId="3190B62E"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Typical hotel establishments in the region have, in their majority, a small infrastructure and a home style</w:t>
            </w:r>
          </w:p>
        </w:tc>
      </w:tr>
      <w:tr w:rsidR="00EC2E4B" w:rsidRPr="00217464" w14:paraId="707F841A" w14:textId="77777777" w:rsidTr="00EC2E4B">
        <w:trPr>
          <w:jc w:val="center"/>
        </w:trPr>
        <w:tc>
          <w:tcPr>
            <w:tcW w:w="2090" w:type="dxa"/>
            <w:vMerge/>
            <w:tcBorders>
              <w:top w:val="single" w:sz="4" w:space="0" w:color="000000"/>
              <w:bottom w:val="nil"/>
            </w:tcBorders>
            <w:vAlign w:val="center"/>
          </w:tcPr>
          <w:p w14:paraId="670C6698"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61C8D425"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There is a noticeable movement in the community in favor of the conservation of the natural and cultural heritage of the region (such as the existence of community councils, etc.)</w:t>
            </w:r>
          </w:p>
        </w:tc>
      </w:tr>
      <w:tr w:rsidR="00EC2E4B" w:rsidRPr="00217464" w14:paraId="55FAB299" w14:textId="77777777" w:rsidTr="00EC2E4B">
        <w:trPr>
          <w:jc w:val="center"/>
        </w:trPr>
        <w:tc>
          <w:tcPr>
            <w:tcW w:w="2090" w:type="dxa"/>
            <w:vMerge/>
            <w:tcBorders>
              <w:top w:val="single" w:sz="4" w:space="0" w:color="000000"/>
              <w:bottom w:val="nil"/>
            </w:tcBorders>
            <w:vAlign w:val="center"/>
          </w:tcPr>
          <w:p w14:paraId="66FBD287"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nil"/>
            </w:tcBorders>
          </w:tcPr>
          <w:p w14:paraId="65C87343"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How is the tourist flow (presence of tourists) in the region during the year?</w:t>
            </w:r>
          </w:p>
        </w:tc>
      </w:tr>
      <w:tr w:rsidR="00EC2E4B" w:rsidRPr="00217464" w14:paraId="5F3B8792" w14:textId="77777777" w:rsidTr="00EC2E4B">
        <w:trPr>
          <w:jc w:val="center"/>
        </w:trPr>
        <w:tc>
          <w:tcPr>
            <w:tcW w:w="2090" w:type="dxa"/>
            <w:vMerge/>
            <w:tcBorders>
              <w:top w:val="single" w:sz="4" w:space="0" w:color="000000"/>
              <w:bottom w:val="nil"/>
            </w:tcBorders>
            <w:vAlign w:val="center"/>
          </w:tcPr>
          <w:p w14:paraId="0DA26895"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Borders>
              <w:top w:val="nil"/>
              <w:bottom w:val="single" w:sz="4" w:space="0" w:color="000000"/>
            </w:tcBorders>
          </w:tcPr>
          <w:p w14:paraId="2A92DD2B"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The level of importance of the tourist flow (presence of tourists) for the region</w:t>
            </w:r>
          </w:p>
        </w:tc>
      </w:tr>
      <w:tr w:rsidR="00EC2E4B" w:rsidRPr="00217464" w14:paraId="6C4F6F07" w14:textId="77777777" w:rsidTr="00EC2E4B">
        <w:trPr>
          <w:jc w:val="center"/>
        </w:trPr>
        <w:tc>
          <w:tcPr>
            <w:tcW w:w="2090" w:type="dxa"/>
            <w:vMerge w:val="restart"/>
            <w:tcBorders>
              <w:top w:val="single" w:sz="4" w:space="0" w:color="000000"/>
            </w:tcBorders>
            <w:vAlign w:val="center"/>
          </w:tcPr>
          <w:p w14:paraId="09CCDAC9" w14:textId="77777777" w:rsidR="00EC2E4B" w:rsidRDefault="00EC2E4B" w:rsidP="00EC2E4B">
            <w:pPr>
              <w:spacing w:before="0" w:after="0"/>
              <w:jc w:val="center"/>
              <w:rPr>
                <w:rFonts w:eastAsia="Times New Roman" w:cs="Times New Roman"/>
                <w:sz w:val="20"/>
                <w:szCs w:val="20"/>
              </w:rPr>
            </w:pPr>
            <w:r>
              <w:rPr>
                <w:rFonts w:eastAsia="Times New Roman" w:cs="Times New Roman"/>
                <w:sz w:val="20"/>
                <w:szCs w:val="20"/>
              </w:rPr>
              <w:t>Environment</w:t>
            </w:r>
          </w:p>
        </w:tc>
        <w:tc>
          <w:tcPr>
            <w:tcW w:w="6414" w:type="dxa"/>
            <w:tcBorders>
              <w:top w:val="single" w:sz="4" w:space="0" w:color="000000"/>
            </w:tcBorders>
          </w:tcPr>
          <w:p w14:paraId="12F21655"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Possibility of self-recovery of the environment in the short term</w:t>
            </w:r>
          </w:p>
        </w:tc>
      </w:tr>
      <w:tr w:rsidR="00EC2E4B" w:rsidRPr="00217464" w14:paraId="58A42D12" w14:textId="77777777" w:rsidTr="00EC2E4B">
        <w:trPr>
          <w:jc w:val="center"/>
        </w:trPr>
        <w:tc>
          <w:tcPr>
            <w:tcW w:w="2090" w:type="dxa"/>
            <w:vMerge/>
            <w:tcBorders>
              <w:top w:val="single" w:sz="4" w:space="0" w:color="000000"/>
            </w:tcBorders>
            <w:vAlign w:val="center"/>
          </w:tcPr>
          <w:p w14:paraId="3E634991"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Pr>
          <w:p w14:paraId="020A1A6B"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Possibility of self-recovery of the environment in the long term</w:t>
            </w:r>
          </w:p>
        </w:tc>
      </w:tr>
      <w:tr w:rsidR="00EC2E4B" w:rsidRPr="00217464" w14:paraId="0053D031" w14:textId="77777777" w:rsidTr="00EC2E4B">
        <w:trPr>
          <w:jc w:val="center"/>
        </w:trPr>
        <w:tc>
          <w:tcPr>
            <w:tcW w:w="2090" w:type="dxa"/>
            <w:vMerge/>
            <w:tcBorders>
              <w:top w:val="single" w:sz="4" w:space="0" w:color="000000"/>
            </w:tcBorders>
            <w:vAlign w:val="center"/>
          </w:tcPr>
          <w:p w14:paraId="2D620035"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Pr>
          <w:p w14:paraId="23AEB49E"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Predicted time for the environment to recover in the short term, without human intervention</w:t>
            </w:r>
          </w:p>
        </w:tc>
      </w:tr>
      <w:tr w:rsidR="00EC2E4B" w:rsidRPr="00217464" w14:paraId="004270FC" w14:textId="77777777" w:rsidTr="00EC2E4B">
        <w:trPr>
          <w:jc w:val="center"/>
        </w:trPr>
        <w:tc>
          <w:tcPr>
            <w:tcW w:w="2090" w:type="dxa"/>
            <w:vMerge/>
            <w:tcBorders>
              <w:top w:val="single" w:sz="4" w:space="0" w:color="000000"/>
            </w:tcBorders>
            <w:vAlign w:val="center"/>
          </w:tcPr>
          <w:p w14:paraId="2A66A385"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Pr>
          <w:p w14:paraId="3E9BF63E"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Predicted recovery time for the environment in the long term, without human intervention</w:t>
            </w:r>
          </w:p>
        </w:tc>
      </w:tr>
      <w:tr w:rsidR="00EC2E4B" w:rsidRPr="00217464" w14:paraId="1ED0CEBF" w14:textId="77777777" w:rsidTr="00EC2E4B">
        <w:trPr>
          <w:jc w:val="center"/>
        </w:trPr>
        <w:tc>
          <w:tcPr>
            <w:tcW w:w="2090" w:type="dxa"/>
            <w:vMerge/>
            <w:tcBorders>
              <w:top w:val="single" w:sz="4" w:space="0" w:color="000000"/>
            </w:tcBorders>
            <w:vAlign w:val="center"/>
          </w:tcPr>
          <w:p w14:paraId="0FF51977" w14:textId="77777777" w:rsidR="00EC2E4B" w:rsidRPr="00F82AE9" w:rsidRDefault="00EC2E4B" w:rsidP="00EC2E4B">
            <w:pPr>
              <w:widowControl w:val="0"/>
              <w:pBdr>
                <w:top w:val="nil"/>
                <w:left w:val="nil"/>
                <w:bottom w:val="nil"/>
                <w:right w:val="nil"/>
                <w:between w:val="nil"/>
              </w:pBdr>
              <w:spacing w:before="0" w:after="0"/>
              <w:rPr>
                <w:rFonts w:eastAsia="Times New Roman" w:cs="Times New Roman"/>
                <w:sz w:val="20"/>
                <w:szCs w:val="20"/>
              </w:rPr>
            </w:pPr>
          </w:p>
        </w:tc>
        <w:tc>
          <w:tcPr>
            <w:tcW w:w="6414" w:type="dxa"/>
          </w:tcPr>
          <w:p w14:paraId="48DE9A43" w14:textId="77777777" w:rsidR="00EC2E4B" w:rsidRPr="00F82AE9" w:rsidRDefault="00EC2E4B" w:rsidP="00EC2E4B">
            <w:pPr>
              <w:spacing w:before="0" w:after="0"/>
              <w:jc w:val="both"/>
              <w:rPr>
                <w:rFonts w:eastAsia="Times New Roman" w:cs="Times New Roman"/>
                <w:sz w:val="20"/>
                <w:szCs w:val="20"/>
              </w:rPr>
            </w:pPr>
            <w:r w:rsidRPr="00F82AE9">
              <w:rPr>
                <w:rFonts w:eastAsia="Times New Roman" w:cs="Times New Roman"/>
                <w:sz w:val="20"/>
                <w:szCs w:val="20"/>
              </w:rPr>
              <w:t>Typically have turtles, manatees, or other fragile species in areas affected by the oil spill</w:t>
            </w:r>
          </w:p>
        </w:tc>
      </w:tr>
    </w:tbl>
    <w:p w14:paraId="14F9F88B" w14:textId="1B4EE74A" w:rsidR="00EC2E4B" w:rsidRDefault="00EC2E4B" w:rsidP="00EC2E4B">
      <w:pPr>
        <w:jc w:val="both"/>
      </w:pPr>
    </w:p>
    <w:p w14:paraId="3D0BC7F1" w14:textId="08023C06" w:rsidR="00EC2E4B" w:rsidRDefault="00EC2E4B">
      <w:pPr>
        <w:spacing w:before="0" w:after="200" w:line="276" w:lineRule="auto"/>
      </w:pPr>
      <w:r>
        <w:br w:type="page"/>
      </w:r>
    </w:p>
    <w:p w14:paraId="122C0652" w14:textId="6A3D438F" w:rsidR="00EC2E4B" w:rsidRPr="00EC2E4B" w:rsidRDefault="00EC2E4B" w:rsidP="00EC2E4B">
      <w:pPr>
        <w:pStyle w:val="Ttulo1"/>
        <w:numPr>
          <w:ilvl w:val="0"/>
          <w:numId w:val="0"/>
        </w:numPr>
        <w:spacing w:before="0"/>
        <w:rPr>
          <w:rFonts w:eastAsia="Times New Roman"/>
          <w:color w:val="000000"/>
        </w:rPr>
      </w:pPr>
      <w:r w:rsidRPr="00F82AE9">
        <w:rPr>
          <w:rFonts w:eastAsia="Times New Roman"/>
          <w:color w:val="000000"/>
        </w:rPr>
        <w:lastRenderedPageBreak/>
        <w:t>References</w:t>
      </w:r>
    </w:p>
    <w:p w14:paraId="6A38A488" w14:textId="08B8CFB8" w:rsidR="00EC2E4B" w:rsidRPr="00EC2E4B" w:rsidRDefault="00EC2E4B" w:rsidP="00EC2E4B">
      <w:pPr>
        <w:ind w:left="425" w:hanging="425"/>
        <w:jc w:val="both"/>
        <w:rPr>
          <w:rFonts w:eastAsia="Times New Roman" w:cs="Times New Roman"/>
          <w:szCs w:val="24"/>
          <w:lang w:val="pt-BR"/>
        </w:rPr>
      </w:pPr>
      <w:r w:rsidRPr="00F82AE9">
        <w:rPr>
          <w:rFonts w:eastAsia="Times New Roman" w:cs="Times New Roman"/>
          <w:szCs w:val="24"/>
        </w:rPr>
        <w:t xml:space="preserve">Allport, F. H., &amp; Hartman, D. A. (1925). The Measurement and Motivation of Atypical Opinion in a Certain Group1. </w:t>
      </w:r>
      <w:r w:rsidRPr="00EC2E4B">
        <w:rPr>
          <w:rFonts w:eastAsia="Times New Roman" w:cs="Times New Roman"/>
          <w:i/>
          <w:szCs w:val="24"/>
          <w:lang w:val="pt-BR"/>
        </w:rPr>
        <w:t xml:space="preserve">American </w:t>
      </w:r>
      <w:proofErr w:type="spellStart"/>
      <w:r w:rsidRPr="00EC2E4B">
        <w:rPr>
          <w:rFonts w:eastAsia="Times New Roman" w:cs="Times New Roman"/>
          <w:i/>
          <w:szCs w:val="24"/>
          <w:lang w:val="pt-BR"/>
        </w:rPr>
        <w:t>Political</w:t>
      </w:r>
      <w:proofErr w:type="spellEnd"/>
      <w:r w:rsidRPr="00EC2E4B">
        <w:rPr>
          <w:rFonts w:eastAsia="Times New Roman" w:cs="Times New Roman"/>
          <w:i/>
          <w:szCs w:val="24"/>
          <w:lang w:val="pt-BR"/>
        </w:rPr>
        <w:t xml:space="preserve"> Science Review</w:t>
      </w:r>
      <w:r w:rsidRPr="00EC2E4B">
        <w:rPr>
          <w:rFonts w:eastAsia="Times New Roman" w:cs="Times New Roman"/>
          <w:szCs w:val="24"/>
          <w:lang w:val="pt-BR"/>
        </w:rPr>
        <w:t xml:space="preserve">, 19(4), 735-760. </w:t>
      </w:r>
      <w:hyperlink r:id="rId8">
        <w:r w:rsidRPr="00EC2E4B">
          <w:rPr>
            <w:rFonts w:eastAsia="Times New Roman" w:cs="Times New Roman"/>
            <w:color w:val="0000FF"/>
            <w:szCs w:val="24"/>
            <w:u w:val="single"/>
            <w:lang w:val="pt-BR"/>
          </w:rPr>
          <w:t>https://doi.org/10.2307/2939163</w:t>
        </w:r>
      </w:hyperlink>
    </w:p>
    <w:p w14:paraId="7E681124" w14:textId="3B16BC97" w:rsidR="00EC2E4B" w:rsidRDefault="00EC2E4B" w:rsidP="00EC2E4B">
      <w:pPr>
        <w:ind w:left="425" w:hanging="425"/>
        <w:jc w:val="both"/>
        <w:rPr>
          <w:rFonts w:eastAsia="Times New Roman" w:cs="Times New Roman"/>
          <w:color w:val="0000FF"/>
          <w:szCs w:val="24"/>
          <w:u w:val="single"/>
        </w:rPr>
      </w:pPr>
      <w:r w:rsidRPr="00EC2E4B">
        <w:rPr>
          <w:rFonts w:eastAsia="Times New Roman" w:cs="Times New Roman"/>
          <w:szCs w:val="24"/>
          <w:lang w:val="pt-BR"/>
        </w:rPr>
        <w:t xml:space="preserve">Câmara, S. F., Pinto, F. R., da Silva, F. R., de Oliveira Soares, M., &amp; De Paula, T. M. (2021). </w:t>
      </w:r>
      <w:r w:rsidRPr="00F82AE9">
        <w:rPr>
          <w:rFonts w:eastAsia="Times New Roman" w:cs="Times New Roman"/>
          <w:szCs w:val="24"/>
        </w:rPr>
        <w:t xml:space="preserve">Socioeconomic vulnerability of communities on the Brazilian coast to the largest oil spill (2019–2020) in tropical oceans. </w:t>
      </w:r>
      <w:r w:rsidRPr="00F82AE9">
        <w:rPr>
          <w:rFonts w:eastAsia="Times New Roman" w:cs="Times New Roman"/>
          <w:i/>
          <w:szCs w:val="24"/>
        </w:rPr>
        <w:t>Ocean &amp; Coastal Management</w:t>
      </w:r>
      <w:r w:rsidRPr="00F82AE9">
        <w:rPr>
          <w:rFonts w:eastAsia="Times New Roman" w:cs="Times New Roman"/>
          <w:szCs w:val="24"/>
        </w:rPr>
        <w:t xml:space="preserve">, 202, 105506. </w:t>
      </w:r>
      <w:hyperlink r:id="rId9">
        <w:r w:rsidRPr="00F82AE9">
          <w:rPr>
            <w:rFonts w:eastAsia="Times New Roman" w:cs="Times New Roman"/>
            <w:color w:val="0000FF"/>
            <w:szCs w:val="24"/>
            <w:u w:val="single"/>
          </w:rPr>
          <w:t>https://doi.org/10.1016/j.ocecoaman.2020.105506</w:t>
        </w:r>
      </w:hyperlink>
    </w:p>
    <w:p w14:paraId="7A4B9E16" w14:textId="77777777" w:rsidR="00B03349" w:rsidRPr="00B03349" w:rsidRDefault="00B03349" w:rsidP="00B03349">
      <w:pPr>
        <w:spacing w:after="0"/>
        <w:ind w:left="425" w:hanging="425"/>
        <w:jc w:val="both"/>
        <w:rPr>
          <w:lang w:val="pt-BR"/>
        </w:rPr>
      </w:pPr>
      <w:r w:rsidRPr="00B03349">
        <w:rPr>
          <w:rFonts w:eastAsia="Times New Roman" w:cs="Times New Roman"/>
          <w:lang w:val="pt-BR"/>
        </w:rPr>
        <w:t xml:space="preserve">Câmara, S. F., Silva, F. R., Pinto, F. R. (2020). Vulnerabilidade socioeconômica do litoral cearense: mapeamento das localidades atingidas pelo derramamento de óleo. </w:t>
      </w:r>
      <w:r w:rsidRPr="00B03349">
        <w:rPr>
          <w:rFonts w:eastAsia="Times New Roman" w:cs="Times New Roman"/>
          <w:i/>
          <w:iCs/>
          <w:lang w:val="pt-BR"/>
        </w:rPr>
        <w:t>Caderno de Geografia,</w:t>
      </w:r>
      <w:r w:rsidRPr="00B03349">
        <w:rPr>
          <w:rFonts w:eastAsia="Times New Roman" w:cs="Times New Roman"/>
          <w:lang w:val="pt-BR"/>
        </w:rPr>
        <w:t xml:space="preserve"> 30(62), 817-840. </w:t>
      </w:r>
      <w:hyperlink r:id="rId10" w:history="1">
        <w:r w:rsidRPr="00B03349">
          <w:rPr>
            <w:rStyle w:val="Hyperlink"/>
            <w:rFonts w:eastAsia="Times New Roman"/>
            <w:lang w:val="pt-BR"/>
          </w:rPr>
          <w:t>https://doi.org/10.5752/p.2318-2962.2020v30n62p817</w:t>
        </w:r>
      </w:hyperlink>
    </w:p>
    <w:p w14:paraId="6FF53B3E" w14:textId="43BB0F6D" w:rsidR="00EC2E4B" w:rsidRPr="00EC2E4B" w:rsidRDefault="00EC2E4B" w:rsidP="00B03349">
      <w:pPr>
        <w:spacing w:after="0"/>
        <w:ind w:left="425" w:hanging="425"/>
        <w:jc w:val="both"/>
        <w:rPr>
          <w:rFonts w:eastAsia="Times New Roman" w:cs="Times New Roman"/>
          <w:szCs w:val="24"/>
          <w:lang w:val="pt-BR"/>
        </w:rPr>
      </w:pPr>
      <w:r w:rsidRPr="00B03349">
        <w:rPr>
          <w:rFonts w:eastAsia="Times New Roman" w:cs="Times New Roman"/>
          <w:szCs w:val="24"/>
          <w:lang w:val="pt-BR"/>
        </w:rPr>
        <w:t xml:space="preserve">Carvalho, A. B. (2018). </w:t>
      </w:r>
      <w:r w:rsidRPr="00EC2E4B">
        <w:rPr>
          <w:rFonts w:eastAsia="Times New Roman" w:cs="Times New Roman"/>
          <w:i/>
          <w:szCs w:val="24"/>
          <w:lang w:val="pt-BR"/>
        </w:rPr>
        <w:t>Economia do mar: conceito, valor e importância para o Brasil</w:t>
      </w:r>
      <w:r w:rsidRPr="00EC2E4B">
        <w:rPr>
          <w:rFonts w:eastAsia="Times New Roman" w:cs="Times New Roman"/>
          <w:szCs w:val="24"/>
          <w:lang w:val="pt-BR"/>
        </w:rPr>
        <w:t xml:space="preserve">. (Tese de Doutorado). Pontifícia Universidade Católica do Rio Grande do Sul, Porto Alegre, Brasil.  </w:t>
      </w:r>
    </w:p>
    <w:p w14:paraId="371C0B90" w14:textId="6B10ED3F" w:rsidR="00EC2E4B" w:rsidRPr="00EC2E4B" w:rsidRDefault="00EC2E4B" w:rsidP="00EC2E4B">
      <w:pPr>
        <w:ind w:left="425" w:hanging="425"/>
        <w:jc w:val="both"/>
        <w:rPr>
          <w:rFonts w:eastAsia="Times New Roman" w:cs="Times New Roman"/>
          <w:szCs w:val="24"/>
        </w:rPr>
      </w:pPr>
      <w:bookmarkStart w:id="0" w:name="_heading=h.2et92p0" w:colFirst="0" w:colLast="0"/>
      <w:bookmarkEnd w:id="0"/>
      <w:proofErr w:type="spellStart"/>
      <w:r w:rsidRPr="00F82AE9">
        <w:rPr>
          <w:rFonts w:eastAsia="Times New Roman" w:cs="Times New Roman"/>
          <w:szCs w:val="24"/>
        </w:rPr>
        <w:t>Cinner</w:t>
      </w:r>
      <w:proofErr w:type="spellEnd"/>
      <w:r w:rsidRPr="00F82AE9">
        <w:rPr>
          <w:rFonts w:eastAsia="Times New Roman" w:cs="Times New Roman"/>
          <w:szCs w:val="24"/>
        </w:rPr>
        <w:t xml:space="preserve">, J. E., &amp; Pomeroy, R. S. (2012). People and the sea: a festschrift dedicated to the career of Richard </w:t>
      </w:r>
      <w:proofErr w:type="spellStart"/>
      <w:r w:rsidRPr="00F82AE9">
        <w:rPr>
          <w:rFonts w:eastAsia="Times New Roman" w:cs="Times New Roman"/>
          <w:szCs w:val="24"/>
        </w:rPr>
        <w:t>Pollnac</w:t>
      </w:r>
      <w:proofErr w:type="spellEnd"/>
      <w:r w:rsidRPr="00F82AE9">
        <w:rPr>
          <w:rFonts w:eastAsia="Times New Roman" w:cs="Times New Roman"/>
          <w:szCs w:val="24"/>
        </w:rPr>
        <w:t xml:space="preserve">. </w:t>
      </w:r>
      <w:r w:rsidRPr="00F82AE9">
        <w:rPr>
          <w:rFonts w:eastAsia="Times New Roman" w:cs="Times New Roman"/>
          <w:i/>
          <w:szCs w:val="24"/>
        </w:rPr>
        <w:t>Coastal Management</w:t>
      </w:r>
      <w:r w:rsidRPr="00F82AE9">
        <w:rPr>
          <w:rFonts w:eastAsia="Times New Roman" w:cs="Times New Roman"/>
          <w:szCs w:val="24"/>
        </w:rPr>
        <w:t xml:space="preserve">, 40(3), 235-238. </w:t>
      </w:r>
      <w:hyperlink r:id="rId11">
        <w:r w:rsidRPr="00F82AE9">
          <w:rPr>
            <w:rFonts w:eastAsia="Times New Roman" w:cs="Times New Roman"/>
            <w:color w:val="0000FF"/>
            <w:szCs w:val="24"/>
            <w:u w:val="single"/>
          </w:rPr>
          <w:t>https://doi.org/10.1080/08920753.2012.677625</w:t>
        </w:r>
      </w:hyperlink>
    </w:p>
    <w:p w14:paraId="41AA5BBA" w14:textId="036A8346" w:rsidR="00EC2E4B" w:rsidRPr="00EC2E4B" w:rsidRDefault="00EC2E4B" w:rsidP="00EC2E4B">
      <w:pPr>
        <w:ind w:left="425" w:hanging="425"/>
        <w:jc w:val="both"/>
        <w:rPr>
          <w:rFonts w:eastAsia="Times New Roman" w:cs="Times New Roman"/>
          <w:szCs w:val="24"/>
        </w:rPr>
      </w:pPr>
      <w:bookmarkStart w:id="1" w:name="_heading=h.tyjcwt" w:colFirst="0" w:colLast="0"/>
      <w:bookmarkEnd w:id="1"/>
      <w:r w:rsidRPr="00F82AE9">
        <w:rPr>
          <w:rFonts w:eastAsia="Times New Roman" w:cs="Times New Roman"/>
          <w:szCs w:val="24"/>
        </w:rPr>
        <w:t xml:space="preserve">Hossain, M. S., Gain, A. K., &amp; Rogers, K. G. (2020). Sustainable coastal social-ecological systems: how do we define “coastal”? </w:t>
      </w:r>
      <w:r w:rsidRPr="00F82AE9">
        <w:rPr>
          <w:rFonts w:eastAsia="Times New Roman" w:cs="Times New Roman"/>
          <w:i/>
          <w:szCs w:val="24"/>
        </w:rPr>
        <w:t>International Journal of Sustainable Development &amp; World Ecology</w:t>
      </w:r>
      <w:r w:rsidRPr="00F82AE9">
        <w:rPr>
          <w:rFonts w:eastAsia="Times New Roman" w:cs="Times New Roman"/>
          <w:szCs w:val="24"/>
        </w:rPr>
        <w:t xml:space="preserve">, 27(7), 577–582. </w:t>
      </w:r>
      <w:hyperlink r:id="rId12">
        <w:r w:rsidRPr="00F82AE9">
          <w:rPr>
            <w:rFonts w:eastAsia="Times New Roman" w:cs="Times New Roman"/>
            <w:color w:val="0000FF"/>
            <w:szCs w:val="24"/>
            <w:u w:val="single"/>
          </w:rPr>
          <w:t>https://doi.org/10.1080/13504509.2020.1789775</w:t>
        </w:r>
      </w:hyperlink>
    </w:p>
    <w:p w14:paraId="3DC41084" w14:textId="283AD1CC" w:rsidR="00EC2E4B" w:rsidRPr="00EC2E4B" w:rsidRDefault="00EC2E4B" w:rsidP="00EC2E4B">
      <w:pPr>
        <w:ind w:left="425" w:hanging="425"/>
        <w:jc w:val="both"/>
        <w:rPr>
          <w:rFonts w:eastAsia="Times New Roman" w:cs="Times New Roman"/>
          <w:lang w:val="pt-BR"/>
        </w:rPr>
      </w:pPr>
      <w:r w:rsidRPr="00EC2E4B">
        <w:rPr>
          <w:rFonts w:eastAsia="Times New Roman" w:cs="Times New Roman"/>
          <w:szCs w:val="24"/>
          <w:lang w:val="pt-BR"/>
        </w:rPr>
        <w:t xml:space="preserve">Instituto Brasileiro do Meio Ambiente e dos Recursos Naturais Renováveis (Ibama) (2020). </w:t>
      </w:r>
      <w:r w:rsidRPr="00EC2E4B">
        <w:rPr>
          <w:rFonts w:eastAsia="Times New Roman" w:cs="Times New Roman"/>
          <w:i/>
          <w:szCs w:val="24"/>
          <w:lang w:val="pt-BR"/>
        </w:rPr>
        <w:t>Manchas de óleo no litoral do Nordeste</w:t>
      </w:r>
      <w:r w:rsidRPr="00EC2E4B">
        <w:rPr>
          <w:rFonts w:eastAsia="Times New Roman" w:cs="Times New Roman"/>
          <w:szCs w:val="24"/>
          <w:lang w:val="pt-BR"/>
        </w:rPr>
        <w:t xml:space="preserve">. </w:t>
      </w:r>
      <w:proofErr w:type="spellStart"/>
      <w:r w:rsidRPr="00EC2E4B">
        <w:rPr>
          <w:rFonts w:eastAsia="Times New Roman" w:cs="Times New Roman"/>
          <w:szCs w:val="24"/>
          <w:lang w:val="pt-BR"/>
        </w:rPr>
        <w:t>Retrieved</w:t>
      </w:r>
      <w:proofErr w:type="spellEnd"/>
      <w:r w:rsidRPr="00EC2E4B">
        <w:rPr>
          <w:rFonts w:eastAsia="Times New Roman" w:cs="Times New Roman"/>
          <w:szCs w:val="24"/>
          <w:lang w:val="pt-BR"/>
        </w:rPr>
        <w:t xml:space="preserve"> </w:t>
      </w:r>
      <w:proofErr w:type="spellStart"/>
      <w:r w:rsidRPr="00EC2E4B">
        <w:rPr>
          <w:rFonts w:eastAsia="Times New Roman" w:cs="Times New Roman"/>
          <w:szCs w:val="24"/>
          <w:lang w:val="pt-BR"/>
        </w:rPr>
        <w:t>from</w:t>
      </w:r>
      <w:proofErr w:type="spellEnd"/>
      <w:r w:rsidRPr="00EC2E4B">
        <w:rPr>
          <w:rFonts w:eastAsia="Times New Roman" w:cs="Times New Roman"/>
          <w:szCs w:val="24"/>
          <w:lang w:val="pt-BR"/>
        </w:rPr>
        <w:t xml:space="preserve"> </w:t>
      </w:r>
      <w:hyperlink r:id="rId13">
        <w:r w:rsidRPr="00EC2E4B">
          <w:rPr>
            <w:rFonts w:eastAsia="Times New Roman" w:cs="Times New Roman"/>
            <w:color w:val="0000FF"/>
            <w:szCs w:val="24"/>
            <w:u w:val="single"/>
            <w:lang w:val="pt-BR"/>
          </w:rPr>
          <w:t>http://www.ibama.gov.br/manchasdeoleo</w:t>
        </w:r>
      </w:hyperlink>
    </w:p>
    <w:p w14:paraId="17DB52D4" w14:textId="20ED3707" w:rsidR="00E42082" w:rsidRDefault="00E42082" w:rsidP="00E42082">
      <w:pPr>
        <w:spacing w:after="0"/>
        <w:ind w:left="425" w:hanging="425"/>
        <w:jc w:val="both"/>
        <w:rPr>
          <w:rFonts w:eastAsia="Times New Roman" w:cs="Times New Roman"/>
          <w:szCs w:val="24"/>
        </w:rPr>
      </w:pPr>
      <w:r>
        <w:rPr>
          <w:rFonts w:eastAsia="Times New Roman" w:cs="Times New Roman"/>
          <w:szCs w:val="24"/>
        </w:rPr>
        <w:t xml:space="preserve">Nelson, J. R., &amp; Grubesic, T. H. (2018). Oil spill modeling: risk, spatial vulnerability, and impact assessment. Progress in Physical Geography: Earth and Environment, 42(1), 112-127. </w:t>
      </w:r>
      <w:hyperlink r:id="rId14" w:history="1">
        <w:r>
          <w:rPr>
            <w:rStyle w:val="Hyperlink"/>
            <w:rFonts w:eastAsia="Times New Roman"/>
          </w:rPr>
          <w:t>https://doi.org/10.1177/0309133317744737</w:t>
        </w:r>
      </w:hyperlink>
    </w:p>
    <w:p w14:paraId="6BD721C9" w14:textId="4764C210" w:rsidR="00E42082" w:rsidRDefault="00E42082" w:rsidP="00E42082">
      <w:pPr>
        <w:spacing w:after="0"/>
        <w:ind w:left="425" w:hanging="425"/>
        <w:jc w:val="both"/>
        <w:rPr>
          <w:rFonts w:eastAsia="Times New Roman" w:cs="Times New Roman"/>
          <w:szCs w:val="24"/>
        </w:rPr>
      </w:pPr>
      <w:r>
        <w:rPr>
          <w:rFonts w:eastAsia="Times New Roman" w:cs="Times New Roman"/>
          <w:szCs w:val="24"/>
        </w:rPr>
        <w:t xml:space="preserve">Nelson, J. R., Grubesic, T. H., Sim, L., &amp; Rose, K. (2018). A geospatial evaluation of oil spill impact potential on coastal tourism in the Gulf of Mexico. </w:t>
      </w:r>
      <w:r>
        <w:rPr>
          <w:rFonts w:eastAsia="Times New Roman" w:cs="Times New Roman"/>
          <w:i/>
          <w:iCs/>
          <w:szCs w:val="24"/>
        </w:rPr>
        <w:t>Computers, Environment and Urban Systems,</w:t>
      </w:r>
      <w:r>
        <w:rPr>
          <w:rFonts w:eastAsia="Times New Roman" w:cs="Times New Roman"/>
          <w:szCs w:val="24"/>
        </w:rPr>
        <w:t xml:space="preserve"> 68, 26-36. </w:t>
      </w:r>
      <w:hyperlink r:id="rId15" w:history="1">
        <w:r>
          <w:rPr>
            <w:rStyle w:val="Hyperlink"/>
            <w:rFonts w:eastAsia="Times New Roman"/>
          </w:rPr>
          <w:t>https://doi.org/10.1016/j.compenvurbsys.2017.10.001</w:t>
        </w:r>
      </w:hyperlink>
    </w:p>
    <w:p w14:paraId="55BBCE7B" w14:textId="77777777" w:rsidR="00E42082" w:rsidRDefault="00E42082" w:rsidP="00E42082">
      <w:pPr>
        <w:spacing w:after="0"/>
        <w:ind w:left="425" w:hanging="425"/>
        <w:jc w:val="both"/>
        <w:rPr>
          <w:rFonts w:eastAsia="Times New Roman" w:cs="Times New Roman"/>
          <w:szCs w:val="24"/>
        </w:rPr>
      </w:pPr>
      <w:r>
        <w:rPr>
          <w:rFonts w:eastAsia="Times New Roman" w:cs="Times New Roman"/>
          <w:szCs w:val="24"/>
        </w:rPr>
        <w:t xml:space="preserve">Nelson, J. R., Grubesic, T. H., Sim, L., Rose, K., &amp; Graham, J. (2015). Approach for assessing coastal vulnerability to oil spills for prevention and readiness using GIS and the Blowout and Spill Occurrence Model. </w:t>
      </w:r>
      <w:r>
        <w:rPr>
          <w:rFonts w:eastAsia="Times New Roman" w:cs="Times New Roman"/>
          <w:i/>
          <w:iCs/>
          <w:szCs w:val="24"/>
        </w:rPr>
        <w:t>Ocean &amp; Coastal Management,</w:t>
      </w:r>
      <w:r>
        <w:rPr>
          <w:rFonts w:eastAsia="Times New Roman" w:cs="Times New Roman"/>
          <w:szCs w:val="24"/>
        </w:rPr>
        <w:t xml:space="preserve"> 112, 1-11. </w:t>
      </w:r>
      <w:hyperlink r:id="rId16" w:history="1">
        <w:r>
          <w:rPr>
            <w:rStyle w:val="Hyperlink"/>
            <w:rFonts w:eastAsia="Times New Roman"/>
          </w:rPr>
          <w:t>https://doi.org/10.1016/j.ocecoaman.2015.04.014</w:t>
        </w:r>
      </w:hyperlink>
    </w:p>
    <w:p w14:paraId="5C6CB6DD" w14:textId="46340BF7" w:rsidR="00EC2E4B" w:rsidRPr="00EC2E4B" w:rsidRDefault="00EC2E4B" w:rsidP="00E42082">
      <w:pPr>
        <w:spacing w:after="0"/>
        <w:ind w:left="425" w:hanging="425"/>
        <w:jc w:val="both"/>
        <w:rPr>
          <w:rFonts w:eastAsia="Times New Roman" w:cs="Times New Roman"/>
          <w:szCs w:val="24"/>
        </w:rPr>
      </w:pPr>
      <w:r w:rsidRPr="00F82AE9">
        <w:rPr>
          <w:rFonts w:eastAsia="Times New Roman" w:cs="Times New Roman"/>
          <w:szCs w:val="24"/>
        </w:rPr>
        <w:t xml:space="preserve">Likert, R. (1932). A technique for the measurement of attitudes. </w:t>
      </w:r>
      <w:r w:rsidRPr="00F82AE9">
        <w:rPr>
          <w:rFonts w:eastAsia="Times New Roman" w:cs="Times New Roman"/>
          <w:i/>
          <w:szCs w:val="24"/>
        </w:rPr>
        <w:t>Archives of Psychology</w:t>
      </w:r>
      <w:r w:rsidRPr="00F82AE9">
        <w:rPr>
          <w:rFonts w:eastAsia="Times New Roman" w:cs="Times New Roman"/>
          <w:szCs w:val="24"/>
        </w:rPr>
        <w:t xml:space="preserve">, 22(140), 1-55. </w:t>
      </w:r>
    </w:p>
    <w:p w14:paraId="6FCE476F" w14:textId="3AB1C7AF" w:rsidR="00EC2E4B" w:rsidRPr="00EC2E4B" w:rsidRDefault="00EC2E4B" w:rsidP="00EC2E4B">
      <w:pPr>
        <w:ind w:left="425" w:hanging="425"/>
        <w:jc w:val="both"/>
        <w:rPr>
          <w:rFonts w:eastAsia="Times New Roman" w:cs="Times New Roman"/>
          <w:szCs w:val="24"/>
        </w:rPr>
      </w:pPr>
      <w:proofErr w:type="spellStart"/>
      <w:r w:rsidRPr="00F82AE9">
        <w:rPr>
          <w:rFonts w:eastAsia="Times New Roman" w:cs="Times New Roman"/>
          <w:szCs w:val="24"/>
        </w:rPr>
        <w:t>Lijadi</w:t>
      </w:r>
      <w:proofErr w:type="spellEnd"/>
      <w:r w:rsidRPr="00F82AE9">
        <w:rPr>
          <w:rFonts w:eastAsia="Times New Roman" w:cs="Times New Roman"/>
          <w:szCs w:val="24"/>
        </w:rPr>
        <w:t xml:space="preserve">, A. A., &amp; Schalkwyk, G. J. (2015). Online Facebook focus group research of hard-to-reach participants. </w:t>
      </w:r>
      <w:r w:rsidRPr="00F82AE9">
        <w:rPr>
          <w:rFonts w:eastAsia="Times New Roman" w:cs="Times New Roman"/>
          <w:i/>
          <w:szCs w:val="24"/>
        </w:rPr>
        <w:t>International Journal of Qualitative Methods</w:t>
      </w:r>
      <w:r w:rsidRPr="00F82AE9">
        <w:rPr>
          <w:rFonts w:eastAsia="Times New Roman" w:cs="Times New Roman"/>
          <w:szCs w:val="24"/>
        </w:rPr>
        <w:t xml:space="preserve">, 14(5), 1609406915621383. </w:t>
      </w:r>
      <w:hyperlink r:id="rId17">
        <w:r w:rsidRPr="00F82AE9">
          <w:rPr>
            <w:rFonts w:eastAsia="Times New Roman" w:cs="Times New Roman"/>
            <w:color w:val="0000FF"/>
            <w:szCs w:val="24"/>
            <w:u w:val="single"/>
          </w:rPr>
          <w:t>https://doi.org/10.1177/1609406915621383</w:t>
        </w:r>
      </w:hyperlink>
    </w:p>
    <w:p w14:paraId="7B65BC41" w14:textId="04653DD6" w:rsidR="00DE23E8" w:rsidRPr="001549D3" w:rsidRDefault="00EC2E4B" w:rsidP="00E42082">
      <w:pPr>
        <w:ind w:left="425" w:hanging="425"/>
        <w:jc w:val="both"/>
      </w:pPr>
      <w:bookmarkStart w:id="2" w:name="_heading=h.3dy6vkm" w:colFirst="0" w:colLast="0"/>
      <w:bookmarkEnd w:id="2"/>
      <w:r w:rsidRPr="00F82AE9">
        <w:rPr>
          <w:rFonts w:eastAsia="Times New Roman" w:cs="Times New Roman"/>
          <w:szCs w:val="24"/>
        </w:rPr>
        <w:lastRenderedPageBreak/>
        <w:t xml:space="preserve">Selig, E. R., Hole, D. G., Allison, E. H., Arkema, K. K., McKinnon, M. C., Chu, J., ... </w:t>
      </w:r>
      <w:r>
        <w:rPr>
          <w:rFonts w:eastAsia="Times New Roman" w:cs="Times New Roman"/>
          <w:szCs w:val="24"/>
        </w:rPr>
        <w:t xml:space="preserve">&amp; </w:t>
      </w:r>
      <w:proofErr w:type="spellStart"/>
      <w:r>
        <w:rPr>
          <w:rFonts w:eastAsia="Times New Roman" w:cs="Times New Roman"/>
          <w:szCs w:val="24"/>
        </w:rPr>
        <w:t>Zvoleff</w:t>
      </w:r>
      <w:proofErr w:type="spellEnd"/>
      <w:r>
        <w:rPr>
          <w:rFonts w:eastAsia="Times New Roman" w:cs="Times New Roman"/>
          <w:szCs w:val="24"/>
        </w:rPr>
        <w:t xml:space="preserve">, A. (2019). </w:t>
      </w:r>
      <w:r w:rsidRPr="00F82AE9">
        <w:rPr>
          <w:rFonts w:eastAsia="Times New Roman" w:cs="Times New Roman"/>
          <w:szCs w:val="24"/>
        </w:rPr>
        <w:t xml:space="preserve">Mapping global human dependence on marine ecosystems. </w:t>
      </w:r>
      <w:r w:rsidRPr="00F82AE9">
        <w:rPr>
          <w:rFonts w:eastAsia="Times New Roman" w:cs="Times New Roman"/>
          <w:i/>
          <w:szCs w:val="24"/>
        </w:rPr>
        <w:t>Conservation Letters</w:t>
      </w:r>
      <w:r w:rsidRPr="00F82AE9">
        <w:rPr>
          <w:rFonts w:eastAsia="Times New Roman" w:cs="Times New Roman"/>
          <w:szCs w:val="24"/>
        </w:rPr>
        <w:t xml:space="preserve">, 12(2), e12617. </w:t>
      </w:r>
      <w:hyperlink r:id="rId18">
        <w:r>
          <w:rPr>
            <w:rFonts w:eastAsia="Times New Roman" w:cs="Times New Roman"/>
            <w:color w:val="0000FF"/>
            <w:szCs w:val="24"/>
            <w:u w:val="single"/>
          </w:rPr>
          <w:t>https://doi.org/10.1111/conl.12617</w:t>
        </w:r>
      </w:hyperlink>
    </w:p>
    <w:sectPr w:rsidR="00DE23E8" w:rsidRPr="001549D3" w:rsidSect="0093429D">
      <w:headerReference w:type="even" r:id="rId19"/>
      <w:footerReference w:type="even" r:id="rId20"/>
      <w:footerReference w:type="default" r:id="rId21"/>
      <w:headerReference w:type="first" r:id="rId2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B137" w14:textId="77777777" w:rsidR="00A052AC" w:rsidRDefault="00A052AC" w:rsidP="00117666">
      <w:pPr>
        <w:spacing w:after="0"/>
      </w:pPr>
      <w:r>
        <w:separator/>
      </w:r>
    </w:p>
  </w:endnote>
  <w:endnote w:type="continuationSeparator" w:id="0">
    <w:p w14:paraId="7642D5D4" w14:textId="77777777" w:rsidR="00A052AC" w:rsidRDefault="00A052A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E30D" w14:textId="77777777" w:rsidR="00A052AC" w:rsidRDefault="00A052AC" w:rsidP="00117666">
      <w:pPr>
        <w:spacing w:after="0"/>
      </w:pPr>
      <w:r>
        <w:separator/>
      </w:r>
    </w:p>
  </w:footnote>
  <w:footnote w:type="continuationSeparator" w:id="0">
    <w:p w14:paraId="6C82D1C9" w14:textId="77777777" w:rsidR="00A052AC" w:rsidRDefault="00A052A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grafoda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60596"/>
    <w:rsid w:val="00593EEA"/>
    <w:rsid w:val="005A5EEE"/>
    <w:rsid w:val="006375C7"/>
    <w:rsid w:val="00654E8F"/>
    <w:rsid w:val="00660D05"/>
    <w:rsid w:val="006820B1"/>
    <w:rsid w:val="006B7D14"/>
    <w:rsid w:val="00701727"/>
    <w:rsid w:val="0070566C"/>
    <w:rsid w:val="00714C50"/>
    <w:rsid w:val="00725A7D"/>
    <w:rsid w:val="007501BE"/>
    <w:rsid w:val="00790BB3"/>
    <w:rsid w:val="007C206C"/>
    <w:rsid w:val="007C4C8F"/>
    <w:rsid w:val="00817DD6"/>
    <w:rsid w:val="0083759F"/>
    <w:rsid w:val="00885156"/>
    <w:rsid w:val="009151AA"/>
    <w:rsid w:val="0093429D"/>
    <w:rsid w:val="00943573"/>
    <w:rsid w:val="00964134"/>
    <w:rsid w:val="00970F7D"/>
    <w:rsid w:val="00994A3D"/>
    <w:rsid w:val="009C2B12"/>
    <w:rsid w:val="00A052AC"/>
    <w:rsid w:val="00A174D9"/>
    <w:rsid w:val="00AA4D24"/>
    <w:rsid w:val="00AB6715"/>
    <w:rsid w:val="00B03349"/>
    <w:rsid w:val="00B05534"/>
    <w:rsid w:val="00B1671E"/>
    <w:rsid w:val="00B25EB8"/>
    <w:rsid w:val="00B37F4D"/>
    <w:rsid w:val="00BE7A49"/>
    <w:rsid w:val="00C52A7B"/>
    <w:rsid w:val="00C56BAF"/>
    <w:rsid w:val="00C679AA"/>
    <w:rsid w:val="00C75972"/>
    <w:rsid w:val="00CD066B"/>
    <w:rsid w:val="00CE4FEE"/>
    <w:rsid w:val="00D060CF"/>
    <w:rsid w:val="00DB59C3"/>
    <w:rsid w:val="00DC259A"/>
    <w:rsid w:val="00DE23E8"/>
    <w:rsid w:val="00E42082"/>
    <w:rsid w:val="00E52377"/>
    <w:rsid w:val="00E537AD"/>
    <w:rsid w:val="00E64E17"/>
    <w:rsid w:val="00E866C9"/>
    <w:rsid w:val="00EA3D3C"/>
    <w:rsid w:val="00EC090A"/>
    <w:rsid w:val="00EC2E4B"/>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argrafodaLista"/>
    <w:next w:val="Normal"/>
    <w:link w:val="Ttulo1Ch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har"/>
    <w:uiPriority w:val="2"/>
    <w:qFormat/>
    <w:rsid w:val="00AB6715"/>
    <w:pPr>
      <w:numPr>
        <w:ilvl w:val="1"/>
      </w:numPr>
      <w:spacing w:after="200"/>
      <w:outlineLvl w:val="1"/>
    </w:pPr>
  </w:style>
  <w:style w:type="paragraph" w:styleId="Ttulo3">
    <w:name w:val="heading 3"/>
    <w:basedOn w:val="Normal"/>
    <w:next w:val="Normal"/>
    <w:link w:val="Ttulo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har"/>
    <w:uiPriority w:val="2"/>
    <w:qFormat/>
    <w:rsid w:val="00AB6715"/>
    <w:pPr>
      <w:numPr>
        <w:ilvl w:val="3"/>
      </w:numPr>
      <w:outlineLvl w:val="3"/>
    </w:pPr>
    <w:rPr>
      <w:iCs/>
    </w:rPr>
  </w:style>
  <w:style w:type="paragraph" w:styleId="Ttulo5">
    <w:name w:val="heading 5"/>
    <w:basedOn w:val="Ttulo4"/>
    <w:next w:val="Normal"/>
    <w:link w:val="Ttulo5Char"/>
    <w:uiPriority w:val="2"/>
    <w:qFormat/>
    <w:rsid w:val="00AB6715"/>
    <w:pPr>
      <w:numPr>
        <w:ilvl w:val="4"/>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2"/>
    <w:rsid w:val="00AB6715"/>
    <w:rPr>
      <w:rFonts w:ascii="Times New Roman" w:eastAsia="Cambria" w:hAnsi="Times New Roman" w:cs="Times New Roman"/>
      <w:b/>
      <w:sz w:val="24"/>
      <w:szCs w:val="24"/>
    </w:rPr>
  </w:style>
  <w:style w:type="character" w:customStyle="1" w:styleId="Ttulo2Char">
    <w:name w:val="Título 2 Char"/>
    <w:basedOn w:val="Fontepargpadro"/>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har"/>
    <w:uiPriority w:val="99"/>
    <w:unhideWhenUsed/>
    <w:qFormat/>
    <w:rsid w:val="00AB6715"/>
    <w:pPr>
      <w:spacing w:before="240"/>
    </w:pPr>
    <w:rPr>
      <w:rFonts w:cs="Times New Roman"/>
      <w:b/>
      <w:szCs w:val="24"/>
    </w:rPr>
  </w:style>
  <w:style w:type="character" w:customStyle="1" w:styleId="SubttuloChar">
    <w:name w:val="Subtítulo Char"/>
    <w:basedOn w:val="Fontepargpadro"/>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balo">
    <w:name w:val="Balloon Text"/>
    <w:basedOn w:val="Normal"/>
    <w:link w:val="TextodebaloChar"/>
    <w:uiPriority w:val="99"/>
    <w:semiHidden/>
    <w:unhideWhenUsed/>
    <w:rsid w:val="00AB67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B6715"/>
    <w:rPr>
      <w:rFonts w:ascii="Tahoma" w:hAnsi="Tahoma" w:cs="Tahoma"/>
      <w:sz w:val="16"/>
      <w:szCs w:val="16"/>
    </w:rPr>
  </w:style>
  <w:style w:type="character" w:styleId="TtulodoLivro">
    <w:name w:val="Book Title"/>
    <w:basedOn w:val="Fontepargpadro"/>
    <w:uiPriority w:val="33"/>
    <w:qFormat/>
    <w:rsid w:val="00AB6715"/>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99"/>
    <w:unhideWhenUsed/>
    <w:qFormat/>
    <w:rsid w:val="00AB6715"/>
    <w:pPr>
      <w:spacing w:after="0" w:line="240" w:lineRule="auto"/>
    </w:pPr>
    <w:rPr>
      <w:rFonts w:ascii="Times New Roman" w:hAnsi="Times New Roman"/>
      <w:sz w:val="24"/>
    </w:rPr>
  </w:style>
  <w:style w:type="character" w:styleId="Refdecomentrio">
    <w:name w:val="annotation reference"/>
    <w:basedOn w:val="Fontepargpadro"/>
    <w:uiPriority w:val="99"/>
    <w:semiHidden/>
    <w:unhideWhenUsed/>
    <w:rsid w:val="00AB6715"/>
    <w:rPr>
      <w:sz w:val="16"/>
      <w:szCs w:val="16"/>
    </w:rPr>
  </w:style>
  <w:style w:type="paragraph" w:styleId="Textodecomentrio">
    <w:name w:val="annotation text"/>
    <w:basedOn w:val="Normal"/>
    <w:link w:val="TextodecomentrioChar"/>
    <w:uiPriority w:val="99"/>
    <w:semiHidden/>
    <w:unhideWhenUsed/>
    <w:rsid w:val="00AB6715"/>
    <w:rPr>
      <w:sz w:val="20"/>
      <w:szCs w:val="20"/>
    </w:rPr>
  </w:style>
  <w:style w:type="character" w:customStyle="1" w:styleId="TextodecomentrioChar">
    <w:name w:val="Texto de comentário Char"/>
    <w:basedOn w:val="Fontepargpadro"/>
    <w:link w:val="Textodecomentrio"/>
    <w:uiPriority w:val="99"/>
    <w:semiHidden/>
    <w:rsid w:val="00AB671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6715"/>
    <w:rPr>
      <w:b/>
      <w:bCs/>
    </w:rPr>
  </w:style>
  <w:style w:type="character" w:customStyle="1" w:styleId="AssuntodocomentrioChar">
    <w:name w:val="Assunto do comentário Char"/>
    <w:basedOn w:val="TextodecomentrioChar"/>
    <w:link w:val="Assuntodocomentrio"/>
    <w:uiPriority w:val="99"/>
    <w:semiHidden/>
    <w:rsid w:val="00AB6715"/>
    <w:rPr>
      <w:rFonts w:ascii="Times New Roman" w:hAnsi="Times New Roman"/>
      <w:b/>
      <w:bCs/>
      <w:sz w:val="20"/>
      <w:szCs w:val="20"/>
    </w:rPr>
  </w:style>
  <w:style w:type="character" w:styleId="nfase">
    <w:name w:val="Emphasis"/>
    <w:basedOn w:val="Fontepargpadro"/>
    <w:uiPriority w:val="20"/>
    <w:qFormat/>
    <w:rsid w:val="00AB6715"/>
    <w:rPr>
      <w:rFonts w:ascii="Times New Roman" w:hAnsi="Times New Roman"/>
      <w:i/>
      <w:iCs/>
    </w:rPr>
  </w:style>
  <w:style w:type="character" w:styleId="Refdenotadefim">
    <w:name w:val="endnote reference"/>
    <w:basedOn w:val="Fontepargpadro"/>
    <w:uiPriority w:val="99"/>
    <w:semiHidden/>
    <w:unhideWhenUsed/>
    <w:rsid w:val="00AB6715"/>
    <w:rPr>
      <w:vertAlign w:val="superscript"/>
    </w:rPr>
  </w:style>
  <w:style w:type="paragraph" w:styleId="Textodenotadefim">
    <w:name w:val="endnote text"/>
    <w:basedOn w:val="Normal"/>
    <w:link w:val="TextodenotadefimChar"/>
    <w:uiPriority w:val="99"/>
    <w:semiHidden/>
    <w:unhideWhenUsed/>
    <w:rsid w:val="00AB6715"/>
    <w:pPr>
      <w:spacing w:after="0"/>
    </w:pPr>
    <w:rPr>
      <w:sz w:val="20"/>
      <w:szCs w:val="20"/>
    </w:rPr>
  </w:style>
  <w:style w:type="character" w:customStyle="1" w:styleId="TextodenotadefimChar">
    <w:name w:val="Texto de nota de fim Char"/>
    <w:basedOn w:val="Fontepargpadro"/>
    <w:link w:val="Textodenotadefim"/>
    <w:uiPriority w:val="99"/>
    <w:semiHidden/>
    <w:rsid w:val="00AB6715"/>
    <w:rPr>
      <w:rFonts w:ascii="Times New Roman" w:hAnsi="Times New Roman"/>
      <w:sz w:val="20"/>
      <w:szCs w:val="20"/>
    </w:rPr>
  </w:style>
  <w:style w:type="character" w:styleId="HiperlinkVisitado">
    <w:name w:val="FollowedHyperlink"/>
    <w:basedOn w:val="Fontepargpadro"/>
    <w:uiPriority w:val="99"/>
    <w:semiHidden/>
    <w:unhideWhenUsed/>
    <w:rsid w:val="00AB6715"/>
    <w:rPr>
      <w:color w:val="800080" w:themeColor="followedHyperlink"/>
      <w:u w:val="single"/>
    </w:rPr>
  </w:style>
  <w:style w:type="paragraph" w:styleId="Rodap">
    <w:name w:val="footer"/>
    <w:basedOn w:val="Normal"/>
    <w:link w:val="RodapChar"/>
    <w:uiPriority w:val="99"/>
    <w:unhideWhenUsed/>
    <w:rsid w:val="00AB6715"/>
    <w:pPr>
      <w:tabs>
        <w:tab w:val="center" w:pos="4844"/>
        <w:tab w:val="right" w:pos="9689"/>
      </w:tabs>
      <w:spacing w:after="0"/>
    </w:pPr>
  </w:style>
  <w:style w:type="character" w:customStyle="1" w:styleId="RodapChar">
    <w:name w:val="Rodapé Char"/>
    <w:basedOn w:val="Fontepargpadro"/>
    <w:link w:val="Rodap"/>
    <w:uiPriority w:val="99"/>
    <w:rsid w:val="00AB6715"/>
    <w:rPr>
      <w:rFonts w:ascii="Times New Roman" w:hAnsi="Times New Roman"/>
      <w:sz w:val="24"/>
    </w:rPr>
  </w:style>
  <w:style w:type="character" w:styleId="Refdenotaderodap">
    <w:name w:val="footnote reference"/>
    <w:basedOn w:val="Fontepargpadro"/>
    <w:uiPriority w:val="99"/>
    <w:semiHidden/>
    <w:unhideWhenUsed/>
    <w:rsid w:val="00AB6715"/>
    <w:rPr>
      <w:vertAlign w:val="superscript"/>
    </w:rPr>
  </w:style>
  <w:style w:type="paragraph" w:styleId="Textodenotaderodap">
    <w:name w:val="footnote text"/>
    <w:basedOn w:val="Normal"/>
    <w:link w:val="TextodenotaderodapChar"/>
    <w:uiPriority w:val="99"/>
    <w:semiHidden/>
    <w:unhideWhenUsed/>
    <w:rsid w:val="00AB6715"/>
    <w:pPr>
      <w:spacing w:after="0"/>
    </w:pPr>
    <w:rPr>
      <w:sz w:val="20"/>
      <w:szCs w:val="20"/>
    </w:rPr>
  </w:style>
  <w:style w:type="character" w:customStyle="1" w:styleId="TextodenotaderodapChar">
    <w:name w:val="Texto de nota de rodapé Char"/>
    <w:basedOn w:val="Fontepargpadro"/>
    <w:link w:val="Textodenotaderodap"/>
    <w:uiPriority w:val="99"/>
    <w:semiHidden/>
    <w:rsid w:val="00AB6715"/>
    <w:rPr>
      <w:rFonts w:ascii="Times New Roman" w:hAnsi="Times New Roman"/>
      <w:sz w:val="20"/>
      <w:szCs w:val="20"/>
    </w:rPr>
  </w:style>
  <w:style w:type="paragraph" w:styleId="Cabealho">
    <w:name w:val="header"/>
    <w:basedOn w:val="Normal"/>
    <w:link w:val="CabealhoChar"/>
    <w:uiPriority w:val="99"/>
    <w:unhideWhenUsed/>
    <w:rsid w:val="00AB6715"/>
    <w:pPr>
      <w:tabs>
        <w:tab w:val="center" w:pos="4844"/>
        <w:tab w:val="right" w:pos="9689"/>
      </w:tabs>
    </w:pPr>
    <w:rPr>
      <w:b/>
    </w:rPr>
  </w:style>
  <w:style w:type="character" w:customStyle="1" w:styleId="CabealhoChar">
    <w:name w:val="Cabeçalho Char"/>
    <w:basedOn w:val="Fontepargpadro"/>
    <w:link w:val="Cabealho"/>
    <w:uiPriority w:val="99"/>
    <w:rsid w:val="00AB6715"/>
    <w:rPr>
      <w:rFonts w:ascii="Times New Roman" w:hAnsi="Times New Roman"/>
      <w:b/>
      <w:sz w:val="24"/>
    </w:rPr>
  </w:style>
  <w:style w:type="paragraph" w:styleId="Pargrafoda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Fontepargpadro"/>
    <w:uiPriority w:val="99"/>
    <w:unhideWhenUsed/>
    <w:rsid w:val="00AB6715"/>
    <w:rPr>
      <w:color w:val="0000FF"/>
      <w:u w:val="single"/>
    </w:rPr>
  </w:style>
  <w:style w:type="character" w:styleId="nfaseIntensa">
    <w:name w:val="Intense Emphasis"/>
    <w:basedOn w:val="Fontepargpadro"/>
    <w:uiPriority w:val="21"/>
    <w:unhideWhenUsed/>
    <w:rsid w:val="00AB6715"/>
    <w:rPr>
      <w:rFonts w:ascii="Times New Roman" w:hAnsi="Times New Roman"/>
      <w:i/>
      <w:iCs/>
      <w:color w:val="auto"/>
    </w:rPr>
  </w:style>
  <w:style w:type="character" w:styleId="RefernciaIntensa">
    <w:name w:val="Intense Reference"/>
    <w:basedOn w:val="Fontepargpadro"/>
    <w:uiPriority w:val="32"/>
    <w:qFormat/>
    <w:rsid w:val="00AB6715"/>
    <w:rPr>
      <w:b/>
      <w:bCs/>
      <w:smallCaps/>
      <w:color w:val="auto"/>
      <w:spacing w:val="5"/>
    </w:rPr>
  </w:style>
  <w:style w:type="character" w:styleId="Nmerodelinha">
    <w:name w:val="line number"/>
    <w:basedOn w:val="Fontepargpadro"/>
    <w:uiPriority w:val="99"/>
    <w:semiHidden/>
    <w:unhideWhenUsed/>
    <w:rsid w:val="00AB6715"/>
  </w:style>
  <w:style w:type="character" w:customStyle="1" w:styleId="Ttulo3Char">
    <w:name w:val="Título 3 Char"/>
    <w:basedOn w:val="Fontepargpadro"/>
    <w:link w:val="Ttulo3"/>
    <w:uiPriority w:val="2"/>
    <w:rsid w:val="00AB6715"/>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2"/>
    <w:rsid w:val="00AB6715"/>
    <w:rPr>
      <w:rFonts w:ascii="Times New Roman" w:eastAsiaTheme="majorEastAsia" w:hAnsi="Times New Roman" w:cstheme="majorBidi"/>
      <w:b/>
      <w:iCs/>
      <w:sz w:val="24"/>
      <w:szCs w:val="24"/>
    </w:rPr>
  </w:style>
  <w:style w:type="character" w:customStyle="1" w:styleId="Ttulo5Char">
    <w:name w:val="Título 5 Char"/>
    <w:basedOn w:val="Fontepargpadro"/>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har"/>
    <w:uiPriority w:val="29"/>
    <w:qFormat/>
    <w:rsid w:val="00AB671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AB6715"/>
    <w:rPr>
      <w:rFonts w:ascii="Times New Roman" w:hAnsi="Times New Roman"/>
      <w:i/>
      <w:iCs/>
      <w:color w:val="404040" w:themeColor="text1" w:themeTint="BF"/>
      <w:sz w:val="24"/>
    </w:rPr>
  </w:style>
  <w:style w:type="character" w:styleId="Forte">
    <w:name w:val="Strong"/>
    <w:basedOn w:val="Fontepargpadro"/>
    <w:uiPriority w:val="22"/>
    <w:qFormat/>
    <w:rsid w:val="00AB6715"/>
    <w:rPr>
      <w:rFonts w:ascii="Times New Roman" w:hAnsi="Times New Roman"/>
      <w:b/>
      <w:bCs/>
    </w:rPr>
  </w:style>
  <w:style w:type="character" w:styleId="nfaseSutil">
    <w:name w:val="Subtle Emphasis"/>
    <w:basedOn w:val="Fontepargpadro"/>
    <w:uiPriority w:val="19"/>
    <w:qFormat/>
    <w:rsid w:val="00AB6715"/>
    <w:rPr>
      <w:rFonts w:ascii="Times New Roman" w:hAnsi="Times New Roman"/>
      <w:i/>
      <w:iCs/>
      <w:color w:val="404040" w:themeColor="text1" w:themeTint="BF"/>
    </w:rPr>
  </w:style>
  <w:style w:type="table" w:styleId="Tabelacomgrade">
    <w:name w:val="Table Grid"/>
    <w:basedOn w:val="Tabe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AB6715"/>
    <w:pPr>
      <w:suppressLineNumbers/>
      <w:spacing w:before="240" w:after="360"/>
      <w:jc w:val="center"/>
    </w:pPr>
    <w:rPr>
      <w:rFonts w:cs="Times New Roman"/>
      <w:b/>
      <w:sz w:val="32"/>
      <w:szCs w:val="32"/>
    </w:rPr>
  </w:style>
  <w:style w:type="character" w:customStyle="1" w:styleId="TtuloChar">
    <w:name w:val="Título Char"/>
    <w:basedOn w:val="Fontepargpadro"/>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4133">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224678947">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2939163" TargetMode="External"/><Relationship Id="rId13" Type="http://schemas.openxmlformats.org/officeDocument/2006/relationships/hyperlink" Target="http://www.ibama.gov.br/manchasdeoleo" TargetMode="External"/><Relationship Id="rId18" Type="http://schemas.openxmlformats.org/officeDocument/2006/relationships/hyperlink" Target="https://doi.org/10.1111/conl.1261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80/13504509.2020.1789775" TargetMode="External"/><Relationship Id="rId17" Type="http://schemas.openxmlformats.org/officeDocument/2006/relationships/hyperlink" Target="https://doi.org/10.1177/1609406915621383" TargetMode="External"/><Relationship Id="rId2" Type="http://schemas.openxmlformats.org/officeDocument/2006/relationships/numbering" Target="numbering.xml"/><Relationship Id="rId16" Type="http://schemas.openxmlformats.org/officeDocument/2006/relationships/hyperlink" Target="https://doi.org/10.1016/j.ocecoaman.2015.04.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8920753.2012.6776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compenvurbsys.2017.10.001" TargetMode="External"/><Relationship Id="rId23" Type="http://schemas.openxmlformats.org/officeDocument/2006/relationships/fontTable" Target="fontTable.xml"/><Relationship Id="rId10" Type="http://schemas.openxmlformats.org/officeDocument/2006/relationships/hyperlink" Target="https://doi.org/10.5752/p.2318-2962.2020v30n62p8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ocecoaman.2020.105506" TargetMode="External"/><Relationship Id="rId14" Type="http://schemas.openxmlformats.org/officeDocument/2006/relationships/hyperlink" Target="https://doi.org/10.1177/0309133317744737"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7</TotalTime>
  <Pages>1</Pages>
  <Words>2298</Words>
  <Characters>12415</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felipe roberto</cp:lastModifiedBy>
  <cp:revision>5</cp:revision>
  <cp:lastPrinted>2013-10-03T12:51:00Z</cp:lastPrinted>
  <dcterms:created xsi:type="dcterms:W3CDTF">2018-11-23T08:58:00Z</dcterms:created>
  <dcterms:modified xsi:type="dcterms:W3CDTF">2022-02-26T09:43:00Z</dcterms:modified>
</cp:coreProperties>
</file>