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FE9D2" w14:textId="1DCDE644" w:rsidR="005F51E9" w:rsidRPr="005F51E9" w:rsidRDefault="005F659D" w:rsidP="0007197E">
      <w:pPr>
        <w:ind w:left="426" w:hanging="360"/>
        <w:jc w:val="both"/>
        <w:rPr>
          <w:rFonts w:ascii="Palatino Linotype" w:hAnsi="Palatino Linotype"/>
          <w:b/>
          <w:bCs/>
          <w:sz w:val="21"/>
          <w:szCs w:val="21"/>
        </w:rPr>
      </w:pPr>
      <w:proofErr w:type="spellStart"/>
      <w:r>
        <w:rPr>
          <w:rFonts w:ascii="Palatino Linotype" w:hAnsi="Palatino Linotype"/>
          <w:b/>
          <w:bCs/>
          <w:sz w:val="21"/>
          <w:szCs w:val="21"/>
        </w:rPr>
        <w:t>Descirption</w:t>
      </w:r>
      <w:proofErr w:type="spellEnd"/>
      <w:r>
        <w:rPr>
          <w:rFonts w:ascii="Palatino Linotype" w:hAnsi="Palatino Linotype"/>
          <w:b/>
          <w:bCs/>
          <w:sz w:val="21"/>
          <w:szCs w:val="21"/>
        </w:rPr>
        <w:t xml:space="preserve"> of </w:t>
      </w:r>
      <w:proofErr w:type="spellStart"/>
      <w:r w:rsidR="000A540D" w:rsidRPr="005F51E9">
        <w:rPr>
          <w:rFonts w:ascii="Palatino Linotype" w:hAnsi="Palatino Linotype"/>
          <w:b/>
          <w:bCs/>
          <w:sz w:val="21"/>
          <w:szCs w:val="21"/>
        </w:rPr>
        <w:t>Extrinsic</w:t>
      </w:r>
      <w:proofErr w:type="spellEnd"/>
      <w:r w:rsidR="000A540D" w:rsidRPr="005F51E9">
        <w:rPr>
          <w:rFonts w:ascii="Palatino Linotype" w:hAnsi="Palatino Linotype"/>
          <w:b/>
          <w:bCs/>
          <w:sz w:val="21"/>
          <w:szCs w:val="21"/>
        </w:rPr>
        <w:t xml:space="preserve"> </w:t>
      </w:r>
      <w:proofErr w:type="spellStart"/>
      <w:r w:rsidR="000A540D" w:rsidRPr="005F51E9">
        <w:rPr>
          <w:rFonts w:ascii="Palatino Linotype" w:hAnsi="Palatino Linotype"/>
          <w:b/>
          <w:bCs/>
          <w:sz w:val="21"/>
          <w:szCs w:val="21"/>
        </w:rPr>
        <w:t>factors</w:t>
      </w:r>
      <w:proofErr w:type="spellEnd"/>
    </w:p>
    <w:p w14:paraId="6F87564C" w14:textId="5CF79C16" w:rsidR="005C65BF" w:rsidRPr="005F51E9" w:rsidRDefault="005C65BF" w:rsidP="0007197E">
      <w:pPr>
        <w:pStyle w:val="Prrafodelista"/>
        <w:numPr>
          <w:ilvl w:val="0"/>
          <w:numId w:val="1"/>
        </w:numPr>
        <w:rPr>
          <w:rFonts w:ascii="Palatino Linotype" w:hAnsi="Palatino Linotype" w:cs="Arial"/>
          <w:lang w:val="en-GB"/>
        </w:rPr>
      </w:pPr>
      <w:r w:rsidRPr="005F51E9">
        <w:rPr>
          <w:rFonts w:ascii="Palatino Linotype" w:hAnsi="Palatino Linotype" w:cs="Arial"/>
          <w:lang w:val="en-US"/>
        </w:rPr>
        <w:t>Climat</w:t>
      </w:r>
      <w:r w:rsidR="000A540D" w:rsidRPr="005F51E9">
        <w:rPr>
          <w:rFonts w:ascii="Palatino Linotype" w:hAnsi="Palatino Linotype" w:cs="Arial"/>
          <w:lang w:val="en-US"/>
        </w:rPr>
        <w:t>ic variables</w:t>
      </w:r>
    </w:p>
    <w:p w14:paraId="360681AB" w14:textId="77777777" w:rsidR="005C65BF" w:rsidRPr="005F51E9" w:rsidRDefault="005C65BF" w:rsidP="0007197E">
      <w:pPr>
        <w:jc w:val="both"/>
        <w:rPr>
          <w:rFonts w:ascii="Palatino Linotype" w:hAnsi="Palatino Linotype" w:cs="Arial"/>
          <w:sz w:val="20"/>
          <w:szCs w:val="20"/>
          <w:lang w:val="en-GB"/>
        </w:rPr>
      </w:pPr>
      <w:r w:rsidRPr="005F51E9">
        <w:rPr>
          <w:rFonts w:ascii="Palatino Linotype" w:hAnsi="Palatino Linotype" w:cs="Arial"/>
          <w:sz w:val="20"/>
          <w:szCs w:val="20"/>
          <w:lang w:val="en-GB"/>
        </w:rPr>
        <w:t>Oceanographic data has been routinely collected as part of the EU annual bottom-trawl survey (1988-2017). In this study all reference to annual values (temperature, salinity, CIL minimum temperature and thickness) must be interpreted as summer values.</w:t>
      </w:r>
    </w:p>
    <w:p w14:paraId="32A951DE" w14:textId="04AC31AC" w:rsidR="005C65BF" w:rsidRPr="005F51E9" w:rsidRDefault="005C65BF" w:rsidP="0007197E">
      <w:pPr>
        <w:jc w:val="both"/>
        <w:rPr>
          <w:rFonts w:ascii="Palatino Linotype" w:hAnsi="Palatino Linotype" w:cs="Arial"/>
          <w:sz w:val="20"/>
          <w:szCs w:val="20"/>
          <w:lang w:val="en-GB"/>
        </w:rPr>
      </w:pPr>
      <w:r w:rsidRPr="005F51E9">
        <w:rPr>
          <w:rFonts w:ascii="Palatino Linotype" w:hAnsi="Palatino Linotype" w:cs="Arial"/>
          <w:b/>
          <w:bCs/>
          <w:sz w:val="20"/>
          <w:szCs w:val="20"/>
          <w:lang w:val="en-GB"/>
        </w:rPr>
        <w:t>Temperature:</w:t>
      </w:r>
      <w:r w:rsidRPr="005F51E9">
        <w:rPr>
          <w:rFonts w:ascii="Palatino Linotype" w:hAnsi="Palatino Linotype" w:cs="Arial"/>
          <w:sz w:val="20"/>
          <w:szCs w:val="20"/>
          <w:lang w:val="en-GB"/>
        </w:rPr>
        <w:t xml:space="preserve"> Temperature grids of the survey were computed using standard geostatistical techniques by extracting T values (ºC) corresponding to various depth levels. In our study, we used the </w:t>
      </w:r>
      <w:r w:rsidRPr="005F51E9">
        <w:rPr>
          <w:rFonts w:ascii="Palatino Linotype" w:hAnsi="Palatino Linotype" w:cs="Arial"/>
          <w:i/>
          <w:sz w:val="20"/>
          <w:szCs w:val="20"/>
          <w:lang w:val="en-GB"/>
        </w:rPr>
        <w:t xml:space="preserve">bottom temperature-at-age </w:t>
      </w:r>
      <w:r w:rsidRPr="005F51E9">
        <w:rPr>
          <w:rFonts w:ascii="Palatino Linotype" w:hAnsi="Palatino Linotype" w:cs="Arial"/>
          <w:sz w:val="20"/>
          <w:szCs w:val="20"/>
          <w:lang w:val="en-GB"/>
        </w:rPr>
        <w:t>defined as the temperature at the depth range at which each cod age class is more abundant. Cod shows an age (or size) related depth distribution, with older individuals living deeper whereas younger cod prefers shallower bottoms. Hence, cod growth is more likely to be influenced by temperature at the range at which each age is found.</w:t>
      </w:r>
    </w:p>
    <w:p w14:paraId="14C36A4C" w14:textId="77777777" w:rsidR="000A0023" w:rsidRPr="005F51E9" w:rsidRDefault="000A0023"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The mean depth at which cod inhabits was estimated from the surveys indices that revealed,</w:t>
      </w:r>
    </w:p>
    <w:p w14:paraId="118894D5" w14:textId="69A1AC2B" w:rsidR="00226ACB" w:rsidRDefault="000A0023"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when using the whole time series, a marked depth distribution by age, with younger cods living</w:t>
      </w:r>
      <w:r w:rsidR="005F51E9">
        <w:rPr>
          <w:rFonts w:ascii="Palatino Linotype" w:hAnsi="Palatino Linotype" w:cs="Times New Roman"/>
          <w:sz w:val="20"/>
          <w:szCs w:val="20"/>
          <w:lang w:val="en-US"/>
        </w:rPr>
        <w:t xml:space="preserve"> </w:t>
      </w:r>
      <w:r w:rsidRPr="005F51E9">
        <w:rPr>
          <w:rFonts w:ascii="Palatino Linotype" w:hAnsi="Palatino Linotype" w:cs="Times New Roman"/>
          <w:sz w:val="20"/>
          <w:szCs w:val="20"/>
          <w:lang w:val="en-US"/>
        </w:rPr>
        <w:t>at shallower bottoms whereas older cods (age 8+) preferring bottoms close to 400 m</w:t>
      </w:r>
      <w:r w:rsidR="0087469A" w:rsidRPr="005F51E9">
        <w:rPr>
          <w:rFonts w:ascii="Palatino Linotype" w:hAnsi="Palatino Linotype" w:cs="Times New Roman"/>
          <w:sz w:val="20"/>
          <w:szCs w:val="20"/>
          <w:lang w:val="en-US"/>
        </w:rPr>
        <w:t xml:space="preserve"> (Table 1).</w:t>
      </w:r>
    </w:p>
    <w:p w14:paraId="7A56E1E8" w14:textId="77777777" w:rsidR="005F51E9" w:rsidRPr="005F51E9" w:rsidRDefault="005F51E9" w:rsidP="0007197E">
      <w:pPr>
        <w:autoSpaceDE w:val="0"/>
        <w:autoSpaceDN w:val="0"/>
        <w:adjustRightInd w:val="0"/>
        <w:spacing w:after="0" w:line="240" w:lineRule="auto"/>
        <w:jc w:val="both"/>
        <w:rPr>
          <w:rFonts w:ascii="Palatino Linotype" w:hAnsi="Palatino Linotype" w:cs="Times New Roman"/>
          <w:sz w:val="20"/>
          <w:szCs w:val="20"/>
          <w:lang w:val="en-US"/>
        </w:rPr>
      </w:pPr>
    </w:p>
    <w:p w14:paraId="75B06759" w14:textId="0B79A690" w:rsidR="005F51E9" w:rsidRPr="005F51E9" w:rsidRDefault="00226ACB" w:rsidP="0007197E">
      <w:pPr>
        <w:autoSpaceDE w:val="0"/>
        <w:autoSpaceDN w:val="0"/>
        <w:adjustRightInd w:val="0"/>
        <w:spacing w:after="0" w:line="240" w:lineRule="auto"/>
        <w:jc w:val="both"/>
        <w:rPr>
          <w:rFonts w:ascii="Palatino Linotype" w:hAnsi="Palatino Linotype" w:cs="Times New Roman"/>
          <w:i/>
          <w:iCs/>
          <w:sz w:val="18"/>
          <w:szCs w:val="18"/>
          <w:lang w:val="en-US"/>
        </w:rPr>
      </w:pPr>
      <w:r w:rsidRPr="005F51E9">
        <w:rPr>
          <w:rFonts w:ascii="Palatino Linotype" w:hAnsi="Palatino Linotype" w:cs="Times New Roman"/>
          <w:i/>
          <w:iCs/>
          <w:sz w:val="18"/>
          <w:szCs w:val="18"/>
          <w:lang w:val="en-US"/>
        </w:rPr>
        <w:t xml:space="preserve">Table </w:t>
      </w:r>
      <w:r w:rsidRPr="005F51E9">
        <w:rPr>
          <w:rFonts w:ascii="Palatino Linotype" w:hAnsi="Palatino Linotype" w:cs="Times New Roman"/>
          <w:i/>
          <w:iCs/>
          <w:sz w:val="18"/>
          <w:szCs w:val="18"/>
          <w:lang w:val="en-US"/>
        </w:rPr>
        <w:fldChar w:fldCharType="begin"/>
      </w:r>
      <w:r w:rsidRPr="005F51E9">
        <w:rPr>
          <w:rFonts w:ascii="Palatino Linotype" w:hAnsi="Palatino Linotype" w:cs="Times New Roman"/>
          <w:i/>
          <w:iCs/>
          <w:sz w:val="18"/>
          <w:szCs w:val="18"/>
          <w:lang w:val="en-US"/>
        </w:rPr>
        <w:instrText xml:space="preserve"> SEQ Tabla \* ARABIC </w:instrText>
      </w:r>
      <w:r w:rsidRPr="005F51E9">
        <w:rPr>
          <w:rFonts w:ascii="Palatino Linotype" w:hAnsi="Palatino Linotype" w:cs="Times New Roman"/>
          <w:i/>
          <w:iCs/>
          <w:sz w:val="18"/>
          <w:szCs w:val="18"/>
          <w:lang w:val="en-US"/>
        </w:rPr>
        <w:fldChar w:fldCharType="separate"/>
      </w:r>
      <w:r w:rsidRPr="005F51E9">
        <w:rPr>
          <w:rFonts w:ascii="Palatino Linotype" w:hAnsi="Palatino Linotype" w:cs="Times New Roman"/>
          <w:i/>
          <w:iCs/>
          <w:sz w:val="18"/>
          <w:szCs w:val="18"/>
          <w:lang w:val="en-US"/>
        </w:rPr>
        <w:t>1</w:t>
      </w:r>
      <w:r w:rsidRPr="005F51E9">
        <w:rPr>
          <w:rFonts w:ascii="Palatino Linotype" w:hAnsi="Palatino Linotype" w:cs="Times New Roman"/>
          <w:i/>
          <w:iCs/>
          <w:sz w:val="18"/>
          <w:szCs w:val="18"/>
          <w:lang w:val="en-US"/>
        </w:rPr>
        <w:fldChar w:fldCharType="end"/>
      </w:r>
      <w:r w:rsidRPr="005F51E9">
        <w:rPr>
          <w:rFonts w:ascii="Palatino Linotype" w:hAnsi="Palatino Linotype" w:cs="Times New Roman"/>
          <w:i/>
          <w:iCs/>
          <w:sz w:val="18"/>
          <w:szCs w:val="18"/>
          <w:lang w:val="en-US"/>
        </w:rPr>
        <w:t>. Descriptive statistics of depth distribution of Atlantic cod at each age. Min = minimum, Max = maximum,</w:t>
      </w:r>
      <w:r w:rsidR="005F51E9" w:rsidRPr="005F51E9">
        <w:rPr>
          <w:rFonts w:ascii="Palatino Linotype" w:hAnsi="Palatino Linotype" w:cs="Times New Roman"/>
          <w:i/>
          <w:iCs/>
          <w:sz w:val="18"/>
          <w:szCs w:val="18"/>
          <w:lang w:val="en-US"/>
        </w:rPr>
        <w:t xml:space="preserve"> </w:t>
      </w:r>
      <w:r w:rsidRPr="005F51E9">
        <w:rPr>
          <w:rFonts w:ascii="Palatino Linotype" w:hAnsi="Palatino Linotype" w:cs="Times New Roman"/>
          <w:i/>
          <w:iCs/>
          <w:sz w:val="18"/>
          <w:szCs w:val="18"/>
          <w:lang w:val="en-US"/>
        </w:rPr>
        <w:t>Q = quartile (1st Q= 25%; 3st Q= 75%).</w:t>
      </w:r>
    </w:p>
    <w:tbl>
      <w:tblPr>
        <w:tblStyle w:val="Tablanormal5"/>
        <w:tblW w:w="6363" w:type="dxa"/>
        <w:jc w:val="center"/>
        <w:tblLook w:val="04A0" w:firstRow="1" w:lastRow="0" w:firstColumn="1" w:lastColumn="0" w:noHBand="0" w:noVBand="1"/>
      </w:tblPr>
      <w:tblGrid>
        <w:gridCol w:w="909"/>
        <w:gridCol w:w="909"/>
        <w:gridCol w:w="909"/>
        <w:gridCol w:w="909"/>
        <w:gridCol w:w="909"/>
        <w:gridCol w:w="909"/>
        <w:gridCol w:w="909"/>
      </w:tblGrid>
      <w:tr w:rsidR="00226ACB" w:rsidRPr="005F51E9" w14:paraId="3128AEEF" w14:textId="77777777" w:rsidTr="00F7104B">
        <w:trPr>
          <w:cnfStyle w:val="100000000000" w:firstRow="1" w:lastRow="0" w:firstColumn="0" w:lastColumn="0" w:oddVBand="0" w:evenVBand="0" w:oddHBand="0" w:evenHBand="0" w:firstRowFirstColumn="0" w:firstRowLastColumn="0" w:lastRowFirstColumn="0" w:lastRowLastColumn="0"/>
          <w:trHeight w:val="409"/>
          <w:jc w:val="center"/>
        </w:trPr>
        <w:tc>
          <w:tcPr>
            <w:cnfStyle w:val="001000000100" w:firstRow="0" w:lastRow="0" w:firstColumn="1" w:lastColumn="0" w:oddVBand="0" w:evenVBand="0" w:oddHBand="0" w:evenHBand="0" w:firstRowFirstColumn="1" w:firstRowLastColumn="0" w:lastRowFirstColumn="0" w:lastRowLastColumn="0"/>
            <w:tcW w:w="909" w:type="dxa"/>
            <w:noWrap/>
            <w:hideMark/>
          </w:tcPr>
          <w:p w14:paraId="32237761" w14:textId="77777777" w:rsidR="00226ACB" w:rsidRPr="005F51E9" w:rsidRDefault="00226ACB" w:rsidP="0007197E">
            <w:pPr>
              <w:jc w:val="both"/>
              <w:rPr>
                <w:rFonts w:ascii="Palatino Linotype" w:eastAsia="Times New Roman" w:hAnsi="Palatino Linotype" w:cs="Angsana New"/>
                <w:b/>
                <w:bCs/>
                <w:color w:val="000000"/>
                <w:sz w:val="20"/>
                <w:szCs w:val="20"/>
                <w:lang w:eastAsia="es-ES_tradnl"/>
              </w:rPr>
            </w:pPr>
            <w:proofErr w:type="spellStart"/>
            <w:r w:rsidRPr="005F51E9">
              <w:rPr>
                <w:rFonts w:ascii="Palatino Linotype" w:eastAsia="Times New Roman" w:hAnsi="Palatino Linotype" w:cs="Angsana New"/>
                <w:b/>
                <w:bCs/>
                <w:color w:val="000000"/>
                <w:sz w:val="20"/>
                <w:szCs w:val="20"/>
                <w:lang w:eastAsia="es-ES_tradnl"/>
              </w:rPr>
              <w:t>Cod</w:t>
            </w:r>
            <w:proofErr w:type="spellEnd"/>
            <w:r w:rsidRPr="005F51E9">
              <w:rPr>
                <w:rFonts w:ascii="Palatino Linotype" w:eastAsia="Times New Roman" w:hAnsi="Palatino Linotype" w:cs="Angsana New"/>
                <w:b/>
                <w:bCs/>
                <w:color w:val="000000"/>
                <w:sz w:val="20"/>
                <w:szCs w:val="20"/>
                <w:lang w:eastAsia="es-ES_tradnl"/>
              </w:rPr>
              <w:t xml:space="preserve"> </w:t>
            </w:r>
            <w:proofErr w:type="spellStart"/>
            <w:r w:rsidRPr="005F51E9">
              <w:rPr>
                <w:rFonts w:ascii="Palatino Linotype" w:eastAsia="Times New Roman" w:hAnsi="Palatino Linotype" w:cs="Angsana New"/>
                <w:b/>
                <w:bCs/>
                <w:color w:val="000000"/>
                <w:sz w:val="20"/>
                <w:szCs w:val="20"/>
                <w:lang w:eastAsia="es-ES_tradnl"/>
              </w:rPr>
              <w:t>age</w:t>
            </w:r>
            <w:proofErr w:type="spellEnd"/>
          </w:p>
        </w:tc>
        <w:tc>
          <w:tcPr>
            <w:tcW w:w="909" w:type="dxa"/>
            <w:noWrap/>
            <w:hideMark/>
          </w:tcPr>
          <w:p w14:paraId="15A79996" w14:textId="77777777" w:rsidR="00226ACB" w:rsidRPr="005F51E9" w:rsidRDefault="00226ACB" w:rsidP="0007197E">
            <w:pP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ngsana New"/>
                <w:b/>
                <w:bCs/>
                <w:color w:val="000000"/>
                <w:sz w:val="20"/>
                <w:szCs w:val="20"/>
                <w:lang w:eastAsia="es-ES_tradnl"/>
              </w:rPr>
            </w:pPr>
            <w:r w:rsidRPr="005F51E9">
              <w:rPr>
                <w:rFonts w:ascii="Palatino Linotype" w:eastAsia="Times New Roman" w:hAnsi="Palatino Linotype" w:cs="Angsana New"/>
                <w:b/>
                <w:bCs/>
                <w:color w:val="000000"/>
                <w:sz w:val="20"/>
                <w:szCs w:val="20"/>
                <w:lang w:eastAsia="es-ES_tradnl"/>
              </w:rPr>
              <w:t>Min.</w:t>
            </w:r>
          </w:p>
        </w:tc>
        <w:tc>
          <w:tcPr>
            <w:tcW w:w="909" w:type="dxa"/>
            <w:noWrap/>
            <w:hideMark/>
          </w:tcPr>
          <w:p w14:paraId="59BBBEB2" w14:textId="77777777" w:rsidR="00226ACB" w:rsidRPr="005F51E9" w:rsidRDefault="00226ACB" w:rsidP="0007197E">
            <w:pP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ngsana New"/>
                <w:b/>
                <w:bCs/>
                <w:color w:val="000000"/>
                <w:sz w:val="20"/>
                <w:szCs w:val="20"/>
                <w:lang w:eastAsia="es-ES_tradnl"/>
              </w:rPr>
            </w:pPr>
            <w:r w:rsidRPr="005F51E9">
              <w:rPr>
                <w:rFonts w:ascii="Palatino Linotype" w:eastAsia="Times New Roman" w:hAnsi="Palatino Linotype" w:cs="Angsana New"/>
                <w:b/>
                <w:bCs/>
                <w:color w:val="000000"/>
                <w:sz w:val="20"/>
                <w:szCs w:val="20"/>
                <w:lang w:eastAsia="es-ES_tradnl"/>
              </w:rPr>
              <w:t xml:space="preserve">1st </w:t>
            </w:r>
            <w:proofErr w:type="spellStart"/>
            <w:r w:rsidRPr="005F51E9">
              <w:rPr>
                <w:rFonts w:ascii="Palatino Linotype" w:eastAsia="Times New Roman" w:hAnsi="Palatino Linotype" w:cs="Angsana New"/>
                <w:b/>
                <w:bCs/>
                <w:color w:val="000000"/>
                <w:sz w:val="20"/>
                <w:szCs w:val="20"/>
                <w:lang w:eastAsia="es-ES_tradnl"/>
              </w:rPr>
              <w:t>Qu</w:t>
            </w:r>
            <w:proofErr w:type="spellEnd"/>
            <w:r w:rsidRPr="005F51E9">
              <w:rPr>
                <w:rFonts w:ascii="Palatino Linotype" w:eastAsia="Times New Roman" w:hAnsi="Palatino Linotype" w:cs="Angsana New"/>
                <w:b/>
                <w:bCs/>
                <w:color w:val="000000"/>
                <w:sz w:val="20"/>
                <w:szCs w:val="20"/>
                <w:lang w:eastAsia="es-ES_tradnl"/>
              </w:rPr>
              <w:t>.</w:t>
            </w:r>
          </w:p>
        </w:tc>
        <w:tc>
          <w:tcPr>
            <w:tcW w:w="909" w:type="dxa"/>
            <w:noWrap/>
            <w:hideMark/>
          </w:tcPr>
          <w:p w14:paraId="128F9D24" w14:textId="77777777" w:rsidR="00226ACB" w:rsidRPr="005F51E9" w:rsidRDefault="00226ACB" w:rsidP="0007197E">
            <w:pP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ngsana New"/>
                <w:b/>
                <w:bCs/>
                <w:color w:val="000000"/>
                <w:sz w:val="20"/>
                <w:szCs w:val="20"/>
                <w:lang w:eastAsia="es-ES_tradnl"/>
              </w:rPr>
            </w:pPr>
            <w:r w:rsidRPr="005F51E9">
              <w:rPr>
                <w:rFonts w:ascii="Palatino Linotype" w:eastAsia="Times New Roman" w:hAnsi="Palatino Linotype" w:cs="Angsana New"/>
                <w:b/>
                <w:bCs/>
                <w:color w:val="000000"/>
                <w:sz w:val="20"/>
                <w:szCs w:val="20"/>
                <w:lang w:eastAsia="es-ES_tradnl"/>
              </w:rPr>
              <w:t>Median</w:t>
            </w:r>
          </w:p>
        </w:tc>
        <w:tc>
          <w:tcPr>
            <w:tcW w:w="909" w:type="dxa"/>
            <w:noWrap/>
            <w:hideMark/>
          </w:tcPr>
          <w:p w14:paraId="2A8C25D4" w14:textId="77777777" w:rsidR="00226ACB" w:rsidRPr="005F51E9" w:rsidRDefault="00226ACB" w:rsidP="0007197E">
            <w:pP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ngsana New"/>
                <w:b/>
                <w:bCs/>
                <w:color w:val="000000"/>
                <w:sz w:val="20"/>
                <w:szCs w:val="20"/>
                <w:lang w:eastAsia="es-ES_tradnl"/>
              </w:rPr>
            </w:pPr>
            <w:r w:rsidRPr="005F51E9">
              <w:rPr>
                <w:rFonts w:ascii="Palatino Linotype" w:eastAsia="Times New Roman" w:hAnsi="Palatino Linotype" w:cs="Angsana New"/>
                <w:b/>
                <w:bCs/>
                <w:color w:val="000000"/>
                <w:sz w:val="20"/>
                <w:szCs w:val="20"/>
                <w:lang w:eastAsia="es-ES_tradnl"/>
              </w:rPr>
              <w:t>Mean</w:t>
            </w:r>
          </w:p>
        </w:tc>
        <w:tc>
          <w:tcPr>
            <w:tcW w:w="909" w:type="dxa"/>
            <w:noWrap/>
            <w:hideMark/>
          </w:tcPr>
          <w:p w14:paraId="5D93EEE2" w14:textId="77777777" w:rsidR="00226ACB" w:rsidRPr="005F51E9" w:rsidRDefault="00226ACB" w:rsidP="0007197E">
            <w:pP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ngsana New"/>
                <w:b/>
                <w:bCs/>
                <w:color w:val="000000"/>
                <w:sz w:val="20"/>
                <w:szCs w:val="20"/>
                <w:lang w:eastAsia="es-ES_tradnl"/>
              </w:rPr>
            </w:pPr>
            <w:r w:rsidRPr="005F51E9">
              <w:rPr>
                <w:rFonts w:ascii="Palatino Linotype" w:eastAsia="Times New Roman" w:hAnsi="Palatino Linotype" w:cs="Angsana New"/>
                <w:b/>
                <w:bCs/>
                <w:color w:val="000000"/>
                <w:sz w:val="20"/>
                <w:szCs w:val="20"/>
                <w:lang w:eastAsia="es-ES_tradnl"/>
              </w:rPr>
              <w:t xml:space="preserve">3rd </w:t>
            </w:r>
            <w:proofErr w:type="spellStart"/>
            <w:r w:rsidRPr="005F51E9">
              <w:rPr>
                <w:rFonts w:ascii="Palatino Linotype" w:eastAsia="Times New Roman" w:hAnsi="Palatino Linotype" w:cs="Angsana New"/>
                <w:b/>
                <w:bCs/>
                <w:color w:val="000000"/>
                <w:sz w:val="20"/>
                <w:szCs w:val="20"/>
                <w:lang w:eastAsia="es-ES_tradnl"/>
              </w:rPr>
              <w:t>Qu</w:t>
            </w:r>
            <w:proofErr w:type="spellEnd"/>
            <w:r w:rsidRPr="005F51E9">
              <w:rPr>
                <w:rFonts w:ascii="Palatino Linotype" w:eastAsia="Times New Roman" w:hAnsi="Palatino Linotype" w:cs="Angsana New"/>
                <w:b/>
                <w:bCs/>
                <w:color w:val="000000"/>
                <w:sz w:val="20"/>
                <w:szCs w:val="20"/>
                <w:lang w:eastAsia="es-ES_tradnl"/>
              </w:rPr>
              <w:t>.</w:t>
            </w:r>
          </w:p>
        </w:tc>
        <w:tc>
          <w:tcPr>
            <w:tcW w:w="909" w:type="dxa"/>
            <w:noWrap/>
            <w:hideMark/>
          </w:tcPr>
          <w:p w14:paraId="0F404F23" w14:textId="77777777" w:rsidR="00226ACB" w:rsidRPr="005F51E9" w:rsidRDefault="00226ACB" w:rsidP="0007197E">
            <w:pP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ngsana New"/>
                <w:b/>
                <w:bCs/>
                <w:color w:val="000000"/>
                <w:sz w:val="20"/>
                <w:szCs w:val="20"/>
                <w:lang w:eastAsia="es-ES_tradnl"/>
              </w:rPr>
            </w:pPr>
            <w:r w:rsidRPr="005F51E9">
              <w:rPr>
                <w:rFonts w:ascii="Palatino Linotype" w:eastAsia="Times New Roman" w:hAnsi="Palatino Linotype" w:cs="Angsana New"/>
                <w:b/>
                <w:bCs/>
                <w:color w:val="000000"/>
                <w:sz w:val="20"/>
                <w:szCs w:val="20"/>
                <w:lang w:eastAsia="es-ES_tradnl"/>
              </w:rPr>
              <w:t>Max.</w:t>
            </w:r>
          </w:p>
        </w:tc>
      </w:tr>
      <w:tr w:rsidR="00226ACB" w:rsidRPr="005F51E9" w14:paraId="227FA03B" w14:textId="77777777" w:rsidTr="00F7104B">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00CBC9AA" w14:textId="77777777" w:rsidR="00226ACB" w:rsidRPr="005F51E9" w:rsidRDefault="00226ACB" w:rsidP="0007197E">
            <w:pPr>
              <w:jc w:val="both"/>
              <w:rPr>
                <w:rFonts w:ascii="Palatino Linotype" w:eastAsia="Times New Roman" w:hAnsi="Palatino Linotype" w:cs="Angsana New"/>
                <w:b/>
                <w:bCs/>
                <w:color w:val="000000"/>
                <w:sz w:val="20"/>
                <w:szCs w:val="20"/>
                <w:lang w:eastAsia="es-ES_tradnl"/>
              </w:rPr>
            </w:pPr>
            <w:r w:rsidRPr="005F51E9">
              <w:rPr>
                <w:rFonts w:ascii="Palatino Linotype" w:eastAsia="Times New Roman" w:hAnsi="Palatino Linotype" w:cs="Angsana New"/>
                <w:b/>
                <w:bCs/>
                <w:color w:val="000000"/>
                <w:sz w:val="20"/>
                <w:szCs w:val="20"/>
                <w:lang w:eastAsia="es-ES_tradnl"/>
              </w:rPr>
              <w:t>1</w:t>
            </w:r>
          </w:p>
        </w:tc>
        <w:tc>
          <w:tcPr>
            <w:tcW w:w="909" w:type="dxa"/>
            <w:noWrap/>
            <w:hideMark/>
          </w:tcPr>
          <w:p w14:paraId="25043322"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145.5</w:t>
            </w:r>
          </w:p>
        </w:tc>
        <w:tc>
          <w:tcPr>
            <w:tcW w:w="909" w:type="dxa"/>
            <w:noWrap/>
            <w:hideMark/>
          </w:tcPr>
          <w:p w14:paraId="2D2A77EB"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170.6</w:t>
            </w:r>
          </w:p>
        </w:tc>
        <w:tc>
          <w:tcPr>
            <w:tcW w:w="909" w:type="dxa"/>
            <w:noWrap/>
            <w:hideMark/>
          </w:tcPr>
          <w:p w14:paraId="51474C2C"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195.5</w:t>
            </w:r>
          </w:p>
        </w:tc>
        <w:tc>
          <w:tcPr>
            <w:tcW w:w="909" w:type="dxa"/>
            <w:noWrap/>
            <w:hideMark/>
          </w:tcPr>
          <w:p w14:paraId="3742155B"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202.7</w:t>
            </w:r>
          </w:p>
        </w:tc>
        <w:tc>
          <w:tcPr>
            <w:tcW w:w="909" w:type="dxa"/>
            <w:noWrap/>
            <w:hideMark/>
          </w:tcPr>
          <w:p w14:paraId="7D3A0C49"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229.1</w:t>
            </w:r>
          </w:p>
        </w:tc>
        <w:tc>
          <w:tcPr>
            <w:tcW w:w="909" w:type="dxa"/>
            <w:noWrap/>
            <w:hideMark/>
          </w:tcPr>
          <w:p w14:paraId="36F6509E"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257</w:t>
            </w:r>
          </w:p>
        </w:tc>
      </w:tr>
      <w:tr w:rsidR="00226ACB" w:rsidRPr="005F51E9" w14:paraId="0731E550" w14:textId="77777777" w:rsidTr="00F7104B">
        <w:trPr>
          <w:trHeight w:val="385"/>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1532C151" w14:textId="77777777" w:rsidR="00226ACB" w:rsidRPr="005F51E9" w:rsidRDefault="00226ACB" w:rsidP="0007197E">
            <w:pPr>
              <w:jc w:val="both"/>
              <w:rPr>
                <w:rFonts w:ascii="Palatino Linotype" w:eastAsia="Times New Roman" w:hAnsi="Palatino Linotype" w:cs="Angsana New"/>
                <w:b/>
                <w:bCs/>
                <w:color w:val="000000"/>
                <w:sz w:val="20"/>
                <w:szCs w:val="20"/>
                <w:lang w:eastAsia="es-ES_tradnl"/>
              </w:rPr>
            </w:pPr>
            <w:r w:rsidRPr="005F51E9">
              <w:rPr>
                <w:rFonts w:ascii="Palatino Linotype" w:eastAsia="Times New Roman" w:hAnsi="Palatino Linotype" w:cs="Angsana New"/>
                <w:b/>
                <w:bCs/>
                <w:color w:val="000000"/>
                <w:sz w:val="20"/>
                <w:szCs w:val="20"/>
                <w:lang w:eastAsia="es-ES_tradnl"/>
              </w:rPr>
              <w:t>2</w:t>
            </w:r>
          </w:p>
        </w:tc>
        <w:tc>
          <w:tcPr>
            <w:tcW w:w="909" w:type="dxa"/>
            <w:noWrap/>
            <w:hideMark/>
          </w:tcPr>
          <w:p w14:paraId="572EF7A6"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157.4</w:t>
            </w:r>
          </w:p>
        </w:tc>
        <w:tc>
          <w:tcPr>
            <w:tcW w:w="909" w:type="dxa"/>
            <w:noWrap/>
            <w:hideMark/>
          </w:tcPr>
          <w:p w14:paraId="3FDF7020"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223.4</w:t>
            </w:r>
          </w:p>
        </w:tc>
        <w:tc>
          <w:tcPr>
            <w:tcW w:w="909" w:type="dxa"/>
            <w:noWrap/>
            <w:hideMark/>
          </w:tcPr>
          <w:p w14:paraId="79DD46C6"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229.7</w:t>
            </w:r>
          </w:p>
        </w:tc>
        <w:tc>
          <w:tcPr>
            <w:tcW w:w="909" w:type="dxa"/>
            <w:noWrap/>
            <w:hideMark/>
          </w:tcPr>
          <w:p w14:paraId="38F12140"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234.7</w:t>
            </w:r>
          </w:p>
        </w:tc>
        <w:tc>
          <w:tcPr>
            <w:tcW w:w="909" w:type="dxa"/>
            <w:noWrap/>
            <w:hideMark/>
          </w:tcPr>
          <w:p w14:paraId="15956FE4"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248.7</w:t>
            </w:r>
          </w:p>
        </w:tc>
        <w:tc>
          <w:tcPr>
            <w:tcW w:w="909" w:type="dxa"/>
            <w:noWrap/>
            <w:hideMark/>
          </w:tcPr>
          <w:p w14:paraId="20F236ED"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297.5</w:t>
            </w:r>
          </w:p>
        </w:tc>
      </w:tr>
      <w:tr w:rsidR="00226ACB" w:rsidRPr="005F51E9" w14:paraId="17275C8B" w14:textId="77777777" w:rsidTr="00F7104B">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2036DEEB" w14:textId="77777777" w:rsidR="00226ACB" w:rsidRPr="005F51E9" w:rsidRDefault="00226ACB" w:rsidP="0007197E">
            <w:pPr>
              <w:jc w:val="both"/>
              <w:rPr>
                <w:rFonts w:ascii="Palatino Linotype" w:eastAsia="Times New Roman" w:hAnsi="Palatino Linotype" w:cs="Angsana New"/>
                <w:b/>
                <w:bCs/>
                <w:color w:val="000000"/>
                <w:sz w:val="20"/>
                <w:szCs w:val="20"/>
                <w:lang w:eastAsia="es-ES_tradnl"/>
              </w:rPr>
            </w:pPr>
            <w:r w:rsidRPr="005F51E9">
              <w:rPr>
                <w:rFonts w:ascii="Palatino Linotype" w:eastAsia="Times New Roman" w:hAnsi="Palatino Linotype" w:cs="Angsana New"/>
                <w:b/>
                <w:bCs/>
                <w:color w:val="000000"/>
                <w:sz w:val="20"/>
                <w:szCs w:val="20"/>
                <w:lang w:eastAsia="es-ES_tradnl"/>
              </w:rPr>
              <w:t>3</w:t>
            </w:r>
          </w:p>
        </w:tc>
        <w:tc>
          <w:tcPr>
            <w:tcW w:w="909" w:type="dxa"/>
            <w:noWrap/>
            <w:hideMark/>
          </w:tcPr>
          <w:p w14:paraId="7412A154"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139.9</w:t>
            </w:r>
          </w:p>
        </w:tc>
        <w:tc>
          <w:tcPr>
            <w:tcW w:w="909" w:type="dxa"/>
            <w:noWrap/>
            <w:hideMark/>
          </w:tcPr>
          <w:p w14:paraId="09C40A0E"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230.6</w:t>
            </w:r>
          </w:p>
        </w:tc>
        <w:tc>
          <w:tcPr>
            <w:tcW w:w="909" w:type="dxa"/>
            <w:noWrap/>
            <w:hideMark/>
          </w:tcPr>
          <w:p w14:paraId="40C27C59"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241.4</w:t>
            </w:r>
          </w:p>
        </w:tc>
        <w:tc>
          <w:tcPr>
            <w:tcW w:w="909" w:type="dxa"/>
            <w:noWrap/>
            <w:hideMark/>
          </w:tcPr>
          <w:p w14:paraId="00294431"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246</w:t>
            </w:r>
          </w:p>
        </w:tc>
        <w:tc>
          <w:tcPr>
            <w:tcW w:w="909" w:type="dxa"/>
            <w:noWrap/>
            <w:hideMark/>
          </w:tcPr>
          <w:p w14:paraId="4A29C7D1"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269.6</w:t>
            </w:r>
          </w:p>
        </w:tc>
        <w:tc>
          <w:tcPr>
            <w:tcW w:w="909" w:type="dxa"/>
            <w:noWrap/>
            <w:hideMark/>
          </w:tcPr>
          <w:p w14:paraId="3FE389B9"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302.5</w:t>
            </w:r>
          </w:p>
        </w:tc>
      </w:tr>
      <w:tr w:rsidR="00226ACB" w:rsidRPr="005F51E9" w14:paraId="7951700A" w14:textId="77777777" w:rsidTr="00F7104B">
        <w:trPr>
          <w:trHeight w:val="385"/>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5C160E45" w14:textId="77777777" w:rsidR="00226ACB" w:rsidRPr="005F51E9" w:rsidRDefault="00226ACB" w:rsidP="0007197E">
            <w:pPr>
              <w:jc w:val="both"/>
              <w:rPr>
                <w:rFonts w:ascii="Palatino Linotype" w:eastAsia="Times New Roman" w:hAnsi="Palatino Linotype" w:cs="Angsana New"/>
                <w:b/>
                <w:bCs/>
                <w:color w:val="000000"/>
                <w:sz w:val="20"/>
                <w:szCs w:val="20"/>
                <w:lang w:eastAsia="es-ES_tradnl"/>
              </w:rPr>
            </w:pPr>
            <w:r w:rsidRPr="005F51E9">
              <w:rPr>
                <w:rFonts w:ascii="Palatino Linotype" w:eastAsia="Times New Roman" w:hAnsi="Palatino Linotype" w:cs="Angsana New"/>
                <w:b/>
                <w:bCs/>
                <w:color w:val="000000"/>
                <w:sz w:val="20"/>
                <w:szCs w:val="20"/>
                <w:lang w:eastAsia="es-ES_tradnl"/>
              </w:rPr>
              <w:t>4</w:t>
            </w:r>
          </w:p>
        </w:tc>
        <w:tc>
          <w:tcPr>
            <w:tcW w:w="909" w:type="dxa"/>
            <w:noWrap/>
            <w:hideMark/>
          </w:tcPr>
          <w:p w14:paraId="552E5BBC"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165.3</w:t>
            </w:r>
          </w:p>
        </w:tc>
        <w:tc>
          <w:tcPr>
            <w:tcW w:w="909" w:type="dxa"/>
            <w:noWrap/>
            <w:hideMark/>
          </w:tcPr>
          <w:p w14:paraId="6E821FFF"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253.9</w:t>
            </w:r>
          </w:p>
        </w:tc>
        <w:tc>
          <w:tcPr>
            <w:tcW w:w="909" w:type="dxa"/>
            <w:noWrap/>
            <w:hideMark/>
          </w:tcPr>
          <w:p w14:paraId="11127EA3"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269.6</w:t>
            </w:r>
          </w:p>
        </w:tc>
        <w:tc>
          <w:tcPr>
            <w:tcW w:w="909" w:type="dxa"/>
            <w:noWrap/>
            <w:hideMark/>
          </w:tcPr>
          <w:p w14:paraId="0D90F694"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270.2</w:t>
            </w:r>
          </w:p>
        </w:tc>
        <w:tc>
          <w:tcPr>
            <w:tcW w:w="909" w:type="dxa"/>
            <w:noWrap/>
            <w:hideMark/>
          </w:tcPr>
          <w:p w14:paraId="0D504A8F"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283.9</w:t>
            </w:r>
          </w:p>
        </w:tc>
        <w:tc>
          <w:tcPr>
            <w:tcW w:w="909" w:type="dxa"/>
            <w:noWrap/>
            <w:hideMark/>
          </w:tcPr>
          <w:p w14:paraId="5C490BAA"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350.1</w:t>
            </w:r>
          </w:p>
        </w:tc>
      </w:tr>
      <w:tr w:rsidR="00226ACB" w:rsidRPr="005F51E9" w14:paraId="77C35558" w14:textId="77777777" w:rsidTr="00F7104B">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4444366E" w14:textId="77777777" w:rsidR="00226ACB" w:rsidRPr="005F51E9" w:rsidRDefault="00226ACB" w:rsidP="0007197E">
            <w:pPr>
              <w:jc w:val="both"/>
              <w:rPr>
                <w:rFonts w:ascii="Palatino Linotype" w:eastAsia="Times New Roman" w:hAnsi="Palatino Linotype" w:cs="Angsana New"/>
                <w:b/>
                <w:bCs/>
                <w:color w:val="000000"/>
                <w:sz w:val="20"/>
                <w:szCs w:val="20"/>
                <w:lang w:eastAsia="es-ES_tradnl"/>
              </w:rPr>
            </w:pPr>
            <w:r w:rsidRPr="005F51E9">
              <w:rPr>
                <w:rFonts w:ascii="Palatino Linotype" w:eastAsia="Times New Roman" w:hAnsi="Palatino Linotype" w:cs="Angsana New"/>
                <w:b/>
                <w:bCs/>
                <w:color w:val="000000"/>
                <w:sz w:val="20"/>
                <w:szCs w:val="20"/>
                <w:lang w:eastAsia="es-ES_tradnl"/>
              </w:rPr>
              <w:t>5</w:t>
            </w:r>
          </w:p>
        </w:tc>
        <w:tc>
          <w:tcPr>
            <w:tcW w:w="909" w:type="dxa"/>
            <w:noWrap/>
            <w:hideMark/>
          </w:tcPr>
          <w:p w14:paraId="07E8EB1D"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177.1</w:t>
            </w:r>
          </w:p>
        </w:tc>
        <w:tc>
          <w:tcPr>
            <w:tcW w:w="909" w:type="dxa"/>
            <w:noWrap/>
            <w:hideMark/>
          </w:tcPr>
          <w:p w14:paraId="0D906026"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271</w:t>
            </w:r>
          </w:p>
        </w:tc>
        <w:tc>
          <w:tcPr>
            <w:tcW w:w="909" w:type="dxa"/>
            <w:noWrap/>
            <w:hideMark/>
          </w:tcPr>
          <w:p w14:paraId="76C55683"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290.3</w:t>
            </w:r>
          </w:p>
        </w:tc>
        <w:tc>
          <w:tcPr>
            <w:tcW w:w="909" w:type="dxa"/>
            <w:noWrap/>
            <w:hideMark/>
          </w:tcPr>
          <w:p w14:paraId="0B94CF16"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298.5</w:t>
            </w:r>
          </w:p>
        </w:tc>
        <w:tc>
          <w:tcPr>
            <w:tcW w:w="909" w:type="dxa"/>
            <w:noWrap/>
            <w:hideMark/>
          </w:tcPr>
          <w:p w14:paraId="66D93D41"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314</w:t>
            </w:r>
          </w:p>
        </w:tc>
        <w:tc>
          <w:tcPr>
            <w:tcW w:w="909" w:type="dxa"/>
            <w:noWrap/>
            <w:hideMark/>
          </w:tcPr>
          <w:p w14:paraId="370FE4A5"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408.3</w:t>
            </w:r>
          </w:p>
        </w:tc>
      </w:tr>
      <w:tr w:rsidR="00226ACB" w:rsidRPr="005F51E9" w14:paraId="05E798DD" w14:textId="77777777" w:rsidTr="00F7104B">
        <w:trPr>
          <w:trHeight w:val="385"/>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1BAE1525" w14:textId="77777777" w:rsidR="00226ACB" w:rsidRPr="005F51E9" w:rsidRDefault="00226ACB" w:rsidP="0007197E">
            <w:pPr>
              <w:jc w:val="both"/>
              <w:rPr>
                <w:rFonts w:ascii="Palatino Linotype" w:eastAsia="Times New Roman" w:hAnsi="Palatino Linotype" w:cs="Angsana New"/>
                <w:b/>
                <w:bCs/>
                <w:color w:val="000000"/>
                <w:sz w:val="20"/>
                <w:szCs w:val="20"/>
                <w:lang w:eastAsia="es-ES_tradnl"/>
              </w:rPr>
            </w:pPr>
            <w:r w:rsidRPr="005F51E9">
              <w:rPr>
                <w:rFonts w:ascii="Palatino Linotype" w:eastAsia="Times New Roman" w:hAnsi="Palatino Linotype" w:cs="Angsana New"/>
                <w:b/>
                <w:bCs/>
                <w:color w:val="000000"/>
                <w:sz w:val="20"/>
                <w:szCs w:val="20"/>
                <w:lang w:eastAsia="es-ES_tradnl"/>
              </w:rPr>
              <w:t>6</w:t>
            </w:r>
          </w:p>
        </w:tc>
        <w:tc>
          <w:tcPr>
            <w:tcW w:w="909" w:type="dxa"/>
            <w:noWrap/>
            <w:hideMark/>
          </w:tcPr>
          <w:p w14:paraId="006DEFCE"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138</w:t>
            </w:r>
          </w:p>
        </w:tc>
        <w:tc>
          <w:tcPr>
            <w:tcW w:w="909" w:type="dxa"/>
            <w:noWrap/>
            <w:hideMark/>
          </w:tcPr>
          <w:p w14:paraId="149570A1"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301.6</w:t>
            </w:r>
          </w:p>
        </w:tc>
        <w:tc>
          <w:tcPr>
            <w:tcW w:w="909" w:type="dxa"/>
            <w:noWrap/>
            <w:hideMark/>
          </w:tcPr>
          <w:p w14:paraId="440E8C35"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312.4</w:t>
            </w:r>
          </w:p>
        </w:tc>
        <w:tc>
          <w:tcPr>
            <w:tcW w:w="909" w:type="dxa"/>
            <w:noWrap/>
            <w:hideMark/>
          </w:tcPr>
          <w:p w14:paraId="7D25A9AD"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313.7</w:t>
            </w:r>
          </w:p>
        </w:tc>
        <w:tc>
          <w:tcPr>
            <w:tcW w:w="909" w:type="dxa"/>
            <w:noWrap/>
            <w:hideMark/>
          </w:tcPr>
          <w:p w14:paraId="28EB40E5"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330.9</w:t>
            </w:r>
          </w:p>
        </w:tc>
        <w:tc>
          <w:tcPr>
            <w:tcW w:w="909" w:type="dxa"/>
            <w:noWrap/>
            <w:hideMark/>
          </w:tcPr>
          <w:p w14:paraId="64254C28"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427.3</w:t>
            </w:r>
          </w:p>
        </w:tc>
      </w:tr>
      <w:tr w:rsidR="00226ACB" w:rsidRPr="005F51E9" w14:paraId="4423E41E" w14:textId="77777777" w:rsidTr="00F7104B">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20E01334" w14:textId="77777777" w:rsidR="00226ACB" w:rsidRPr="005F51E9" w:rsidRDefault="00226ACB" w:rsidP="0007197E">
            <w:pPr>
              <w:jc w:val="both"/>
              <w:rPr>
                <w:rFonts w:ascii="Palatino Linotype" w:eastAsia="Times New Roman" w:hAnsi="Palatino Linotype" w:cs="Angsana New"/>
                <w:b/>
                <w:bCs/>
                <w:color w:val="000000"/>
                <w:sz w:val="20"/>
                <w:szCs w:val="20"/>
                <w:lang w:eastAsia="es-ES_tradnl"/>
              </w:rPr>
            </w:pPr>
            <w:r w:rsidRPr="005F51E9">
              <w:rPr>
                <w:rFonts w:ascii="Palatino Linotype" w:eastAsia="Times New Roman" w:hAnsi="Palatino Linotype" w:cs="Angsana New"/>
                <w:b/>
                <w:bCs/>
                <w:color w:val="000000"/>
                <w:sz w:val="20"/>
                <w:szCs w:val="20"/>
                <w:lang w:eastAsia="es-ES_tradnl"/>
              </w:rPr>
              <w:t>7</w:t>
            </w:r>
          </w:p>
        </w:tc>
        <w:tc>
          <w:tcPr>
            <w:tcW w:w="909" w:type="dxa"/>
            <w:noWrap/>
            <w:hideMark/>
          </w:tcPr>
          <w:p w14:paraId="4F4D7F37"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156.7</w:t>
            </w:r>
          </w:p>
        </w:tc>
        <w:tc>
          <w:tcPr>
            <w:tcW w:w="909" w:type="dxa"/>
            <w:noWrap/>
            <w:hideMark/>
          </w:tcPr>
          <w:p w14:paraId="6B164C33"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316.6</w:t>
            </w:r>
          </w:p>
        </w:tc>
        <w:tc>
          <w:tcPr>
            <w:tcW w:w="909" w:type="dxa"/>
            <w:noWrap/>
            <w:hideMark/>
          </w:tcPr>
          <w:p w14:paraId="51763DF5"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333.7</w:t>
            </w:r>
          </w:p>
        </w:tc>
        <w:tc>
          <w:tcPr>
            <w:tcW w:w="909" w:type="dxa"/>
            <w:noWrap/>
            <w:hideMark/>
          </w:tcPr>
          <w:p w14:paraId="4033BC8A"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330.6</w:t>
            </w:r>
          </w:p>
        </w:tc>
        <w:tc>
          <w:tcPr>
            <w:tcW w:w="909" w:type="dxa"/>
            <w:noWrap/>
            <w:hideMark/>
          </w:tcPr>
          <w:p w14:paraId="1BD4E07D"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350.3</w:t>
            </w:r>
          </w:p>
        </w:tc>
        <w:tc>
          <w:tcPr>
            <w:tcW w:w="909" w:type="dxa"/>
            <w:noWrap/>
            <w:hideMark/>
          </w:tcPr>
          <w:p w14:paraId="50B4D388" w14:textId="77777777" w:rsidR="00226ACB" w:rsidRPr="005F51E9" w:rsidRDefault="00226ACB" w:rsidP="0007197E">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422.9</w:t>
            </w:r>
          </w:p>
        </w:tc>
      </w:tr>
      <w:tr w:rsidR="00226ACB" w:rsidRPr="005F51E9" w14:paraId="397AA6FE" w14:textId="77777777" w:rsidTr="00F7104B">
        <w:trPr>
          <w:trHeight w:val="385"/>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2FF33954" w14:textId="77777777" w:rsidR="00226ACB" w:rsidRPr="005F51E9" w:rsidRDefault="00226ACB" w:rsidP="0007197E">
            <w:pPr>
              <w:jc w:val="both"/>
              <w:rPr>
                <w:rFonts w:ascii="Palatino Linotype" w:eastAsia="Times New Roman" w:hAnsi="Palatino Linotype" w:cs="Angsana New"/>
                <w:b/>
                <w:bCs/>
                <w:color w:val="000000"/>
                <w:sz w:val="20"/>
                <w:szCs w:val="20"/>
                <w:lang w:eastAsia="es-ES_tradnl"/>
              </w:rPr>
            </w:pPr>
            <w:r w:rsidRPr="005F51E9">
              <w:rPr>
                <w:rFonts w:ascii="Palatino Linotype" w:eastAsia="Times New Roman" w:hAnsi="Palatino Linotype" w:cs="Angsana New"/>
                <w:b/>
                <w:bCs/>
                <w:color w:val="000000"/>
                <w:sz w:val="20"/>
                <w:szCs w:val="20"/>
                <w:lang w:eastAsia="es-ES_tradnl"/>
              </w:rPr>
              <w:t>8+</w:t>
            </w:r>
          </w:p>
        </w:tc>
        <w:tc>
          <w:tcPr>
            <w:tcW w:w="909" w:type="dxa"/>
            <w:noWrap/>
            <w:hideMark/>
          </w:tcPr>
          <w:p w14:paraId="20EB0A9C"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149.2</w:t>
            </w:r>
          </w:p>
        </w:tc>
        <w:tc>
          <w:tcPr>
            <w:tcW w:w="909" w:type="dxa"/>
            <w:noWrap/>
            <w:hideMark/>
          </w:tcPr>
          <w:p w14:paraId="7402B3E6"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368.1</w:t>
            </w:r>
          </w:p>
        </w:tc>
        <w:tc>
          <w:tcPr>
            <w:tcW w:w="909" w:type="dxa"/>
            <w:noWrap/>
            <w:hideMark/>
          </w:tcPr>
          <w:p w14:paraId="26BC655C"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385.6</w:t>
            </w:r>
          </w:p>
        </w:tc>
        <w:tc>
          <w:tcPr>
            <w:tcW w:w="909" w:type="dxa"/>
            <w:noWrap/>
            <w:hideMark/>
          </w:tcPr>
          <w:p w14:paraId="248935FE"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380.1</w:t>
            </w:r>
          </w:p>
        </w:tc>
        <w:tc>
          <w:tcPr>
            <w:tcW w:w="909" w:type="dxa"/>
            <w:noWrap/>
            <w:hideMark/>
          </w:tcPr>
          <w:p w14:paraId="3EE91442"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410.5</w:t>
            </w:r>
          </w:p>
        </w:tc>
        <w:tc>
          <w:tcPr>
            <w:tcW w:w="909" w:type="dxa"/>
            <w:noWrap/>
            <w:hideMark/>
          </w:tcPr>
          <w:p w14:paraId="0EBB10A8" w14:textId="77777777" w:rsidR="00226ACB" w:rsidRPr="005F51E9" w:rsidRDefault="00226ACB" w:rsidP="0007197E">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ngsana New"/>
                <w:color w:val="000000"/>
                <w:sz w:val="20"/>
                <w:szCs w:val="20"/>
                <w:lang w:eastAsia="es-ES_tradnl"/>
              </w:rPr>
            </w:pPr>
            <w:r w:rsidRPr="005F51E9">
              <w:rPr>
                <w:rFonts w:ascii="Palatino Linotype" w:eastAsia="Times New Roman" w:hAnsi="Palatino Linotype" w:cs="Angsana New"/>
                <w:color w:val="000000"/>
                <w:sz w:val="20"/>
                <w:szCs w:val="20"/>
                <w:lang w:eastAsia="es-ES_tradnl"/>
              </w:rPr>
              <w:t>473.3</w:t>
            </w:r>
          </w:p>
        </w:tc>
      </w:tr>
    </w:tbl>
    <w:p w14:paraId="20A6EE3C" w14:textId="77777777" w:rsidR="00226ACB" w:rsidRPr="005F51E9" w:rsidRDefault="00226ACB" w:rsidP="0007197E">
      <w:pPr>
        <w:autoSpaceDE w:val="0"/>
        <w:autoSpaceDN w:val="0"/>
        <w:adjustRightInd w:val="0"/>
        <w:spacing w:after="0" w:line="240" w:lineRule="auto"/>
        <w:jc w:val="both"/>
        <w:rPr>
          <w:rFonts w:ascii="Palatino Linotype" w:hAnsi="Palatino Linotype" w:cs="Times New Roman"/>
          <w:sz w:val="20"/>
          <w:szCs w:val="20"/>
          <w:lang w:val="es-ES_tradnl"/>
        </w:rPr>
      </w:pPr>
    </w:p>
    <w:p w14:paraId="04047F44" w14:textId="65F5C582" w:rsidR="00226ACB" w:rsidRPr="005F51E9" w:rsidRDefault="00226ACB"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The temporal analysis of mean depth at-age showed a movement towards deeper waters of the</w:t>
      </w:r>
    </w:p>
    <w:p w14:paraId="3B93035C" w14:textId="77777777" w:rsidR="00226ACB" w:rsidRPr="005F51E9" w:rsidRDefault="00226ACB"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older ages at the begging of the time series, while moving back and abruptly to shallow waters</w:t>
      </w:r>
    </w:p>
    <w:p w14:paraId="6C7886FB" w14:textId="373FE30D" w:rsidR="000A0023" w:rsidRPr="005F51E9" w:rsidRDefault="00226ACB"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in during the last decade. Younger ages did not show any particular movement during the whole</w:t>
      </w:r>
      <w:r w:rsidR="005F51E9">
        <w:rPr>
          <w:rFonts w:ascii="Palatino Linotype" w:hAnsi="Palatino Linotype" w:cs="Times New Roman"/>
          <w:sz w:val="20"/>
          <w:szCs w:val="20"/>
          <w:lang w:val="en-US"/>
        </w:rPr>
        <w:t xml:space="preserve"> </w:t>
      </w:r>
      <w:r w:rsidRPr="005F51E9">
        <w:rPr>
          <w:rFonts w:ascii="Palatino Linotype" w:hAnsi="Palatino Linotype" w:cs="Times New Roman"/>
          <w:sz w:val="20"/>
          <w:szCs w:val="20"/>
          <w:lang w:val="en-US"/>
        </w:rPr>
        <w:t>period. Nevertheless, since 2010 all age classes seem to occupy a narrower depth range living</w:t>
      </w:r>
      <w:r w:rsidR="005F51E9">
        <w:rPr>
          <w:rFonts w:ascii="Palatino Linotype" w:hAnsi="Palatino Linotype" w:cs="Times New Roman"/>
          <w:sz w:val="20"/>
          <w:szCs w:val="20"/>
          <w:lang w:val="en-US"/>
        </w:rPr>
        <w:t xml:space="preserve"> </w:t>
      </w:r>
      <w:r w:rsidRPr="005F51E9">
        <w:rPr>
          <w:rFonts w:ascii="Palatino Linotype" w:hAnsi="Palatino Linotype" w:cs="Times New Roman"/>
          <w:sz w:val="20"/>
          <w:szCs w:val="20"/>
          <w:lang w:val="en-US"/>
        </w:rPr>
        <w:t>closer each other than earlier</w:t>
      </w:r>
      <w:r w:rsidR="0087469A" w:rsidRPr="005F51E9">
        <w:rPr>
          <w:rFonts w:ascii="Palatino Linotype" w:hAnsi="Palatino Linotype" w:cs="Times New Roman"/>
          <w:sz w:val="20"/>
          <w:szCs w:val="20"/>
          <w:lang w:val="en-US"/>
        </w:rPr>
        <w:t xml:space="preserve"> (Figure 1).</w:t>
      </w:r>
    </w:p>
    <w:p w14:paraId="146EF3BA" w14:textId="77777777" w:rsidR="00226ACB" w:rsidRPr="005F51E9" w:rsidRDefault="00226ACB" w:rsidP="0007197E">
      <w:pPr>
        <w:keepNext/>
        <w:jc w:val="center"/>
        <w:rPr>
          <w:rFonts w:ascii="Palatino Linotype" w:hAnsi="Palatino Linotype"/>
          <w:sz w:val="20"/>
          <w:szCs w:val="20"/>
        </w:rPr>
      </w:pPr>
      <w:r w:rsidRPr="005F51E9">
        <w:rPr>
          <w:rFonts w:ascii="Palatino Linotype" w:hAnsi="Palatino Linotype"/>
          <w:noProof/>
          <w:sz w:val="20"/>
          <w:szCs w:val="20"/>
          <w:lang w:eastAsia="es-ES"/>
        </w:rPr>
        <w:lastRenderedPageBreak/>
        <w:drawing>
          <wp:inline distT="0" distB="0" distL="0" distR="0" wp14:anchorId="1FC0E4A4" wp14:editId="11CCC420">
            <wp:extent cx="4470400" cy="3129490"/>
            <wp:effectExtent l="0" t="0" r="0" b="0"/>
            <wp:docPr id="50" name="Imagen 50"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dprof-year.age_juntos3004.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82441" cy="3137920"/>
                    </a:xfrm>
                    <a:prstGeom prst="rect">
                      <a:avLst/>
                    </a:prstGeom>
                  </pic:spPr>
                </pic:pic>
              </a:graphicData>
            </a:graphic>
          </wp:inline>
        </w:drawing>
      </w:r>
    </w:p>
    <w:p w14:paraId="20D88744" w14:textId="0F1BBC3F" w:rsidR="00226ACB" w:rsidRPr="0007197E" w:rsidRDefault="00226ACB" w:rsidP="0007197E">
      <w:pPr>
        <w:autoSpaceDE w:val="0"/>
        <w:autoSpaceDN w:val="0"/>
        <w:adjustRightInd w:val="0"/>
        <w:spacing w:after="0" w:line="240" w:lineRule="auto"/>
        <w:jc w:val="both"/>
        <w:rPr>
          <w:rFonts w:ascii="Palatino Linotype" w:hAnsi="Palatino Linotype" w:cs="Times New Roman"/>
          <w:i/>
          <w:iCs/>
          <w:color w:val="000000" w:themeColor="text1"/>
          <w:sz w:val="18"/>
          <w:szCs w:val="18"/>
          <w:lang w:val="en-US"/>
        </w:rPr>
      </w:pPr>
      <w:r w:rsidRPr="0007197E">
        <w:rPr>
          <w:rFonts w:ascii="Palatino Linotype" w:hAnsi="Palatino Linotype" w:cs="Times New Roman"/>
          <w:i/>
          <w:iCs/>
          <w:color w:val="000000" w:themeColor="text1"/>
          <w:sz w:val="18"/>
          <w:szCs w:val="18"/>
          <w:lang w:val="en-US"/>
        </w:rPr>
        <w:t xml:space="preserve">Figure </w:t>
      </w:r>
      <w:r w:rsidRPr="0007197E">
        <w:rPr>
          <w:rFonts w:ascii="Palatino Linotype" w:hAnsi="Palatino Linotype" w:cs="Times New Roman"/>
          <w:i/>
          <w:iCs/>
          <w:color w:val="000000" w:themeColor="text1"/>
          <w:sz w:val="18"/>
          <w:szCs w:val="18"/>
          <w:lang w:val="en-US"/>
        </w:rPr>
        <w:fldChar w:fldCharType="begin"/>
      </w:r>
      <w:r w:rsidRPr="0007197E">
        <w:rPr>
          <w:rFonts w:ascii="Palatino Linotype" w:hAnsi="Palatino Linotype" w:cs="Times New Roman"/>
          <w:i/>
          <w:iCs/>
          <w:color w:val="000000" w:themeColor="text1"/>
          <w:sz w:val="18"/>
          <w:szCs w:val="18"/>
          <w:lang w:val="en-US"/>
        </w:rPr>
        <w:instrText xml:space="preserve"> SEQ Figure \* ARABIC </w:instrText>
      </w:r>
      <w:r w:rsidRPr="0007197E">
        <w:rPr>
          <w:rFonts w:ascii="Palatino Linotype" w:hAnsi="Palatino Linotype" w:cs="Times New Roman"/>
          <w:i/>
          <w:iCs/>
          <w:color w:val="000000" w:themeColor="text1"/>
          <w:sz w:val="18"/>
          <w:szCs w:val="18"/>
          <w:lang w:val="en-US"/>
        </w:rPr>
        <w:fldChar w:fldCharType="separate"/>
      </w:r>
      <w:r w:rsidR="003B2E18">
        <w:rPr>
          <w:rFonts w:ascii="Palatino Linotype" w:hAnsi="Palatino Linotype" w:cs="Times New Roman"/>
          <w:i/>
          <w:iCs/>
          <w:noProof/>
          <w:color w:val="000000" w:themeColor="text1"/>
          <w:sz w:val="18"/>
          <w:szCs w:val="18"/>
          <w:lang w:val="en-US"/>
        </w:rPr>
        <w:t>1</w:t>
      </w:r>
      <w:r w:rsidRPr="0007197E">
        <w:rPr>
          <w:rFonts w:ascii="Palatino Linotype" w:hAnsi="Palatino Linotype" w:cs="Times New Roman"/>
          <w:i/>
          <w:iCs/>
          <w:color w:val="000000" w:themeColor="text1"/>
          <w:sz w:val="18"/>
          <w:szCs w:val="18"/>
          <w:lang w:val="en-US"/>
        </w:rPr>
        <w:fldChar w:fldCharType="end"/>
      </w:r>
      <w:r w:rsidRPr="0007197E">
        <w:rPr>
          <w:rFonts w:ascii="Palatino Linotype" w:hAnsi="Palatino Linotype" w:cs="Times New Roman"/>
          <w:i/>
          <w:iCs/>
          <w:color w:val="000000" w:themeColor="text1"/>
          <w:sz w:val="18"/>
          <w:szCs w:val="18"/>
          <w:lang w:val="en-US"/>
        </w:rPr>
        <w:t>. Temporal trend of cod mean depth at-age. Black lines indicates period of greater fluctuation on cod</w:t>
      </w:r>
    </w:p>
    <w:p w14:paraId="3522F04C" w14:textId="111B6801" w:rsidR="00226ACB" w:rsidRPr="0007197E" w:rsidRDefault="00226ACB" w:rsidP="0007197E">
      <w:pPr>
        <w:pStyle w:val="Descripcin"/>
        <w:jc w:val="both"/>
        <w:rPr>
          <w:rFonts w:ascii="Palatino Linotype" w:hAnsi="Palatino Linotype" w:cs="Times New Roman"/>
          <w:color w:val="000000" w:themeColor="text1"/>
          <w:lang w:val="en-US"/>
        </w:rPr>
      </w:pPr>
      <w:r w:rsidRPr="0007197E">
        <w:rPr>
          <w:rFonts w:ascii="Palatino Linotype" w:hAnsi="Palatino Linotype" w:cs="Times New Roman"/>
          <w:color w:val="000000" w:themeColor="text1"/>
          <w:lang w:val="en-US"/>
        </w:rPr>
        <w:t>vertical distribution.</w:t>
      </w:r>
    </w:p>
    <w:p w14:paraId="1AEB7A4D" w14:textId="77777777" w:rsidR="0087469A" w:rsidRPr="005F51E9" w:rsidRDefault="0087469A"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The bottom temperature for the whole Flemish Cap decreased sharply in 1988-1990, although</w:t>
      </w:r>
    </w:p>
    <w:p w14:paraId="56BFA554" w14:textId="77777777" w:rsidR="0087469A" w:rsidRPr="005F51E9" w:rsidRDefault="0087469A"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the lack of earlier data prevents understanding this decrease (Figure 15.). Since then a steadily</w:t>
      </w:r>
    </w:p>
    <w:p w14:paraId="6D41DD3D" w14:textId="577FA794" w:rsidR="0087469A" w:rsidRPr="005F51E9" w:rsidRDefault="0087469A"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increase of more than 1ÅãC was recorded until peak in at 4.5ÅãC in 2009-2011, decreasing slightly in recent years. The temperature at the depths where each class lives showed highest</w:t>
      </w:r>
    </w:p>
    <w:p w14:paraId="12D15C0F" w14:textId="77777777" w:rsidR="0087469A" w:rsidRPr="005F51E9" w:rsidRDefault="0087469A"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fluctuation for age 1 (200m) while the temperature for older ages followed more the general</w:t>
      </w:r>
    </w:p>
    <w:p w14:paraId="63719ACB" w14:textId="47D10777" w:rsidR="00226ACB" w:rsidRPr="005F51E9" w:rsidRDefault="0087469A" w:rsidP="0007197E">
      <w:pPr>
        <w:jc w:val="both"/>
        <w:rPr>
          <w:rFonts w:ascii="Palatino Linotype" w:hAnsi="Palatino Linotype"/>
          <w:sz w:val="20"/>
          <w:szCs w:val="20"/>
          <w:lang w:val="en-US"/>
        </w:rPr>
      </w:pPr>
      <w:proofErr w:type="spellStart"/>
      <w:r w:rsidRPr="005F51E9">
        <w:rPr>
          <w:rFonts w:ascii="Palatino Linotype" w:hAnsi="Palatino Linotype" w:cs="Times New Roman"/>
          <w:sz w:val="20"/>
          <w:szCs w:val="20"/>
          <w:lang w:val="es-ES_tradnl"/>
        </w:rPr>
        <w:t>pattern</w:t>
      </w:r>
      <w:proofErr w:type="spellEnd"/>
      <w:r w:rsidRPr="005F51E9">
        <w:rPr>
          <w:rFonts w:ascii="Palatino Linotype" w:hAnsi="Palatino Linotype" w:cs="Times New Roman"/>
          <w:sz w:val="20"/>
          <w:szCs w:val="20"/>
          <w:lang w:val="es-ES_tradnl"/>
        </w:rPr>
        <w:t xml:space="preserve"> </w:t>
      </w:r>
      <w:proofErr w:type="spellStart"/>
      <w:r w:rsidRPr="005F51E9">
        <w:rPr>
          <w:rFonts w:ascii="Palatino Linotype" w:hAnsi="Palatino Linotype" w:cs="Times New Roman"/>
          <w:sz w:val="20"/>
          <w:szCs w:val="20"/>
          <w:lang w:val="es-ES_tradnl"/>
        </w:rPr>
        <w:t>described</w:t>
      </w:r>
      <w:proofErr w:type="spellEnd"/>
      <w:r w:rsidRPr="005F51E9">
        <w:rPr>
          <w:rFonts w:ascii="Palatino Linotype" w:hAnsi="Palatino Linotype" w:cs="Times New Roman"/>
          <w:sz w:val="20"/>
          <w:szCs w:val="20"/>
          <w:lang w:val="es-ES_tradnl"/>
        </w:rPr>
        <w:t xml:space="preserve"> </w:t>
      </w:r>
      <w:proofErr w:type="spellStart"/>
      <w:r w:rsidRPr="005F51E9">
        <w:rPr>
          <w:rFonts w:ascii="Palatino Linotype" w:hAnsi="Palatino Linotype" w:cs="Times New Roman"/>
          <w:sz w:val="20"/>
          <w:szCs w:val="20"/>
          <w:lang w:val="es-ES_tradnl"/>
        </w:rPr>
        <w:t>above</w:t>
      </w:r>
      <w:proofErr w:type="spellEnd"/>
      <w:r w:rsidRPr="005F51E9">
        <w:rPr>
          <w:rFonts w:ascii="Palatino Linotype" w:hAnsi="Palatino Linotype" w:cs="Times New Roman"/>
          <w:sz w:val="20"/>
          <w:szCs w:val="20"/>
          <w:lang w:val="es-ES_tradnl"/>
        </w:rPr>
        <w:t xml:space="preserve"> (Figure 2).</w:t>
      </w:r>
    </w:p>
    <w:p w14:paraId="72D36B89" w14:textId="77777777" w:rsidR="0087469A" w:rsidRPr="005F51E9" w:rsidRDefault="00226ACB" w:rsidP="0007197E">
      <w:pPr>
        <w:keepNext/>
        <w:jc w:val="center"/>
        <w:rPr>
          <w:rFonts w:ascii="Palatino Linotype" w:hAnsi="Palatino Linotype"/>
          <w:sz w:val="20"/>
          <w:szCs w:val="20"/>
        </w:rPr>
      </w:pPr>
      <w:r w:rsidRPr="005F51E9">
        <w:rPr>
          <w:rFonts w:ascii="Palatino Linotype" w:hAnsi="Palatino Linotype"/>
          <w:noProof/>
          <w:sz w:val="20"/>
          <w:szCs w:val="20"/>
          <w:lang w:eastAsia="es-ES"/>
        </w:rPr>
        <w:drawing>
          <wp:inline distT="0" distB="0" distL="0" distR="0" wp14:anchorId="6787DB8A" wp14:editId="1BFE95B5">
            <wp:extent cx="4229100" cy="3383081"/>
            <wp:effectExtent l="0" t="0" r="0" b="0"/>
            <wp:docPr id="9" name="Imagen 9"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mp.alldepth_plot_final.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49766" cy="3399613"/>
                    </a:xfrm>
                    <a:prstGeom prst="rect">
                      <a:avLst/>
                    </a:prstGeom>
                  </pic:spPr>
                </pic:pic>
              </a:graphicData>
            </a:graphic>
          </wp:inline>
        </w:drawing>
      </w:r>
    </w:p>
    <w:p w14:paraId="431677F6" w14:textId="190C061A" w:rsidR="00226ACB" w:rsidRPr="0007197E" w:rsidRDefault="0087469A" w:rsidP="0007197E">
      <w:pPr>
        <w:pStyle w:val="Descripcin"/>
        <w:jc w:val="center"/>
        <w:rPr>
          <w:rFonts w:ascii="Palatino Linotype" w:hAnsi="Palatino Linotype"/>
          <w:b/>
          <w:bCs/>
          <w:color w:val="000000" w:themeColor="text1"/>
          <w:lang w:val="en-US"/>
        </w:rPr>
      </w:pPr>
      <w:r w:rsidRPr="0007197E">
        <w:rPr>
          <w:rFonts w:ascii="Palatino Linotype" w:hAnsi="Palatino Linotype"/>
          <w:color w:val="000000" w:themeColor="text1"/>
          <w:lang w:val="en-US"/>
        </w:rPr>
        <w:t xml:space="preserve">Figure </w:t>
      </w:r>
      <w:r w:rsidRPr="0007197E">
        <w:rPr>
          <w:rFonts w:ascii="Palatino Linotype" w:hAnsi="Palatino Linotype"/>
          <w:color w:val="000000" w:themeColor="text1"/>
        </w:rPr>
        <w:fldChar w:fldCharType="begin"/>
      </w:r>
      <w:r w:rsidRPr="0007197E">
        <w:rPr>
          <w:rFonts w:ascii="Palatino Linotype" w:hAnsi="Palatino Linotype"/>
          <w:color w:val="000000" w:themeColor="text1"/>
          <w:lang w:val="en-US"/>
        </w:rPr>
        <w:instrText xml:space="preserve"> SEQ Figure \* ARABIC </w:instrText>
      </w:r>
      <w:r w:rsidRPr="0007197E">
        <w:rPr>
          <w:rFonts w:ascii="Palatino Linotype" w:hAnsi="Palatino Linotype"/>
          <w:color w:val="000000" w:themeColor="text1"/>
        </w:rPr>
        <w:fldChar w:fldCharType="separate"/>
      </w:r>
      <w:r w:rsidR="003B2E18">
        <w:rPr>
          <w:rFonts w:ascii="Palatino Linotype" w:hAnsi="Palatino Linotype"/>
          <w:noProof/>
          <w:color w:val="000000" w:themeColor="text1"/>
          <w:lang w:val="en-US"/>
        </w:rPr>
        <w:t>2</w:t>
      </w:r>
      <w:r w:rsidRPr="0007197E">
        <w:rPr>
          <w:rFonts w:ascii="Palatino Linotype" w:hAnsi="Palatino Linotype"/>
          <w:color w:val="000000" w:themeColor="text1"/>
        </w:rPr>
        <w:fldChar w:fldCharType="end"/>
      </w:r>
      <w:r w:rsidRPr="0007197E">
        <w:rPr>
          <w:rFonts w:ascii="Palatino Linotype" w:hAnsi="Palatino Linotype"/>
          <w:color w:val="000000" w:themeColor="text1"/>
          <w:lang w:val="en-US"/>
        </w:rPr>
        <w:t xml:space="preserve">. Temporal trend </w:t>
      </w:r>
      <w:r w:rsidRPr="0007197E">
        <w:rPr>
          <w:rFonts w:ascii="Palatino Linotype" w:hAnsi="Palatino Linotype" w:cs="Times New Roman"/>
          <w:color w:val="000000" w:themeColor="text1"/>
          <w:lang w:val="en-US"/>
        </w:rPr>
        <w:t xml:space="preserve">of bottom </w:t>
      </w:r>
      <w:r w:rsidR="00CB41E1" w:rsidRPr="0007197E">
        <w:rPr>
          <w:rFonts w:ascii="Palatino Linotype" w:hAnsi="Palatino Linotype" w:cs="Times New Roman"/>
          <w:color w:val="000000" w:themeColor="text1"/>
          <w:lang w:val="en-US"/>
        </w:rPr>
        <w:t>temperature</w:t>
      </w:r>
      <w:r w:rsidRPr="0007197E">
        <w:rPr>
          <w:rFonts w:ascii="Palatino Linotype" w:hAnsi="Palatino Linotype" w:cs="Times New Roman"/>
          <w:color w:val="000000" w:themeColor="text1"/>
          <w:lang w:val="en-US"/>
        </w:rPr>
        <w:t xml:space="preserve"> at which cod-at-age inhabit.</w:t>
      </w:r>
    </w:p>
    <w:p w14:paraId="5F75A7C6" w14:textId="77777777" w:rsidR="00226ACB" w:rsidRPr="005F51E9" w:rsidRDefault="00226ACB" w:rsidP="0007197E">
      <w:pPr>
        <w:jc w:val="both"/>
        <w:rPr>
          <w:rFonts w:ascii="Palatino Linotype" w:hAnsi="Palatino Linotype" w:cs="Arial"/>
          <w:sz w:val="20"/>
          <w:szCs w:val="20"/>
          <w:lang w:val="en-US"/>
        </w:rPr>
      </w:pPr>
    </w:p>
    <w:p w14:paraId="06D35176" w14:textId="1E997349" w:rsidR="005C65BF" w:rsidRPr="005F51E9" w:rsidRDefault="000A540D" w:rsidP="0007197E">
      <w:pPr>
        <w:jc w:val="both"/>
        <w:rPr>
          <w:rFonts w:ascii="Palatino Linotype" w:hAnsi="Palatino Linotype" w:cs="Arial"/>
          <w:sz w:val="20"/>
          <w:szCs w:val="20"/>
          <w:lang w:val="en-GB"/>
        </w:rPr>
      </w:pPr>
      <w:r w:rsidRPr="005F51E9">
        <w:rPr>
          <w:rFonts w:ascii="Palatino Linotype" w:hAnsi="Palatino Linotype" w:cs="Arial"/>
          <w:b/>
          <w:bCs/>
          <w:sz w:val="20"/>
          <w:szCs w:val="20"/>
          <w:lang w:val="en-GB"/>
        </w:rPr>
        <w:lastRenderedPageBreak/>
        <w:t>T</w:t>
      </w:r>
      <w:r w:rsidR="005C65BF" w:rsidRPr="005F51E9">
        <w:rPr>
          <w:rFonts w:ascii="Palatino Linotype" w:hAnsi="Palatino Linotype" w:cs="Arial"/>
          <w:b/>
          <w:bCs/>
          <w:sz w:val="20"/>
          <w:szCs w:val="20"/>
          <w:lang w:val="en-GB"/>
        </w:rPr>
        <w:t>hickness of the cold intermediate layer (CIL</w:t>
      </w:r>
      <w:r w:rsidR="005C65BF" w:rsidRPr="005F51E9">
        <w:rPr>
          <w:rFonts w:ascii="Palatino Linotype" w:hAnsi="Palatino Linotype" w:cs="Arial"/>
          <w:sz w:val="20"/>
          <w:szCs w:val="20"/>
          <w:lang w:val="en-GB"/>
        </w:rPr>
        <w:t>):</w:t>
      </w:r>
      <w:r w:rsidR="005C65BF" w:rsidRPr="005F51E9">
        <w:rPr>
          <w:rFonts w:ascii="Palatino Linotype" w:hAnsi="Palatino Linotype" w:cs="Arial"/>
          <w:sz w:val="20"/>
          <w:szCs w:val="20"/>
          <w:u w:val="single"/>
          <w:lang w:val="en-GB"/>
        </w:rPr>
        <w:t xml:space="preserve"> </w:t>
      </w:r>
      <w:r w:rsidR="005C65BF" w:rsidRPr="005F51E9">
        <w:rPr>
          <w:rFonts w:ascii="Palatino Linotype" w:hAnsi="Palatino Linotype" w:cs="Arial"/>
          <w:sz w:val="20"/>
          <w:szCs w:val="20"/>
          <w:lang w:val="en-GB"/>
        </w:rPr>
        <w:t>In Flemish Cap, the water masses that dominated the system are derived from a mixture of Labrador Current Slope Water (LSW) and North Atlantic Current Water (NAW) which produce waters with average sub-surface temperatures in the range of 3°C (the cold intermediate layer or CIL). During the cold years, the temperature of the CIL can reach 0°C. The thickness of the CIL gives valuable information since it acts as a barrier impeding energy transfer to deeper waters. Annual average values of CIL thickness were used as indices of the mixing degree</w:t>
      </w:r>
      <w:r w:rsidR="0087469A" w:rsidRPr="005F51E9">
        <w:rPr>
          <w:rFonts w:ascii="Palatino Linotype" w:hAnsi="Palatino Linotype" w:cs="Arial"/>
          <w:sz w:val="20"/>
          <w:szCs w:val="20"/>
          <w:lang w:val="en-GB"/>
        </w:rPr>
        <w:t>.</w:t>
      </w:r>
    </w:p>
    <w:p w14:paraId="3A363497" w14:textId="77777777" w:rsidR="0087469A" w:rsidRPr="005F51E9" w:rsidRDefault="0087469A"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The thickness of the cold intermediate layer increased from 1988 to 1990 (from 80 to 140 m).</w:t>
      </w:r>
    </w:p>
    <w:p w14:paraId="7FE88837" w14:textId="440EE368" w:rsidR="0087469A" w:rsidRPr="005F51E9" w:rsidRDefault="0087469A"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After this period, thickness steeply decreased until 1996 and fluctuated at low levels for 15 years (the minimum was recorded in 2001 at 21.2 m). Then, CIL thickness sharply went down again, from 24.33 in 2010 to 118 m in 2015 (Figure 3).</w:t>
      </w:r>
    </w:p>
    <w:p w14:paraId="6211FAA6" w14:textId="77777777" w:rsidR="0087469A" w:rsidRPr="0007197E" w:rsidRDefault="0087469A" w:rsidP="0007197E">
      <w:pPr>
        <w:keepNext/>
        <w:jc w:val="center"/>
        <w:rPr>
          <w:rFonts w:ascii="Palatino Linotype" w:hAnsi="Palatino Linotype"/>
          <w:color w:val="000000" w:themeColor="text1"/>
          <w:sz w:val="20"/>
          <w:szCs w:val="20"/>
        </w:rPr>
      </w:pPr>
      <w:r w:rsidRPr="0007197E">
        <w:rPr>
          <w:rFonts w:ascii="Palatino Linotype" w:hAnsi="Palatino Linotype"/>
          <w:noProof/>
          <w:color w:val="000000" w:themeColor="text1"/>
          <w:sz w:val="20"/>
          <w:szCs w:val="20"/>
          <w:lang w:eastAsia="es-ES"/>
        </w:rPr>
        <w:drawing>
          <wp:inline distT="0" distB="0" distL="0" distR="0" wp14:anchorId="2AEC5412" wp14:editId="414B886C">
            <wp:extent cx="4495800" cy="3596640"/>
            <wp:effectExtent l="0" t="0" r="0" b="0"/>
            <wp:docPr id="20" name="Imagen 20"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Histo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9541" cy="3607633"/>
                    </a:xfrm>
                    <a:prstGeom prst="rect">
                      <a:avLst/>
                    </a:prstGeom>
                  </pic:spPr>
                </pic:pic>
              </a:graphicData>
            </a:graphic>
          </wp:inline>
        </w:drawing>
      </w:r>
    </w:p>
    <w:p w14:paraId="18658A93" w14:textId="47167273" w:rsidR="0087469A" w:rsidRPr="0007197E" w:rsidRDefault="0087469A" w:rsidP="0007197E">
      <w:pPr>
        <w:pStyle w:val="Descripcin"/>
        <w:jc w:val="center"/>
        <w:rPr>
          <w:rFonts w:ascii="Palatino Linotype" w:hAnsi="Palatino Linotype" w:cs="Arial"/>
          <w:color w:val="000000" w:themeColor="text1"/>
          <w:lang w:val="en-GB"/>
        </w:rPr>
      </w:pPr>
      <w:r w:rsidRPr="0007197E">
        <w:rPr>
          <w:rFonts w:ascii="Palatino Linotype" w:hAnsi="Palatino Linotype"/>
          <w:color w:val="000000" w:themeColor="text1"/>
          <w:lang w:val="en-US"/>
        </w:rPr>
        <w:t xml:space="preserve">Figure </w:t>
      </w:r>
      <w:r w:rsidRPr="0007197E">
        <w:rPr>
          <w:rFonts w:ascii="Palatino Linotype" w:hAnsi="Palatino Linotype"/>
          <w:color w:val="000000" w:themeColor="text1"/>
        </w:rPr>
        <w:fldChar w:fldCharType="begin"/>
      </w:r>
      <w:r w:rsidRPr="0007197E">
        <w:rPr>
          <w:rFonts w:ascii="Palatino Linotype" w:hAnsi="Palatino Linotype"/>
          <w:color w:val="000000" w:themeColor="text1"/>
          <w:lang w:val="en-US"/>
        </w:rPr>
        <w:instrText xml:space="preserve"> SEQ Figure \* ARABIC </w:instrText>
      </w:r>
      <w:r w:rsidRPr="0007197E">
        <w:rPr>
          <w:rFonts w:ascii="Palatino Linotype" w:hAnsi="Palatino Linotype"/>
          <w:color w:val="000000" w:themeColor="text1"/>
        </w:rPr>
        <w:fldChar w:fldCharType="separate"/>
      </w:r>
      <w:r w:rsidR="003B2E18">
        <w:rPr>
          <w:rFonts w:ascii="Palatino Linotype" w:hAnsi="Palatino Linotype"/>
          <w:noProof/>
          <w:color w:val="000000" w:themeColor="text1"/>
          <w:lang w:val="en-US"/>
        </w:rPr>
        <w:t>3</w:t>
      </w:r>
      <w:r w:rsidRPr="0007197E">
        <w:rPr>
          <w:rFonts w:ascii="Palatino Linotype" w:hAnsi="Palatino Linotype"/>
          <w:color w:val="000000" w:themeColor="text1"/>
        </w:rPr>
        <w:fldChar w:fldCharType="end"/>
      </w:r>
      <w:r w:rsidRPr="0007197E">
        <w:rPr>
          <w:rFonts w:ascii="Palatino Linotype" w:hAnsi="Palatino Linotype"/>
          <w:color w:val="000000" w:themeColor="text1"/>
          <w:lang w:val="en-US"/>
        </w:rPr>
        <w:t xml:space="preserve">. Temporal trend of the Cold </w:t>
      </w:r>
      <w:proofErr w:type="spellStart"/>
      <w:r w:rsidRPr="0007197E">
        <w:rPr>
          <w:rFonts w:ascii="Palatino Linotype" w:hAnsi="Palatino Linotype"/>
          <w:color w:val="000000" w:themeColor="text1"/>
          <w:lang w:val="en-US"/>
        </w:rPr>
        <w:t>Intermadiate</w:t>
      </w:r>
      <w:proofErr w:type="spellEnd"/>
      <w:r w:rsidRPr="0007197E">
        <w:rPr>
          <w:rFonts w:ascii="Palatino Linotype" w:hAnsi="Palatino Linotype"/>
          <w:color w:val="000000" w:themeColor="text1"/>
          <w:lang w:val="en-US"/>
        </w:rPr>
        <w:t xml:space="preserve"> Layer (CIL) thickness</w:t>
      </w:r>
    </w:p>
    <w:p w14:paraId="73E8D09D" w14:textId="12F35120" w:rsidR="005C65BF" w:rsidRPr="005F51E9" w:rsidRDefault="002445B9" w:rsidP="0007197E">
      <w:pPr>
        <w:jc w:val="both"/>
        <w:rPr>
          <w:rFonts w:ascii="Palatino Linotype" w:hAnsi="Palatino Linotype" w:cs="Arial"/>
          <w:sz w:val="20"/>
          <w:szCs w:val="20"/>
          <w:lang w:val="en-GB"/>
        </w:rPr>
      </w:pPr>
      <w:r w:rsidRPr="005F51E9">
        <w:rPr>
          <w:rFonts w:ascii="Palatino Linotype" w:hAnsi="Palatino Linotype" w:cs="Arial"/>
          <w:b/>
          <w:bCs/>
          <w:sz w:val="20"/>
          <w:szCs w:val="20"/>
          <w:lang w:val="en-GB"/>
        </w:rPr>
        <w:t>T</w:t>
      </w:r>
      <w:r w:rsidR="005C65BF" w:rsidRPr="005F51E9">
        <w:rPr>
          <w:rFonts w:ascii="Palatino Linotype" w:hAnsi="Palatino Linotype" w:cs="Arial"/>
          <w:b/>
          <w:bCs/>
          <w:sz w:val="20"/>
          <w:szCs w:val="20"/>
          <w:lang w:val="en-GB"/>
        </w:rPr>
        <w:t xml:space="preserve">he North Atlantic Oscillation (NAO) </w:t>
      </w:r>
      <w:r w:rsidR="005C65BF" w:rsidRPr="005F51E9">
        <w:rPr>
          <w:rFonts w:ascii="Palatino Linotype" w:hAnsi="Palatino Linotype" w:cs="Arial"/>
          <w:sz w:val="20"/>
          <w:szCs w:val="20"/>
          <w:lang w:val="en-GB"/>
        </w:rPr>
        <w:t>was also considered</w:t>
      </w:r>
      <w:r w:rsidRPr="005F51E9">
        <w:rPr>
          <w:rFonts w:ascii="Palatino Linotype" w:hAnsi="Palatino Linotype" w:cs="Arial"/>
          <w:sz w:val="20"/>
          <w:szCs w:val="20"/>
          <w:lang w:val="en-GB"/>
        </w:rPr>
        <w:t xml:space="preserve"> in the study </w:t>
      </w:r>
      <w:r w:rsidR="005F51E9" w:rsidRPr="005F51E9">
        <w:rPr>
          <w:rFonts w:ascii="Palatino Linotype" w:hAnsi="Palatino Linotype" w:cs="Arial"/>
          <w:sz w:val="20"/>
          <w:szCs w:val="20"/>
          <w:lang w:val="en-GB"/>
        </w:rPr>
        <w:t>althou</w:t>
      </w:r>
      <w:r w:rsidR="005F51E9">
        <w:rPr>
          <w:rFonts w:ascii="Palatino Linotype" w:hAnsi="Palatino Linotype" w:cs="Arial"/>
          <w:sz w:val="20"/>
          <w:szCs w:val="20"/>
          <w:lang w:val="en-GB"/>
        </w:rPr>
        <w:t>gh</w:t>
      </w:r>
      <w:r w:rsidRPr="005F51E9">
        <w:rPr>
          <w:rFonts w:ascii="Palatino Linotype" w:hAnsi="Palatino Linotype" w:cs="Arial"/>
          <w:sz w:val="20"/>
          <w:szCs w:val="20"/>
          <w:lang w:val="en-GB"/>
        </w:rPr>
        <w:t xml:space="preserve"> it was not included in the final analysis due to its strong correlation with bottom temperature.</w:t>
      </w:r>
      <w:r w:rsidR="005C65BF" w:rsidRPr="005F51E9">
        <w:rPr>
          <w:rFonts w:ascii="Palatino Linotype" w:hAnsi="Palatino Linotype" w:cs="Arial"/>
          <w:sz w:val="20"/>
          <w:szCs w:val="20"/>
          <w:lang w:val="en-GB"/>
        </w:rPr>
        <w:t xml:space="preserve">. NAO plays an important role in Flemish Cap oceanography as it sets the deep convection events in the Labrador Sea. NAO index data were obtained from the NOAA website: </w:t>
      </w:r>
      <w:r w:rsidR="00437D3C">
        <w:fldChar w:fldCharType="begin"/>
      </w:r>
      <w:r w:rsidR="00437D3C" w:rsidRPr="00437D3C">
        <w:rPr>
          <w:lang w:val="en-US"/>
        </w:rPr>
        <w:instrText xml:space="preserve"> HYPERLINK "https://www.ncdc.noaa.gov/teleconnections/nao/" </w:instrText>
      </w:r>
      <w:r w:rsidR="00437D3C">
        <w:fldChar w:fldCharType="separate"/>
      </w:r>
      <w:r w:rsidR="005C65BF" w:rsidRPr="005F51E9">
        <w:rPr>
          <w:rStyle w:val="Hipervnculo"/>
          <w:rFonts w:ascii="Palatino Linotype" w:hAnsi="Palatino Linotype" w:cs="Arial"/>
          <w:sz w:val="20"/>
          <w:szCs w:val="20"/>
          <w:lang w:val="en-GB"/>
        </w:rPr>
        <w:t>https://www.ncdc.noaa.gov/teleconnections/nao/</w:t>
      </w:r>
      <w:r w:rsidR="00437D3C">
        <w:rPr>
          <w:rStyle w:val="Hipervnculo"/>
          <w:rFonts w:ascii="Palatino Linotype" w:hAnsi="Palatino Linotype" w:cs="Arial"/>
          <w:sz w:val="20"/>
          <w:szCs w:val="20"/>
          <w:lang w:val="en-GB"/>
        </w:rPr>
        <w:fldChar w:fldCharType="end"/>
      </w:r>
      <w:r w:rsidR="005C65BF" w:rsidRPr="005F51E9">
        <w:rPr>
          <w:rFonts w:ascii="Palatino Linotype" w:hAnsi="Palatino Linotype" w:cs="Arial"/>
          <w:sz w:val="20"/>
          <w:szCs w:val="20"/>
          <w:lang w:val="en-GB"/>
        </w:rPr>
        <w:t>. An average annual value was employed.</w:t>
      </w:r>
    </w:p>
    <w:p w14:paraId="6A16FF5F" w14:textId="77777777" w:rsidR="002445B9" w:rsidRPr="005F51E9" w:rsidRDefault="002445B9"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The NAO Index has fluctuated considerably during the 20th century, but three general trends</w:t>
      </w:r>
    </w:p>
    <w:p w14:paraId="0F4FDBD2" w14:textId="5768E026" w:rsidR="002445B9" w:rsidRPr="005F51E9" w:rsidRDefault="002445B9"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can be identified (Figure 4). From the 1950 to the early 1970s it was predominantly negative.</w:t>
      </w:r>
    </w:p>
    <w:p w14:paraId="05B0C7E2" w14:textId="77777777" w:rsidR="002445B9" w:rsidRPr="005F51E9" w:rsidRDefault="002445B9"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then, it turned mainly positive from the early 1970s to the mid-1990s and, after that period, it</w:t>
      </w:r>
    </w:p>
    <w:p w14:paraId="69F0CC3E" w14:textId="77777777" w:rsidR="002445B9" w:rsidRPr="005F51E9" w:rsidRDefault="002445B9"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fluctuated between negative and positive values, although it must be highlighted the strong</w:t>
      </w:r>
    </w:p>
    <w:p w14:paraId="55D847A1" w14:textId="77777777" w:rsidR="002445B9" w:rsidRPr="005F51E9" w:rsidRDefault="002445B9"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negative phase that took place in 1968 and 2010 (values lower than -0.5) and the strong positive</w:t>
      </w:r>
    </w:p>
    <w:p w14:paraId="6540D4E9" w14:textId="77777777" w:rsidR="002445B9" w:rsidRPr="005F51E9" w:rsidRDefault="002445B9"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phases in 1989, 1990, 1992, 1994 and 2018 (values higher than 0.5), being the last one the</w:t>
      </w:r>
    </w:p>
    <w:p w14:paraId="0334DE4B" w14:textId="77777777" w:rsidR="002445B9" w:rsidRPr="005F51E9" w:rsidRDefault="002445B9" w:rsidP="0007197E">
      <w:pPr>
        <w:autoSpaceDE w:val="0"/>
        <w:autoSpaceDN w:val="0"/>
        <w:adjustRightInd w:val="0"/>
        <w:spacing w:after="0" w:line="240" w:lineRule="auto"/>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greatest, reaching values above 1. Moreover, there was an abrupt shift 1995 when, after 6 years</w:t>
      </w:r>
    </w:p>
    <w:p w14:paraId="63E4DC50" w14:textId="6D6C0797" w:rsidR="002445B9" w:rsidRPr="005F51E9" w:rsidRDefault="002445B9" w:rsidP="0007197E">
      <w:pPr>
        <w:jc w:val="both"/>
        <w:rPr>
          <w:rFonts w:ascii="Palatino Linotype" w:hAnsi="Palatino Linotype" w:cs="Times New Roman"/>
          <w:sz w:val="20"/>
          <w:szCs w:val="20"/>
          <w:lang w:val="en-US"/>
        </w:rPr>
      </w:pPr>
      <w:r w:rsidRPr="005F51E9">
        <w:rPr>
          <w:rFonts w:ascii="Palatino Linotype" w:hAnsi="Palatino Linotype" w:cs="Times New Roman"/>
          <w:sz w:val="20"/>
          <w:szCs w:val="20"/>
          <w:lang w:val="en-US"/>
        </w:rPr>
        <w:t>of strong positive values, the NAO becomes negative.</w:t>
      </w:r>
    </w:p>
    <w:p w14:paraId="646C1A5F" w14:textId="223CABB8" w:rsidR="002445B9" w:rsidRPr="005F51E9" w:rsidRDefault="002445B9" w:rsidP="0007197E">
      <w:pPr>
        <w:jc w:val="both"/>
        <w:rPr>
          <w:rFonts w:ascii="Palatino Linotype" w:hAnsi="Palatino Linotype" w:cs="Times New Roman"/>
          <w:sz w:val="20"/>
          <w:szCs w:val="20"/>
          <w:lang w:val="en-US"/>
        </w:rPr>
      </w:pPr>
    </w:p>
    <w:p w14:paraId="3CD93002" w14:textId="77777777" w:rsidR="002445B9" w:rsidRPr="005F51E9" w:rsidRDefault="002445B9" w:rsidP="0007197E">
      <w:pPr>
        <w:keepNext/>
        <w:jc w:val="both"/>
        <w:rPr>
          <w:rFonts w:ascii="Palatino Linotype" w:hAnsi="Palatino Linotype"/>
          <w:sz w:val="20"/>
          <w:szCs w:val="20"/>
        </w:rPr>
      </w:pPr>
      <w:r w:rsidRPr="005F51E9">
        <w:rPr>
          <w:rFonts w:ascii="Palatino Linotype" w:hAnsi="Palatino Linotype" w:cs="Arial"/>
          <w:noProof/>
          <w:sz w:val="20"/>
          <w:szCs w:val="20"/>
          <w:lang w:val="en-US"/>
        </w:rPr>
        <w:drawing>
          <wp:inline distT="0" distB="0" distL="0" distR="0" wp14:anchorId="309B2723" wp14:editId="4B46BBC5">
            <wp:extent cx="5396230" cy="4318635"/>
            <wp:effectExtent l="0" t="0" r="1270" b="0"/>
            <wp:docPr id="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pic:nvPicPr>
                  <pic:blipFill>
                    <a:blip r:embed="rId8"/>
                    <a:stretch>
                      <a:fillRect/>
                    </a:stretch>
                  </pic:blipFill>
                  <pic:spPr>
                    <a:xfrm>
                      <a:off x="0" y="0"/>
                      <a:ext cx="5396230" cy="4318635"/>
                    </a:xfrm>
                    <a:prstGeom prst="rect">
                      <a:avLst/>
                    </a:prstGeom>
                  </pic:spPr>
                </pic:pic>
              </a:graphicData>
            </a:graphic>
          </wp:inline>
        </w:drawing>
      </w:r>
    </w:p>
    <w:p w14:paraId="3995B635" w14:textId="3D66A67B" w:rsidR="0087469A" w:rsidRPr="005F51E9" w:rsidRDefault="002445B9" w:rsidP="0007197E">
      <w:pPr>
        <w:autoSpaceDE w:val="0"/>
        <w:autoSpaceDN w:val="0"/>
        <w:adjustRightInd w:val="0"/>
        <w:spacing w:after="0" w:line="240" w:lineRule="auto"/>
        <w:jc w:val="both"/>
        <w:rPr>
          <w:rFonts w:ascii="Palatino Linotype" w:hAnsi="Palatino Linotype" w:cs="Times New Roman"/>
          <w:i/>
          <w:iCs/>
          <w:sz w:val="18"/>
          <w:szCs w:val="18"/>
          <w:lang w:val="en-US"/>
        </w:rPr>
      </w:pPr>
      <w:r w:rsidRPr="005F51E9">
        <w:rPr>
          <w:rFonts w:ascii="Palatino Linotype" w:hAnsi="Palatino Linotype"/>
          <w:i/>
          <w:iCs/>
          <w:sz w:val="18"/>
          <w:szCs w:val="18"/>
          <w:lang w:val="en-US"/>
        </w:rPr>
        <w:t xml:space="preserve">Figure </w:t>
      </w:r>
      <w:r w:rsidRPr="005F51E9">
        <w:rPr>
          <w:rFonts w:ascii="Palatino Linotype" w:hAnsi="Palatino Linotype"/>
          <w:i/>
          <w:iCs/>
          <w:sz w:val="18"/>
          <w:szCs w:val="18"/>
        </w:rPr>
        <w:fldChar w:fldCharType="begin"/>
      </w:r>
      <w:r w:rsidRPr="005F51E9">
        <w:rPr>
          <w:rFonts w:ascii="Palatino Linotype" w:hAnsi="Palatino Linotype"/>
          <w:i/>
          <w:iCs/>
          <w:sz w:val="18"/>
          <w:szCs w:val="18"/>
          <w:lang w:val="en-US"/>
        </w:rPr>
        <w:instrText xml:space="preserve"> SEQ Figure \* ARABIC </w:instrText>
      </w:r>
      <w:r w:rsidRPr="005F51E9">
        <w:rPr>
          <w:rFonts w:ascii="Palatino Linotype" w:hAnsi="Palatino Linotype"/>
          <w:i/>
          <w:iCs/>
          <w:sz w:val="18"/>
          <w:szCs w:val="18"/>
        </w:rPr>
        <w:fldChar w:fldCharType="separate"/>
      </w:r>
      <w:r w:rsidR="003B2E18">
        <w:rPr>
          <w:rFonts w:ascii="Palatino Linotype" w:hAnsi="Palatino Linotype"/>
          <w:i/>
          <w:iCs/>
          <w:noProof/>
          <w:sz w:val="18"/>
          <w:szCs w:val="18"/>
          <w:lang w:val="en-US"/>
        </w:rPr>
        <w:t>4</w:t>
      </w:r>
      <w:r w:rsidRPr="005F51E9">
        <w:rPr>
          <w:rFonts w:ascii="Palatino Linotype" w:hAnsi="Palatino Linotype"/>
          <w:i/>
          <w:iCs/>
          <w:sz w:val="18"/>
          <w:szCs w:val="18"/>
        </w:rPr>
        <w:fldChar w:fldCharType="end"/>
      </w:r>
      <w:r w:rsidRPr="005F51E9">
        <w:rPr>
          <w:rFonts w:ascii="Palatino Linotype" w:hAnsi="Palatino Linotype"/>
          <w:i/>
          <w:iCs/>
          <w:sz w:val="18"/>
          <w:szCs w:val="18"/>
          <w:lang w:val="en-US"/>
        </w:rPr>
        <w:t xml:space="preserve">. </w:t>
      </w:r>
      <w:r w:rsidRPr="005F51E9">
        <w:rPr>
          <w:rFonts w:ascii="Palatino Linotype" w:hAnsi="Palatino Linotype" w:cs="Times New Roman"/>
          <w:i/>
          <w:iCs/>
          <w:sz w:val="18"/>
          <w:szCs w:val="18"/>
          <w:lang w:val="en-US"/>
        </w:rPr>
        <w:t>Temporal trend of NAO index. Negative phase (BLUE); Positive phase (Red); Black lines represent major</w:t>
      </w:r>
      <w:r w:rsidR="005F51E9" w:rsidRPr="005F51E9">
        <w:rPr>
          <w:rFonts w:ascii="Palatino Linotype" w:hAnsi="Palatino Linotype" w:cs="Times New Roman"/>
          <w:i/>
          <w:iCs/>
          <w:sz w:val="18"/>
          <w:szCs w:val="18"/>
          <w:lang w:val="en-US"/>
        </w:rPr>
        <w:t xml:space="preserve"> </w:t>
      </w:r>
      <w:r w:rsidRPr="005F51E9">
        <w:rPr>
          <w:rFonts w:ascii="Palatino Linotype" w:hAnsi="Palatino Linotype" w:cs="Times New Roman"/>
          <w:i/>
          <w:iCs/>
          <w:sz w:val="18"/>
          <w:szCs w:val="18"/>
          <w:lang w:val="en-US"/>
        </w:rPr>
        <w:t xml:space="preserve">shift in NAO Phases; Red dashed lines represent the beginning of </w:t>
      </w:r>
      <w:proofErr w:type="spellStart"/>
      <w:r w:rsidRPr="005F51E9">
        <w:rPr>
          <w:rFonts w:ascii="Palatino Linotype" w:hAnsi="Palatino Linotype" w:cs="Times New Roman"/>
          <w:i/>
          <w:iCs/>
          <w:sz w:val="18"/>
          <w:szCs w:val="18"/>
          <w:lang w:val="en-US"/>
        </w:rPr>
        <w:t>out</w:t>
      </w:r>
      <w:proofErr w:type="spellEnd"/>
      <w:r w:rsidRPr="005F51E9">
        <w:rPr>
          <w:rFonts w:ascii="Palatino Linotype" w:hAnsi="Palatino Linotype" w:cs="Times New Roman"/>
          <w:i/>
          <w:iCs/>
          <w:sz w:val="18"/>
          <w:szCs w:val="18"/>
          <w:lang w:val="en-US"/>
        </w:rPr>
        <w:t xml:space="preserve"> time series</w:t>
      </w:r>
    </w:p>
    <w:p w14:paraId="39E23A66" w14:textId="77777777" w:rsidR="002445B9" w:rsidRPr="005F51E9" w:rsidRDefault="002445B9" w:rsidP="0007197E">
      <w:pPr>
        <w:jc w:val="both"/>
        <w:rPr>
          <w:rFonts w:ascii="Palatino Linotype" w:hAnsi="Palatino Linotype"/>
          <w:sz w:val="20"/>
          <w:szCs w:val="20"/>
          <w:lang w:val="en-US"/>
        </w:rPr>
      </w:pPr>
    </w:p>
    <w:p w14:paraId="7608592E" w14:textId="77777777" w:rsidR="005C65BF" w:rsidRPr="005F51E9" w:rsidRDefault="005C65BF" w:rsidP="0007197E">
      <w:pPr>
        <w:pStyle w:val="Prrafodelista"/>
        <w:numPr>
          <w:ilvl w:val="0"/>
          <w:numId w:val="1"/>
        </w:numPr>
        <w:rPr>
          <w:rFonts w:ascii="Palatino Linotype" w:hAnsi="Palatino Linotype" w:cs="Arial"/>
          <w:lang w:val="en-GB"/>
        </w:rPr>
      </w:pPr>
      <w:r w:rsidRPr="005F51E9">
        <w:rPr>
          <w:rFonts w:ascii="Palatino Linotype" w:hAnsi="Palatino Linotype" w:cs="Arial"/>
          <w:lang w:val="en-GB"/>
        </w:rPr>
        <w:t>Prey availability</w:t>
      </w:r>
    </w:p>
    <w:p w14:paraId="39523BA3" w14:textId="19CCA551" w:rsidR="005C65BF" w:rsidRPr="005F51E9" w:rsidRDefault="005C65BF" w:rsidP="0007197E">
      <w:pPr>
        <w:jc w:val="both"/>
        <w:rPr>
          <w:rFonts w:ascii="Palatino Linotype" w:hAnsi="Palatino Linotype" w:cs="Arial"/>
          <w:sz w:val="20"/>
          <w:szCs w:val="20"/>
          <w:lang w:val="en-GB"/>
        </w:rPr>
      </w:pPr>
      <w:proofErr w:type="spellStart"/>
      <w:r w:rsidRPr="005F51E9">
        <w:rPr>
          <w:rFonts w:ascii="Palatino Linotype" w:hAnsi="Palatino Linotype" w:cs="Arial"/>
          <w:i/>
          <w:sz w:val="20"/>
          <w:szCs w:val="20"/>
          <w:lang w:val="en-GB"/>
        </w:rPr>
        <w:t>Pandalus</w:t>
      </w:r>
      <w:proofErr w:type="spellEnd"/>
      <w:r w:rsidRPr="005F51E9">
        <w:rPr>
          <w:rFonts w:ascii="Palatino Linotype" w:hAnsi="Palatino Linotype" w:cs="Arial"/>
          <w:i/>
          <w:sz w:val="20"/>
          <w:szCs w:val="20"/>
          <w:lang w:val="en-GB"/>
        </w:rPr>
        <w:t xml:space="preserve"> borealis </w:t>
      </w:r>
      <w:r w:rsidRPr="005F51E9">
        <w:rPr>
          <w:rFonts w:ascii="Palatino Linotype" w:hAnsi="Palatino Linotype" w:cs="Arial"/>
          <w:sz w:val="20"/>
          <w:szCs w:val="20"/>
          <w:lang w:val="en-GB"/>
        </w:rPr>
        <w:t xml:space="preserve">and </w:t>
      </w:r>
      <w:r w:rsidRPr="005F51E9">
        <w:rPr>
          <w:rFonts w:ascii="Palatino Linotype" w:hAnsi="Palatino Linotype" w:cs="Arial"/>
          <w:i/>
          <w:sz w:val="20"/>
          <w:szCs w:val="20"/>
          <w:lang w:val="en-GB"/>
        </w:rPr>
        <w:t>Sebastes spp</w:t>
      </w:r>
      <w:r w:rsidRPr="005F51E9">
        <w:rPr>
          <w:rFonts w:ascii="Palatino Linotype" w:hAnsi="Palatino Linotype" w:cs="Arial"/>
          <w:sz w:val="20"/>
          <w:szCs w:val="20"/>
          <w:lang w:val="en-GB"/>
        </w:rPr>
        <w:t xml:space="preserve">. have been identified as main prey for cod in Flemish Cap ecosystem </w:t>
      </w:r>
      <w:r w:rsidRPr="005F51E9">
        <w:rPr>
          <w:rFonts w:ascii="Palatino Linotype" w:hAnsi="Palatino Linotype" w:cs="Arial"/>
          <w:sz w:val="20"/>
          <w:szCs w:val="20"/>
          <w:lang w:val="en-GB"/>
        </w:rPr>
        <w:fldChar w:fldCharType="begin" w:fldLock="1"/>
      </w:r>
      <w:r w:rsidRPr="005F51E9">
        <w:rPr>
          <w:rFonts w:ascii="Palatino Linotype" w:hAnsi="Palatino Linotype" w:cs="Arial"/>
          <w:sz w:val="20"/>
          <w:szCs w:val="20"/>
          <w:lang w:val="en-GB"/>
        </w:rPr>
        <w:instrText>ADDIN CSL_CITATION {"citationItems":[{"id":"ITEM-1","itemData":{"abstract":"Jørgensen OA. (2010): Assessment of the Greenland Halibut Stock Component in NAFO Subarea 0 + Divisions 1A Offshore + Division 1B-1F. NAFO SCR Doc 10/34. Accessed at: http://archive.nafo.int/open/sc/2010/scr10-034.pdf","author":[{"dropping-particle":"","family":"Pérez-Rodríguez","given":"Alfonso","non-dropping-particle":"","parse-names":false,"suffix":""},{"dropping-particle":"","family":"Koen-Alonso","given":"Mariano","non-dropping-particle":"","parse-names":false,"suffix":""},{"dropping-particle":"","family":"González-Iglesias","given":"Concepción","non-dropping-particle":"","parse-names":false,"suffix":""},{"dropping-particle":"","family":"Saborido-Rey","given":"Fran","non-dropping-particle":"","parse-names":false,"suffix":""}],"container-title":"Nafo","id":"ITEM-1","issued":{"date-parts":[["2011"]]},"page":"1-19","title":"Analysis of common trends in the feeding habits of main demersal fish species on the Flemish Cap","type":"article-journal","volume":"NAFO SCR D"},"uris":["http://www.mendeley.com/documents/?uuid=4f505bdc-f0da-4fd0-8a34-66e1c284fca6"]}],"mendeley":{"formattedCitation":"(Pérez-Rodríguez, Koen-Alonso, González-Iglesias, &amp; Saborido-Rey, 2011)","manualFormatting":"(Pérez-Rodríguez et al. , 2011)","plainTextFormattedCitation":"(Pérez-Rodríguez, Koen-Alonso, González-Iglesias, &amp; Saborido-Rey, 2011)","previouslyFormattedCitation":"(Pérez-Rodríguez, Koen-Alonso, González-Iglesias, &amp; Saborido-Rey, 2011)"},"properties":{"noteIndex":0},"schema":"https://github.com/citation-style-language/schema/raw/master/csl-citation.json"}</w:instrText>
      </w:r>
      <w:r w:rsidRPr="005F51E9">
        <w:rPr>
          <w:rFonts w:ascii="Palatino Linotype" w:hAnsi="Palatino Linotype" w:cs="Arial"/>
          <w:sz w:val="20"/>
          <w:szCs w:val="20"/>
          <w:lang w:val="en-GB"/>
        </w:rPr>
        <w:fldChar w:fldCharType="separate"/>
      </w:r>
      <w:r w:rsidRPr="005F51E9">
        <w:rPr>
          <w:rFonts w:ascii="Palatino Linotype" w:hAnsi="Palatino Linotype" w:cs="Arial"/>
          <w:noProof/>
          <w:sz w:val="20"/>
          <w:szCs w:val="20"/>
          <w:lang w:val="en-GB"/>
        </w:rPr>
        <w:t>(Pérez-Rodríguez et al. , 2011)</w:t>
      </w:r>
      <w:r w:rsidRPr="005F51E9">
        <w:rPr>
          <w:rFonts w:ascii="Palatino Linotype" w:hAnsi="Palatino Linotype" w:cs="Arial"/>
          <w:sz w:val="20"/>
          <w:szCs w:val="20"/>
          <w:lang w:val="en-GB"/>
        </w:rPr>
        <w:fldChar w:fldCharType="end"/>
      </w:r>
      <w:r w:rsidRPr="005F51E9">
        <w:rPr>
          <w:rFonts w:ascii="Palatino Linotype" w:hAnsi="Palatino Linotype" w:cs="Arial"/>
          <w:sz w:val="20"/>
          <w:szCs w:val="20"/>
          <w:lang w:val="en-GB"/>
        </w:rPr>
        <w:t xml:space="preserve">. There is a relationship between the cod age and prey type and size. Data of </w:t>
      </w:r>
      <w:proofErr w:type="spellStart"/>
      <w:r w:rsidRPr="005F51E9">
        <w:rPr>
          <w:rFonts w:ascii="Palatino Linotype" w:hAnsi="Palatino Linotype" w:cs="Arial"/>
          <w:i/>
          <w:sz w:val="20"/>
          <w:szCs w:val="20"/>
          <w:lang w:val="en-GB"/>
        </w:rPr>
        <w:t>Pandalus</w:t>
      </w:r>
      <w:proofErr w:type="spellEnd"/>
      <w:r w:rsidRPr="005F51E9">
        <w:rPr>
          <w:rFonts w:ascii="Palatino Linotype" w:hAnsi="Palatino Linotype" w:cs="Arial"/>
          <w:sz w:val="20"/>
          <w:szCs w:val="20"/>
          <w:lang w:val="en-GB"/>
        </w:rPr>
        <w:t xml:space="preserve"> and </w:t>
      </w:r>
      <w:r w:rsidRPr="005F51E9">
        <w:rPr>
          <w:rFonts w:ascii="Palatino Linotype" w:hAnsi="Palatino Linotype" w:cs="Arial"/>
          <w:i/>
          <w:sz w:val="20"/>
          <w:szCs w:val="20"/>
          <w:lang w:val="en-GB"/>
        </w:rPr>
        <w:t>Sebastes</w:t>
      </w:r>
      <w:r w:rsidRPr="005F51E9">
        <w:rPr>
          <w:rFonts w:ascii="Palatino Linotype" w:hAnsi="Palatino Linotype" w:cs="Arial"/>
          <w:sz w:val="20"/>
          <w:szCs w:val="20"/>
          <w:lang w:val="en-GB"/>
        </w:rPr>
        <w:t xml:space="preserve"> abundance were obtained for the EU Flemish Cap surveys </w:t>
      </w:r>
      <w:r w:rsidRPr="005F51E9">
        <w:rPr>
          <w:rFonts w:ascii="Palatino Linotype" w:hAnsi="Palatino Linotype" w:cs="Arial"/>
          <w:sz w:val="20"/>
          <w:szCs w:val="20"/>
          <w:lang w:val="en-GB"/>
        </w:rPr>
        <w:fldChar w:fldCharType="begin" w:fldLock="1"/>
      </w:r>
      <w:r w:rsidRPr="005F51E9">
        <w:rPr>
          <w:rFonts w:ascii="Palatino Linotype" w:hAnsi="Palatino Linotype" w:cs="Arial"/>
          <w:sz w:val="20"/>
          <w:szCs w:val="20"/>
          <w:lang w:val="en-GB"/>
        </w:rPr>
        <w:instrText>ADDIN CSL_CITATION {"citationItems":[{"id":"ITEM-1","itemData":{"author":[{"dropping-particle":"","family":"Casas","given":"J.M","non-dropping-particle":"","parse-names":false,"suffix":""}],"container-title":"Nafo","id":"ITEM-1","issued":{"date-parts":[["2018"]]},"page":"1-19","title":"Northern Shrimp (Pandalus borealis) on the Flemish Cap Survey 2018","type":"article-journal","volume":"1999"},"uris":["http://www.mendeley.com/documents/?uuid=4d518545-e803-45ea-bb18-97771dbe8958"]}],"mendeley":{"formattedCitation":"(Casas, 2018)","manualFormatting":"(Casas, 2018)","plainTextFormattedCitation":"(Casas, 2018)","previouslyFormattedCitation":"(Casas, 2018)"},"properties":{"noteIndex":0},"schema":"https://github.com/citation-style-language/schema/raw/master/csl-citation.json"}</w:instrText>
      </w:r>
      <w:r w:rsidRPr="005F51E9">
        <w:rPr>
          <w:rFonts w:ascii="Palatino Linotype" w:hAnsi="Palatino Linotype" w:cs="Arial"/>
          <w:sz w:val="20"/>
          <w:szCs w:val="20"/>
          <w:lang w:val="en-GB"/>
        </w:rPr>
        <w:fldChar w:fldCharType="separate"/>
      </w:r>
      <w:r w:rsidRPr="005F51E9">
        <w:rPr>
          <w:rFonts w:ascii="Palatino Linotype" w:hAnsi="Palatino Linotype" w:cs="Arial"/>
          <w:noProof/>
          <w:sz w:val="20"/>
          <w:szCs w:val="20"/>
          <w:lang w:val="en-GB"/>
        </w:rPr>
        <w:t>(Casas, 2018)</w:t>
      </w:r>
      <w:r w:rsidRPr="005F51E9">
        <w:rPr>
          <w:rFonts w:ascii="Palatino Linotype" w:hAnsi="Palatino Linotype" w:cs="Arial"/>
          <w:sz w:val="20"/>
          <w:szCs w:val="20"/>
          <w:lang w:val="en-GB"/>
        </w:rPr>
        <w:fldChar w:fldCharType="end"/>
      </w:r>
      <w:r w:rsidR="002445B9" w:rsidRPr="005F51E9">
        <w:rPr>
          <w:rFonts w:ascii="Palatino Linotype" w:hAnsi="Palatino Linotype" w:cs="Arial"/>
          <w:sz w:val="20"/>
          <w:szCs w:val="20"/>
          <w:lang w:val="en-GB"/>
        </w:rPr>
        <w:t xml:space="preserve"> </w:t>
      </w:r>
      <w:r w:rsidRPr="005F51E9">
        <w:rPr>
          <w:rFonts w:ascii="Palatino Linotype" w:hAnsi="Palatino Linotype" w:cs="Arial"/>
          <w:sz w:val="20"/>
          <w:szCs w:val="20"/>
          <w:lang w:val="en-GB"/>
        </w:rPr>
        <w:t>and the relationship between cod size and prey size (</w:t>
      </w:r>
      <w:r w:rsidRPr="005F51E9">
        <w:rPr>
          <w:rFonts w:ascii="Palatino Linotype" w:hAnsi="Palatino Linotype" w:cs="Arial"/>
          <w:i/>
          <w:sz w:val="20"/>
          <w:szCs w:val="20"/>
          <w:lang w:val="en-GB"/>
        </w:rPr>
        <w:t>Sebastes</w:t>
      </w:r>
      <w:r w:rsidRPr="005F51E9">
        <w:rPr>
          <w:rFonts w:ascii="Palatino Linotype" w:hAnsi="Palatino Linotype" w:cs="Arial"/>
          <w:sz w:val="20"/>
          <w:szCs w:val="20"/>
          <w:lang w:val="en-GB"/>
        </w:rPr>
        <w:t xml:space="preserve"> </w:t>
      </w:r>
      <w:proofErr w:type="spellStart"/>
      <w:r w:rsidRPr="005F51E9">
        <w:rPr>
          <w:rFonts w:ascii="Palatino Linotype" w:hAnsi="Palatino Linotype" w:cs="Arial"/>
          <w:sz w:val="20"/>
          <w:szCs w:val="20"/>
          <w:lang w:val="en-GB"/>
        </w:rPr>
        <w:t>spp</w:t>
      </w:r>
      <w:proofErr w:type="spellEnd"/>
      <w:r w:rsidRPr="005F51E9">
        <w:rPr>
          <w:rFonts w:ascii="Palatino Linotype" w:hAnsi="Palatino Linotype" w:cs="Arial"/>
          <w:sz w:val="20"/>
          <w:szCs w:val="20"/>
          <w:lang w:val="en-GB"/>
        </w:rPr>
        <w:t xml:space="preserve">) was established using the data from the Gadget multispecies model. </w:t>
      </w:r>
      <w:proofErr w:type="spellStart"/>
      <w:r w:rsidRPr="005F51E9">
        <w:rPr>
          <w:rFonts w:ascii="Palatino Linotype" w:hAnsi="Palatino Linotype" w:cs="Arial"/>
          <w:i/>
          <w:sz w:val="20"/>
          <w:szCs w:val="20"/>
          <w:lang w:val="en-GB"/>
        </w:rPr>
        <w:t>Pandalus</w:t>
      </w:r>
      <w:proofErr w:type="spellEnd"/>
      <w:r w:rsidRPr="005F51E9">
        <w:rPr>
          <w:rFonts w:ascii="Palatino Linotype" w:hAnsi="Palatino Linotype" w:cs="Arial"/>
          <w:i/>
          <w:sz w:val="20"/>
          <w:szCs w:val="20"/>
          <w:lang w:val="en-GB"/>
        </w:rPr>
        <w:t xml:space="preserve"> </w:t>
      </w:r>
      <w:r w:rsidRPr="005F51E9">
        <w:rPr>
          <w:rFonts w:ascii="Palatino Linotype" w:hAnsi="Palatino Linotype" w:cs="Arial"/>
          <w:sz w:val="20"/>
          <w:szCs w:val="20"/>
          <w:lang w:val="en-GB"/>
        </w:rPr>
        <w:t xml:space="preserve">is predated by all cod age-classes. In the case of </w:t>
      </w:r>
      <w:r w:rsidRPr="005F51E9">
        <w:rPr>
          <w:rFonts w:ascii="Palatino Linotype" w:hAnsi="Palatino Linotype" w:cs="Arial"/>
          <w:i/>
          <w:sz w:val="20"/>
          <w:szCs w:val="20"/>
          <w:lang w:val="en-GB"/>
        </w:rPr>
        <w:t>Sebastes</w:t>
      </w:r>
      <w:r w:rsidRPr="005F51E9">
        <w:rPr>
          <w:rFonts w:ascii="Palatino Linotype" w:hAnsi="Palatino Linotype" w:cs="Arial"/>
          <w:sz w:val="20"/>
          <w:szCs w:val="20"/>
          <w:lang w:val="en-GB"/>
        </w:rPr>
        <w:t xml:space="preserve">, a predator-prey size relationship was reported, as cod of year 1 and 2 do not feed on </w:t>
      </w:r>
      <w:r w:rsidRPr="005F51E9">
        <w:rPr>
          <w:rFonts w:ascii="Palatino Linotype" w:hAnsi="Palatino Linotype" w:cs="Arial"/>
          <w:i/>
          <w:sz w:val="20"/>
          <w:szCs w:val="20"/>
          <w:lang w:val="en-GB"/>
        </w:rPr>
        <w:t>Sebastes</w:t>
      </w:r>
      <w:r w:rsidRPr="005F51E9">
        <w:rPr>
          <w:rFonts w:ascii="Palatino Linotype" w:hAnsi="Palatino Linotype" w:cs="Arial"/>
          <w:sz w:val="20"/>
          <w:szCs w:val="20"/>
          <w:lang w:val="en-GB"/>
        </w:rPr>
        <w:t xml:space="preserve"> and a cod cannot eat </w:t>
      </w:r>
      <w:r w:rsidRPr="005F51E9">
        <w:rPr>
          <w:rFonts w:ascii="Palatino Linotype" w:hAnsi="Palatino Linotype" w:cs="Arial"/>
          <w:i/>
          <w:sz w:val="20"/>
          <w:szCs w:val="20"/>
          <w:lang w:val="en-GB"/>
        </w:rPr>
        <w:t>Sebastes</w:t>
      </w:r>
      <w:r w:rsidRPr="005F51E9">
        <w:rPr>
          <w:rFonts w:ascii="Palatino Linotype" w:hAnsi="Palatino Linotype" w:cs="Arial"/>
          <w:sz w:val="20"/>
          <w:szCs w:val="20"/>
          <w:lang w:val="en-GB"/>
        </w:rPr>
        <w:t xml:space="preserve"> bigger than its own size </w:t>
      </w:r>
      <w:r w:rsidRPr="005F51E9">
        <w:rPr>
          <w:rFonts w:ascii="Palatino Linotype" w:hAnsi="Palatino Linotype" w:cs="Arial"/>
          <w:sz w:val="20"/>
          <w:szCs w:val="20"/>
          <w:lang w:val="en-GB"/>
        </w:rPr>
        <w:fldChar w:fldCharType="begin" w:fldLock="1"/>
      </w:r>
      <w:r w:rsidRPr="005F51E9">
        <w:rPr>
          <w:rFonts w:ascii="Palatino Linotype" w:hAnsi="Palatino Linotype" w:cs="Arial"/>
          <w:sz w:val="20"/>
          <w:szCs w:val="20"/>
          <w:lang w:val="en-GB"/>
        </w:rPr>
        <w:instrText>ADDIN CSL_CITATION {"citationItems":[{"id":"ITEM-1","itemData":{"author":[{"dropping-particle":"","family":"Pérez-Rodríguez","given":"Alfonso","non-dropping-particle":"","parse-names":false,"suffix":""},{"dropping-particle":"","family":"Howell","given":"D","non-dropping-particle":"","parse-names":false,"suffix":""},{"dropping-particle":"","family":"Casas","given":"M","non-dropping-particle":"","parse-names":false,"suffix":""},{"dropping-particle":"","family":"Saborido-Rey","given":"Fran","non-dropping-particle":"","parse-names":false,"suffix":""},{"dropping-particle":"","family":"Ávila-de Melo","given":"Antonio","non-dropping-particle":"","parse-names":false,"suffix":""},{"dropping-particle":"","family":"González-Costas","given":"Fernando","non-dropping-particle":"","parse-names":false,"suffix":""},{"dropping-particle":"","family":"González-Troncoso","given":"Diana","non-dropping-particle":"","parse-names":false,"suffix":""}],"container-title":"NAFO Scientific Council Studies","id":"ITEM-1","issued":{"date-parts":[["2016"]]},"page":"1-36","title":"GadCap: A GADGET multispecies model for the Flemish Cap cod, redfish and shrimp","type":"article-journal","volume":"16/35"},"uris":["http://www.mendeley.com/documents/?uuid=9b198f11-01d5-464b-aca3-6d53dbb7c8ec"]}],"mendeley":{"formattedCitation":"(Pérez-Rodríguez et al., 2016)","plainTextFormattedCitation":"(Pérez-Rodríguez et al., 2016)","previouslyFormattedCitation":"(Pérez-Rodríguez et al., 2016)"},"properties":{"noteIndex":0},"schema":"https://github.com/citation-style-language/schema/raw/master/csl-citation.json"}</w:instrText>
      </w:r>
      <w:r w:rsidRPr="005F51E9">
        <w:rPr>
          <w:rFonts w:ascii="Palatino Linotype" w:hAnsi="Palatino Linotype" w:cs="Arial"/>
          <w:sz w:val="20"/>
          <w:szCs w:val="20"/>
          <w:lang w:val="en-GB"/>
        </w:rPr>
        <w:fldChar w:fldCharType="separate"/>
      </w:r>
      <w:r w:rsidRPr="005F51E9">
        <w:rPr>
          <w:rFonts w:ascii="Palatino Linotype" w:hAnsi="Palatino Linotype" w:cs="Arial"/>
          <w:noProof/>
          <w:sz w:val="20"/>
          <w:szCs w:val="20"/>
          <w:lang w:val="en-GB"/>
        </w:rPr>
        <w:t>(Pérez-Rodríguez et al., 2016)</w:t>
      </w:r>
      <w:r w:rsidRPr="005F51E9">
        <w:rPr>
          <w:rFonts w:ascii="Palatino Linotype" w:hAnsi="Palatino Linotype" w:cs="Arial"/>
          <w:sz w:val="20"/>
          <w:szCs w:val="20"/>
          <w:lang w:val="en-GB"/>
        </w:rPr>
        <w:fldChar w:fldCharType="end"/>
      </w:r>
      <w:r w:rsidRPr="005F51E9">
        <w:rPr>
          <w:rFonts w:ascii="Palatino Linotype" w:hAnsi="Palatino Linotype" w:cs="Arial"/>
          <w:sz w:val="20"/>
          <w:szCs w:val="20"/>
          <w:lang w:val="en-GB"/>
        </w:rPr>
        <w:t>. To account for this predator-prey relationship, we have estimated the redfish biomass that is a potential prey for each cod age-class. First, we estimated the cod mean size at-age using the reported annual age-length key</w:t>
      </w:r>
      <w:r w:rsidR="0050524A" w:rsidRPr="005F51E9">
        <w:rPr>
          <w:rFonts w:ascii="Palatino Linotype" w:hAnsi="Palatino Linotype" w:cs="Arial"/>
          <w:sz w:val="20"/>
          <w:szCs w:val="20"/>
          <w:lang w:val="en-GB"/>
        </w:rPr>
        <w:t xml:space="preserve"> (Figure 5).</w:t>
      </w:r>
      <w:r w:rsidRPr="005F51E9">
        <w:rPr>
          <w:rFonts w:ascii="Palatino Linotype" w:hAnsi="Palatino Linotype" w:cs="Arial"/>
          <w:sz w:val="20"/>
          <w:szCs w:val="20"/>
          <w:lang w:val="en-GB"/>
        </w:rPr>
        <w:t xml:space="preserve"> Second, the predator-prey (cod-</w:t>
      </w:r>
      <w:r w:rsidRPr="005F51E9">
        <w:rPr>
          <w:rFonts w:ascii="Palatino Linotype" w:hAnsi="Palatino Linotype" w:cs="Arial"/>
          <w:i/>
          <w:sz w:val="20"/>
          <w:szCs w:val="20"/>
          <w:lang w:val="en-GB"/>
        </w:rPr>
        <w:t>Sebastes</w:t>
      </w:r>
      <w:r w:rsidRPr="005F51E9">
        <w:rPr>
          <w:rFonts w:ascii="Palatino Linotype" w:hAnsi="Palatino Linotype" w:cs="Arial"/>
          <w:sz w:val="20"/>
          <w:szCs w:val="20"/>
          <w:lang w:val="en-GB"/>
        </w:rPr>
        <w:t>) size relationship was calculated by fitting a linear regression using length data from the Gadget multispecies model (Pérez-Rodríguez, unpublished)</w:t>
      </w:r>
      <w:r w:rsidR="0050524A" w:rsidRPr="005F51E9">
        <w:rPr>
          <w:rFonts w:ascii="Palatino Linotype" w:hAnsi="Palatino Linotype" w:cs="Arial"/>
          <w:sz w:val="20"/>
          <w:szCs w:val="20"/>
          <w:lang w:val="en-GB"/>
        </w:rPr>
        <w:t xml:space="preserve"> (Figure 6)</w:t>
      </w:r>
      <w:r w:rsidRPr="005F51E9">
        <w:rPr>
          <w:rFonts w:ascii="Palatino Linotype" w:hAnsi="Palatino Linotype" w:cs="Arial"/>
          <w:sz w:val="20"/>
          <w:szCs w:val="20"/>
          <w:lang w:val="en-GB"/>
        </w:rPr>
        <w:t xml:space="preserve">. This allowed to estimate the preferred </w:t>
      </w:r>
      <w:r w:rsidRPr="005F51E9">
        <w:rPr>
          <w:rFonts w:ascii="Palatino Linotype" w:hAnsi="Palatino Linotype" w:cs="Arial"/>
          <w:i/>
          <w:sz w:val="20"/>
          <w:szCs w:val="20"/>
          <w:lang w:val="en-GB"/>
        </w:rPr>
        <w:t>Sebastes</w:t>
      </w:r>
      <w:r w:rsidRPr="005F51E9">
        <w:rPr>
          <w:rFonts w:ascii="Palatino Linotype" w:hAnsi="Palatino Linotype" w:cs="Arial"/>
          <w:sz w:val="20"/>
          <w:szCs w:val="20"/>
          <w:lang w:val="en-GB"/>
        </w:rPr>
        <w:t xml:space="preserve"> size range for each cod size (age). Finally, the </w:t>
      </w:r>
      <w:r w:rsidRPr="005F51E9">
        <w:rPr>
          <w:rFonts w:ascii="Palatino Linotype" w:hAnsi="Palatino Linotype" w:cs="Arial"/>
          <w:i/>
          <w:sz w:val="20"/>
          <w:szCs w:val="20"/>
          <w:lang w:val="en-GB"/>
        </w:rPr>
        <w:t>Sebastes</w:t>
      </w:r>
      <w:r w:rsidRPr="005F51E9">
        <w:rPr>
          <w:rFonts w:ascii="Palatino Linotype" w:hAnsi="Palatino Linotype" w:cs="Arial"/>
          <w:sz w:val="20"/>
          <w:szCs w:val="20"/>
          <w:lang w:val="en-GB"/>
        </w:rPr>
        <w:t xml:space="preserve"> abundance at size from the beaked redfish stock assessment was used </w:t>
      </w:r>
      <w:r w:rsidRPr="005F51E9">
        <w:rPr>
          <w:rFonts w:ascii="Palatino Linotype" w:hAnsi="Palatino Linotype" w:cs="Arial"/>
          <w:sz w:val="20"/>
          <w:szCs w:val="20"/>
          <w:lang w:val="en-GB"/>
        </w:rPr>
        <w:fldChar w:fldCharType="begin" w:fldLock="1"/>
      </w:r>
      <w:r w:rsidRPr="005F51E9">
        <w:rPr>
          <w:rFonts w:ascii="Palatino Linotype" w:hAnsi="Palatino Linotype" w:cs="Arial"/>
          <w:sz w:val="20"/>
          <w:szCs w:val="20"/>
          <w:lang w:val="en-GB"/>
        </w:rPr>
        <w:instrText>ADDIN CSL_CITATION {"citationItems":[{"id":"ITEM-1","itemData":{"author":[{"dropping-particle":"","family":"Ávila de Melo","given":"F.","non-dropping-particle":"","parse-names":false,"suffix":""},{"dropping-particle":"","family":"Saborido-Rey","given":"Fran","non-dropping-particle":"","parse-names":false,"suffix":""},{"dropping-particle":"","family":"Fabeiro","given":"M.","non-dropping-particle":"","parse-names":false,"suffix":""},{"dropping-particle":"","family":"Rábade","given":"Sonia","non-dropping-particle":"","parse-names":false,"suffix":""},{"dropping-particle":"","family":"González-Troncoso","given":"Diana","non-dropping-particle":"","parse-names":false,"suffix":""},{"dropping-particle":"","family":"González-Costas","given":"F.","non-dropping-particle":"","parse-names":false,"suffix":""},{"dropping-particle":"","family":"Pochtar","given":"M.","non-dropping-particle":"","parse-names":false,"suffix":""},{"dropping-particle":"","family":"Alpoim","given":"R.","non-dropping-particle":"","parse-names":false,"suffix":""}],"container-title":"Nafo","id":"ITEM-1","issued":{"date-parts":[["2017"]]},"page":"1-19","title":"An assessment of beaked redfish (s. mentella and s.fasciatus) in NAFO division 3M","type":"article-journal"},"uris":["http://www.mendeley.com/documents/?uuid=cdd22530-c8ac-4c70-9b5f-33bca1c9ce84"]}],"mendeley":{"formattedCitation":"(Ávila de Melo et al., 2017)","plainTextFormattedCitation":"(Ávila de Melo et al., 2017)","previouslyFormattedCitation":"(Ávila de Melo et al., 2017)"},"properties":{"noteIndex":0},"schema":"https://github.com/citation-style-language/schema/raw/master/csl-citation.json"}</w:instrText>
      </w:r>
      <w:r w:rsidRPr="005F51E9">
        <w:rPr>
          <w:rFonts w:ascii="Palatino Linotype" w:hAnsi="Palatino Linotype" w:cs="Arial"/>
          <w:sz w:val="20"/>
          <w:szCs w:val="20"/>
          <w:lang w:val="en-GB"/>
        </w:rPr>
        <w:fldChar w:fldCharType="separate"/>
      </w:r>
      <w:r w:rsidRPr="005F51E9">
        <w:rPr>
          <w:rFonts w:ascii="Palatino Linotype" w:hAnsi="Palatino Linotype" w:cs="Arial"/>
          <w:noProof/>
          <w:sz w:val="20"/>
          <w:szCs w:val="20"/>
          <w:lang w:val="en-GB"/>
        </w:rPr>
        <w:t>(Ávila de Melo et al., 2017)</w:t>
      </w:r>
      <w:r w:rsidRPr="005F51E9">
        <w:rPr>
          <w:rFonts w:ascii="Palatino Linotype" w:hAnsi="Palatino Linotype" w:cs="Arial"/>
          <w:sz w:val="20"/>
          <w:szCs w:val="20"/>
          <w:lang w:val="en-GB"/>
        </w:rPr>
        <w:fldChar w:fldCharType="end"/>
      </w:r>
      <w:r w:rsidRPr="005F51E9">
        <w:rPr>
          <w:rFonts w:ascii="Palatino Linotype" w:hAnsi="Palatino Linotype" w:cs="Arial"/>
          <w:sz w:val="20"/>
          <w:szCs w:val="20"/>
          <w:lang w:val="en-GB"/>
        </w:rPr>
        <w:t xml:space="preserve">.  </w:t>
      </w:r>
    </w:p>
    <w:p w14:paraId="5C97C160" w14:textId="3E2E9AED" w:rsidR="002445B9" w:rsidRPr="005F51E9" w:rsidRDefault="002445B9" w:rsidP="0007197E">
      <w:pPr>
        <w:jc w:val="both"/>
        <w:rPr>
          <w:rFonts w:ascii="Palatino Linotype" w:hAnsi="Palatino Linotype" w:cs="Arial"/>
          <w:sz w:val="20"/>
          <w:szCs w:val="20"/>
          <w:lang w:val="en-GB"/>
        </w:rPr>
      </w:pPr>
    </w:p>
    <w:p w14:paraId="2363D266" w14:textId="77777777" w:rsidR="0050524A" w:rsidRPr="005F51E9" w:rsidRDefault="0050524A" w:rsidP="0007197E">
      <w:pPr>
        <w:keepNext/>
        <w:jc w:val="both"/>
        <w:rPr>
          <w:rFonts w:ascii="Palatino Linotype" w:hAnsi="Palatino Linotype"/>
          <w:sz w:val="20"/>
          <w:szCs w:val="20"/>
        </w:rPr>
      </w:pPr>
      <w:r w:rsidRPr="005F51E9">
        <w:rPr>
          <w:rFonts w:ascii="Palatino Linotype" w:hAnsi="Palatino Linotype"/>
          <w:noProof/>
          <w:sz w:val="20"/>
          <w:szCs w:val="20"/>
          <w:lang w:eastAsia="es-ES"/>
        </w:rPr>
        <w:lastRenderedPageBreak/>
        <w:drawing>
          <wp:inline distT="0" distB="0" distL="0" distR="0" wp14:anchorId="569A6FF9" wp14:editId="367A01A4">
            <wp:extent cx="4960620" cy="3543300"/>
            <wp:effectExtent l="0" t="0" r="5080" b="0"/>
            <wp:docPr id="97" name="Imagen 9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cod.age-size.rel.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2159" cy="3551542"/>
                    </a:xfrm>
                    <a:prstGeom prst="rect">
                      <a:avLst/>
                    </a:prstGeom>
                  </pic:spPr>
                </pic:pic>
              </a:graphicData>
            </a:graphic>
          </wp:inline>
        </w:drawing>
      </w:r>
    </w:p>
    <w:p w14:paraId="1CFA5DE0" w14:textId="63135285" w:rsidR="0050524A" w:rsidRPr="005F51E9" w:rsidRDefault="0050524A" w:rsidP="0007197E">
      <w:pPr>
        <w:autoSpaceDE w:val="0"/>
        <w:autoSpaceDN w:val="0"/>
        <w:adjustRightInd w:val="0"/>
        <w:spacing w:after="0" w:line="240" w:lineRule="auto"/>
        <w:jc w:val="both"/>
        <w:rPr>
          <w:rFonts w:ascii="Palatino Linotype" w:hAnsi="Palatino Linotype" w:cs="Times New Roman"/>
          <w:i/>
          <w:iCs/>
          <w:sz w:val="18"/>
          <w:szCs w:val="18"/>
          <w:lang w:val="en-US"/>
        </w:rPr>
      </w:pPr>
      <w:r w:rsidRPr="005F51E9">
        <w:rPr>
          <w:rFonts w:ascii="Palatino Linotype" w:hAnsi="Palatino Linotype"/>
          <w:i/>
          <w:iCs/>
          <w:sz w:val="18"/>
          <w:szCs w:val="18"/>
          <w:lang w:val="en-US"/>
        </w:rPr>
        <w:t xml:space="preserve">Figure </w:t>
      </w:r>
      <w:r w:rsidRPr="005F51E9">
        <w:rPr>
          <w:rFonts w:ascii="Palatino Linotype" w:hAnsi="Palatino Linotype"/>
          <w:i/>
          <w:iCs/>
          <w:sz w:val="18"/>
          <w:szCs w:val="18"/>
        </w:rPr>
        <w:fldChar w:fldCharType="begin"/>
      </w:r>
      <w:r w:rsidRPr="005F51E9">
        <w:rPr>
          <w:rFonts w:ascii="Palatino Linotype" w:hAnsi="Palatino Linotype"/>
          <w:i/>
          <w:iCs/>
          <w:sz w:val="18"/>
          <w:szCs w:val="18"/>
          <w:lang w:val="en-US"/>
        </w:rPr>
        <w:instrText xml:space="preserve"> SEQ Figure \* ARABIC </w:instrText>
      </w:r>
      <w:r w:rsidRPr="005F51E9">
        <w:rPr>
          <w:rFonts w:ascii="Palatino Linotype" w:hAnsi="Palatino Linotype"/>
          <w:i/>
          <w:iCs/>
          <w:sz w:val="18"/>
          <w:szCs w:val="18"/>
        </w:rPr>
        <w:fldChar w:fldCharType="separate"/>
      </w:r>
      <w:r w:rsidR="003B2E18">
        <w:rPr>
          <w:rFonts w:ascii="Palatino Linotype" w:hAnsi="Palatino Linotype"/>
          <w:i/>
          <w:iCs/>
          <w:noProof/>
          <w:sz w:val="18"/>
          <w:szCs w:val="18"/>
          <w:lang w:val="en-US"/>
        </w:rPr>
        <w:t>5</w:t>
      </w:r>
      <w:r w:rsidRPr="005F51E9">
        <w:rPr>
          <w:rFonts w:ascii="Palatino Linotype" w:hAnsi="Palatino Linotype"/>
          <w:i/>
          <w:iCs/>
          <w:sz w:val="18"/>
          <w:szCs w:val="18"/>
        </w:rPr>
        <w:fldChar w:fldCharType="end"/>
      </w:r>
      <w:r w:rsidRPr="005F51E9">
        <w:rPr>
          <w:rFonts w:ascii="Palatino Linotype" w:hAnsi="Palatino Linotype"/>
          <w:i/>
          <w:iCs/>
          <w:sz w:val="18"/>
          <w:szCs w:val="18"/>
          <w:lang w:val="en-US"/>
        </w:rPr>
        <w:t xml:space="preserve">. </w:t>
      </w:r>
      <w:r w:rsidR="00F3305F" w:rsidRPr="005F51E9">
        <w:rPr>
          <w:rFonts w:ascii="Palatino Linotype" w:hAnsi="Palatino Linotype" w:cs="Times New Roman"/>
          <w:i/>
          <w:iCs/>
          <w:sz w:val="18"/>
          <w:szCs w:val="18"/>
          <w:lang w:val="en-US"/>
        </w:rPr>
        <w:t>Box-and-whiskers plot of size at age with lines, boxes, and whiskers representing medians, interquartile</w:t>
      </w:r>
      <w:r w:rsidR="005F51E9" w:rsidRPr="005F51E9">
        <w:rPr>
          <w:rFonts w:ascii="Palatino Linotype" w:hAnsi="Palatino Linotype" w:cs="Times New Roman"/>
          <w:i/>
          <w:iCs/>
          <w:sz w:val="18"/>
          <w:szCs w:val="18"/>
          <w:lang w:val="en-US"/>
        </w:rPr>
        <w:t xml:space="preserve"> </w:t>
      </w:r>
      <w:r w:rsidR="00F3305F" w:rsidRPr="005F51E9">
        <w:rPr>
          <w:rFonts w:ascii="Palatino Linotype" w:hAnsi="Palatino Linotype" w:cs="Times New Roman"/>
          <w:i/>
          <w:iCs/>
          <w:sz w:val="18"/>
          <w:szCs w:val="18"/>
          <w:lang w:val="en-US"/>
        </w:rPr>
        <w:t>range (IQR), and 1.5 IQR, respectively. White circles represent outliers.</w:t>
      </w:r>
    </w:p>
    <w:p w14:paraId="55752338" w14:textId="09D4EE5E" w:rsidR="0050524A" w:rsidRPr="005F51E9" w:rsidRDefault="0050524A" w:rsidP="0007197E">
      <w:pPr>
        <w:jc w:val="both"/>
        <w:rPr>
          <w:rFonts w:ascii="Palatino Linotype" w:hAnsi="Palatino Linotype"/>
          <w:sz w:val="20"/>
          <w:szCs w:val="20"/>
          <w:lang w:val="en-US"/>
        </w:rPr>
      </w:pPr>
    </w:p>
    <w:p w14:paraId="47C20D67" w14:textId="5E4A1356" w:rsidR="00F3305F" w:rsidRPr="005F51E9" w:rsidRDefault="0050524A" w:rsidP="0007197E">
      <w:pPr>
        <w:keepNext/>
        <w:jc w:val="both"/>
        <w:rPr>
          <w:rFonts w:ascii="Palatino Linotype" w:hAnsi="Palatino Linotype"/>
          <w:sz w:val="20"/>
          <w:szCs w:val="20"/>
        </w:rPr>
      </w:pPr>
      <w:r w:rsidRPr="005F51E9">
        <w:rPr>
          <w:rFonts w:ascii="Palatino Linotype" w:hAnsi="Palatino Linotype"/>
          <w:noProof/>
          <w:sz w:val="20"/>
          <w:szCs w:val="20"/>
          <w:lang w:eastAsia="es-ES"/>
        </w:rPr>
        <w:drawing>
          <wp:inline distT="0" distB="0" distL="0" distR="0" wp14:anchorId="047F3B12" wp14:editId="75C1004A">
            <wp:extent cx="5063067" cy="3797300"/>
            <wp:effectExtent l="0" t="0" r="4445" b="0"/>
            <wp:docPr id="38" name="Imagen 38"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áfico, Gráfico de dispersión&#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1860" cy="3803895"/>
                    </a:xfrm>
                    <a:prstGeom prst="rect">
                      <a:avLst/>
                    </a:prstGeom>
                  </pic:spPr>
                </pic:pic>
              </a:graphicData>
            </a:graphic>
          </wp:inline>
        </w:drawing>
      </w:r>
    </w:p>
    <w:p w14:paraId="48C94984" w14:textId="06D6A18E" w:rsidR="0050524A" w:rsidRPr="005F51E9" w:rsidRDefault="00F3305F" w:rsidP="0007197E">
      <w:pPr>
        <w:autoSpaceDE w:val="0"/>
        <w:autoSpaceDN w:val="0"/>
        <w:adjustRightInd w:val="0"/>
        <w:spacing w:after="0" w:line="240" w:lineRule="auto"/>
        <w:jc w:val="both"/>
        <w:rPr>
          <w:rFonts w:ascii="Palatino Linotype" w:hAnsi="Palatino Linotype" w:cs="Times New Roman"/>
          <w:i/>
          <w:iCs/>
          <w:sz w:val="18"/>
          <w:szCs w:val="18"/>
          <w:lang w:val="en-US"/>
        </w:rPr>
      </w:pPr>
      <w:r w:rsidRPr="005F51E9">
        <w:rPr>
          <w:rFonts w:ascii="Palatino Linotype" w:hAnsi="Palatino Linotype"/>
          <w:i/>
          <w:iCs/>
          <w:sz w:val="18"/>
          <w:szCs w:val="18"/>
          <w:lang w:val="en-US"/>
        </w:rPr>
        <w:t xml:space="preserve">Figure </w:t>
      </w:r>
      <w:r w:rsidRPr="005F51E9">
        <w:rPr>
          <w:rFonts w:ascii="Palatino Linotype" w:hAnsi="Palatino Linotype"/>
          <w:i/>
          <w:iCs/>
          <w:sz w:val="18"/>
          <w:szCs w:val="18"/>
        </w:rPr>
        <w:fldChar w:fldCharType="begin"/>
      </w:r>
      <w:r w:rsidRPr="005F51E9">
        <w:rPr>
          <w:rFonts w:ascii="Palatino Linotype" w:hAnsi="Palatino Linotype"/>
          <w:i/>
          <w:iCs/>
          <w:sz w:val="18"/>
          <w:szCs w:val="18"/>
          <w:lang w:val="en-US"/>
        </w:rPr>
        <w:instrText xml:space="preserve"> SEQ Figure \* ARABIC </w:instrText>
      </w:r>
      <w:r w:rsidRPr="005F51E9">
        <w:rPr>
          <w:rFonts w:ascii="Palatino Linotype" w:hAnsi="Palatino Linotype"/>
          <w:i/>
          <w:iCs/>
          <w:sz w:val="18"/>
          <w:szCs w:val="18"/>
        </w:rPr>
        <w:fldChar w:fldCharType="separate"/>
      </w:r>
      <w:r w:rsidR="003B2E18">
        <w:rPr>
          <w:rFonts w:ascii="Palatino Linotype" w:hAnsi="Palatino Linotype"/>
          <w:i/>
          <w:iCs/>
          <w:noProof/>
          <w:sz w:val="18"/>
          <w:szCs w:val="18"/>
          <w:lang w:val="en-US"/>
        </w:rPr>
        <w:t>6</w:t>
      </w:r>
      <w:r w:rsidRPr="005F51E9">
        <w:rPr>
          <w:rFonts w:ascii="Palatino Linotype" w:hAnsi="Palatino Linotype"/>
          <w:i/>
          <w:iCs/>
          <w:sz w:val="18"/>
          <w:szCs w:val="18"/>
        </w:rPr>
        <w:fldChar w:fldCharType="end"/>
      </w:r>
      <w:r w:rsidRPr="005F51E9">
        <w:rPr>
          <w:rFonts w:ascii="Palatino Linotype" w:hAnsi="Palatino Linotype"/>
          <w:i/>
          <w:iCs/>
          <w:sz w:val="18"/>
          <w:szCs w:val="18"/>
          <w:lang w:val="en-US"/>
        </w:rPr>
        <w:t xml:space="preserve">. </w:t>
      </w:r>
      <w:r w:rsidRPr="005F51E9">
        <w:rPr>
          <w:rFonts w:ascii="Palatino Linotype" w:hAnsi="Palatino Linotype" w:cs="Times New Roman"/>
          <w:i/>
          <w:iCs/>
          <w:sz w:val="18"/>
          <w:szCs w:val="18"/>
          <w:lang w:val="en-US"/>
        </w:rPr>
        <w:t>Cod-redfish predator- prey relationship. Adjusted R2 (Adj R2 = 0.46), Intercept = -5.99,</w:t>
      </w:r>
      <w:r w:rsidR="005F51E9">
        <w:rPr>
          <w:rFonts w:ascii="Palatino Linotype" w:hAnsi="Palatino Linotype" w:cs="Times New Roman"/>
          <w:i/>
          <w:iCs/>
          <w:sz w:val="18"/>
          <w:szCs w:val="18"/>
          <w:lang w:val="en-US"/>
        </w:rPr>
        <w:t xml:space="preserve"> </w:t>
      </w:r>
      <w:r w:rsidRPr="005F51E9">
        <w:rPr>
          <w:rFonts w:ascii="Palatino Linotype" w:hAnsi="Palatino Linotype" w:cs="Times New Roman"/>
          <w:i/>
          <w:iCs/>
          <w:sz w:val="18"/>
          <w:szCs w:val="18"/>
          <w:lang w:val="en-US"/>
        </w:rPr>
        <w:t>Slope =0.30, P&lt; 0.05)</w:t>
      </w:r>
    </w:p>
    <w:p w14:paraId="410A5F71" w14:textId="20EB5F26" w:rsidR="0050524A" w:rsidRPr="005F51E9" w:rsidRDefault="00F3305F" w:rsidP="0007197E">
      <w:pPr>
        <w:jc w:val="both"/>
        <w:rPr>
          <w:rFonts w:ascii="Palatino Linotype" w:hAnsi="Palatino Linotype"/>
          <w:sz w:val="20"/>
          <w:szCs w:val="20"/>
          <w:lang w:val="en-GB"/>
        </w:rPr>
      </w:pPr>
      <w:r w:rsidRPr="005F51E9">
        <w:rPr>
          <w:rFonts w:ascii="Palatino Linotype" w:hAnsi="Palatino Linotype"/>
          <w:noProof/>
          <w:sz w:val="20"/>
          <w:szCs w:val="20"/>
        </w:rPr>
        <w:lastRenderedPageBreak/>
        <mc:AlternateContent>
          <mc:Choice Requires="wps">
            <w:drawing>
              <wp:anchor distT="0" distB="0" distL="114300" distR="114300" simplePos="0" relativeHeight="251661312" behindDoc="0" locked="0" layoutInCell="1" allowOverlap="1" wp14:anchorId="205F5CB6" wp14:editId="71C33AB6">
                <wp:simplePos x="0" y="0"/>
                <wp:positionH relativeFrom="column">
                  <wp:posOffset>0</wp:posOffset>
                </wp:positionH>
                <wp:positionV relativeFrom="paragraph">
                  <wp:posOffset>6219190</wp:posOffset>
                </wp:positionV>
                <wp:extent cx="6244590" cy="635"/>
                <wp:effectExtent l="0" t="0" r="3810" b="12065"/>
                <wp:wrapSquare wrapText="bothSides"/>
                <wp:docPr id="2" name="Cuadro de texto 2"/>
                <wp:cNvGraphicFramePr/>
                <a:graphic xmlns:a="http://schemas.openxmlformats.org/drawingml/2006/main">
                  <a:graphicData uri="http://schemas.microsoft.com/office/word/2010/wordprocessingShape">
                    <wps:wsp>
                      <wps:cNvSpPr txBox="1"/>
                      <wps:spPr>
                        <a:xfrm>
                          <a:off x="0" y="0"/>
                          <a:ext cx="6244590" cy="635"/>
                        </a:xfrm>
                        <a:prstGeom prst="rect">
                          <a:avLst/>
                        </a:prstGeom>
                        <a:solidFill>
                          <a:prstClr val="white"/>
                        </a:solidFill>
                        <a:ln>
                          <a:noFill/>
                        </a:ln>
                      </wps:spPr>
                      <wps:txbx>
                        <w:txbxContent>
                          <w:p w14:paraId="2D363A5F" w14:textId="6F4F4FF7" w:rsidR="00F3305F" w:rsidRPr="005F51E9" w:rsidRDefault="00F3305F" w:rsidP="00F3305F">
                            <w:pPr>
                              <w:pStyle w:val="Descripcin"/>
                              <w:rPr>
                                <w:rFonts w:ascii="Palatino Linotype" w:hAnsi="Palatino Linotype"/>
                                <w:noProof/>
                                <w:color w:val="000000" w:themeColor="text1"/>
                                <w:sz w:val="22"/>
                                <w:szCs w:val="22"/>
                                <w:lang w:val="en-US" w:eastAsia="es-ES"/>
                              </w:rPr>
                            </w:pPr>
                            <w:r w:rsidRPr="005F51E9">
                              <w:rPr>
                                <w:rFonts w:ascii="Palatino Linotype" w:hAnsi="Palatino Linotype"/>
                                <w:color w:val="000000" w:themeColor="text1"/>
                                <w:lang w:val="en-US"/>
                              </w:rPr>
                              <w:t xml:space="preserve">Figure </w:t>
                            </w:r>
                            <w:r w:rsidRPr="005F51E9">
                              <w:rPr>
                                <w:rFonts w:ascii="Palatino Linotype" w:hAnsi="Palatino Linotype"/>
                                <w:color w:val="000000" w:themeColor="text1"/>
                              </w:rPr>
                              <w:fldChar w:fldCharType="begin"/>
                            </w:r>
                            <w:r w:rsidRPr="005F51E9">
                              <w:rPr>
                                <w:rFonts w:ascii="Palatino Linotype" w:hAnsi="Palatino Linotype"/>
                                <w:color w:val="000000" w:themeColor="text1"/>
                                <w:lang w:val="en-US"/>
                              </w:rPr>
                              <w:instrText xml:space="preserve"> SEQ Figure \* ARABIC </w:instrText>
                            </w:r>
                            <w:r w:rsidRPr="005F51E9">
                              <w:rPr>
                                <w:rFonts w:ascii="Palatino Linotype" w:hAnsi="Palatino Linotype"/>
                                <w:color w:val="000000" w:themeColor="text1"/>
                              </w:rPr>
                              <w:fldChar w:fldCharType="separate"/>
                            </w:r>
                            <w:r w:rsidR="003B2E18">
                              <w:rPr>
                                <w:rFonts w:ascii="Palatino Linotype" w:hAnsi="Palatino Linotype"/>
                                <w:noProof/>
                                <w:color w:val="000000" w:themeColor="text1"/>
                                <w:lang w:val="en-US"/>
                              </w:rPr>
                              <w:t>7</w:t>
                            </w:r>
                            <w:r w:rsidRPr="005F51E9">
                              <w:rPr>
                                <w:rFonts w:ascii="Palatino Linotype" w:hAnsi="Palatino Linotype"/>
                                <w:color w:val="000000" w:themeColor="text1"/>
                              </w:rPr>
                              <w:fldChar w:fldCharType="end"/>
                            </w:r>
                            <w:r w:rsidRPr="005F51E9">
                              <w:rPr>
                                <w:rFonts w:ascii="Palatino Linotype" w:hAnsi="Palatino Linotype"/>
                                <w:color w:val="000000" w:themeColor="text1"/>
                                <w:lang w:val="en-US"/>
                              </w:rPr>
                              <w:t>. Temporal trend of abundance of cod (green), Pandal</w:t>
                            </w:r>
                            <w:r w:rsidR="005F51E9">
                              <w:rPr>
                                <w:rFonts w:ascii="Palatino Linotype" w:hAnsi="Palatino Linotype"/>
                                <w:color w:val="000000" w:themeColor="text1"/>
                                <w:lang w:val="en-US"/>
                              </w:rPr>
                              <w:t>us borealis</w:t>
                            </w:r>
                            <w:r w:rsidRPr="005F51E9">
                              <w:rPr>
                                <w:rFonts w:ascii="Palatino Linotype" w:hAnsi="Palatino Linotype"/>
                                <w:color w:val="000000" w:themeColor="text1"/>
                                <w:lang w:val="en-US"/>
                              </w:rPr>
                              <w:t>s (purple) and Sebastes</w:t>
                            </w:r>
                            <w:r w:rsidR="005F51E9">
                              <w:rPr>
                                <w:rFonts w:ascii="Palatino Linotype" w:hAnsi="Palatino Linotype"/>
                                <w:color w:val="000000" w:themeColor="text1"/>
                                <w:lang w:val="en-US"/>
                              </w:rPr>
                              <w:t xml:space="preserve"> mantella and fasciatus</w:t>
                            </w:r>
                            <w:r w:rsidRPr="005F51E9">
                              <w:rPr>
                                <w:rFonts w:ascii="Palatino Linotype" w:hAnsi="Palatino Linotype"/>
                                <w:color w:val="000000" w:themeColor="text1"/>
                                <w:lang w:val="en-US"/>
                              </w:rPr>
                              <w:t xml:space="preserve"> (red).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5F5CB6" id="_x0000_t202" coordsize="21600,21600" o:spt="202" path="m,l,21600r21600,l21600,xe">
                <v:stroke joinstyle="miter"/>
                <v:path gradientshapeok="t" o:connecttype="rect"/>
              </v:shapetype>
              <v:shape id="Cuadro de texto 2" o:spid="_x0000_s1026" type="#_x0000_t202" style="position:absolute;left:0;text-align:left;margin-left:0;margin-top:489.7pt;width:491.7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" stroked="f">
                <v:textbox style="mso-fit-shape-to-text:t" inset="0,0,0,0">
                  <w:txbxContent>
                    <w:p w14:paraId="2D363A5F" w14:textId="6F4F4FF7" w:rsidR="00F3305F" w:rsidRPr="005F51E9" w:rsidRDefault="00F3305F" w:rsidP="00F3305F">
                      <w:pPr>
                        <w:pStyle w:val="Descripcin"/>
                        <w:rPr>
                          <w:rFonts w:ascii="Palatino Linotype" w:hAnsi="Palatino Linotype"/>
                          <w:noProof/>
                          <w:color w:val="000000" w:themeColor="text1"/>
                          <w:sz w:val="22"/>
                          <w:szCs w:val="22"/>
                          <w:lang w:val="en-US" w:eastAsia="es-ES"/>
                        </w:rPr>
                      </w:pPr>
                      <w:r w:rsidRPr="005F51E9">
                        <w:rPr>
                          <w:rFonts w:ascii="Palatino Linotype" w:hAnsi="Palatino Linotype"/>
                          <w:color w:val="000000" w:themeColor="text1"/>
                          <w:lang w:val="en-US"/>
                        </w:rPr>
                        <w:t xml:space="preserve">Figure </w:t>
                      </w:r>
                      <w:r w:rsidRPr="005F51E9">
                        <w:rPr>
                          <w:rFonts w:ascii="Palatino Linotype" w:hAnsi="Palatino Linotype"/>
                          <w:color w:val="000000" w:themeColor="text1"/>
                        </w:rPr>
                        <w:fldChar w:fldCharType="begin"/>
                      </w:r>
                      <w:r w:rsidRPr="005F51E9">
                        <w:rPr>
                          <w:rFonts w:ascii="Palatino Linotype" w:hAnsi="Palatino Linotype"/>
                          <w:color w:val="000000" w:themeColor="text1"/>
                          <w:lang w:val="en-US"/>
                        </w:rPr>
                        <w:instrText xml:space="preserve"> SEQ Figure \* ARABIC </w:instrText>
                      </w:r>
                      <w:r w:rsidRPr="005F51E9">
                        <w:rPr>
                          <w:rFonts w:ascii="Palatino Linotype" w:hAnsi="Palatino Linotype"/>
                          <w:color w:val="000000" w:themeColor="text1"/>
                        </w:rPr>
                        <w:fldChar w:fldCharType="separate"/>
                      </w:r>
                      <w:r w:rsidR="003B2E18">
                        <w:rPr>
                          <w:rFonts w:ascii="Palatino Linotype" w:hAnsi="Palatino Linotype"/>
                          <w:noProof/>
                          <w:color w:val="000000" w:themeColor="text1"/>
                          <w:lang w:val="en-US"/>
                        </w:rPr>
                        <w:t>7</w:t>
                      </w:r>
                      <w:r w:rsidRPr="005F51E9">
                        <w:rPr>
                          <w:rFonts w:ascii="Palatino Linotype" w:hAnsi="Palatino Linotype"/>
                          <w:color w:val="000000" w:themeColor="text1"/>
                        </w:rPr>
                        <w:fldChar w:fldCharType="end"/>
                      </w:r>
                      <w:r w:rsidRPr="005F51E9">
                        <w:rPr>
                          <w:rFonts w:ascii="Palatino Linotype" w:hAnsi="Palatino Linotype"/>
                          <w:color w:val="000000" w:themeColor="text1"/>
                          <w:lang w:val="en-US"/>
                        </w:rPr>
                        <w:t>. Temporal trend of abundance of cod (green), Pandal</w:t>
                      </w:r>
                      <w:r w:rsidR="005F51E9">
                        <w:rPr>
                          <w:rFonts w:ascii="Palatino Linotype" w:hAnsi="Palatino Linotype"/>
                          <w:color w:val="000000" w:themeColor="text1"/>
                          <w:lang w:val="en-US"/>
                        </w:rPr>
                        <w:t>us borealis</w:t>
                      </w:r>
                      <w:r w:rsidRPr="005F51E9">
                        <w:rPr>
                          <w:rFonts w:ascii="Palatino Linotype" w:hAnsi="Palatino Linotype"/>
                          <w:color w:val="000000" w:themeColor="text1"/>
                          <w:lang w:val="en-US"/>
                        </w:rPr>
                        <w:t>s (purple) and Sebastes</w:t>
                      </w:r>
                      <w:r w:rsidR="005F51E9">
                        <w:rPr>
                          <w:rFonts w:ascii="Palatino Linotype" w:hAnsi="Palatino Linotype"/>
                          <w:color w:val="000000" w:themeColor="text1"/>
                          <w:lang w:val="en-US"/>
                        </w:rPr>
                        <w:t xml:space="preserve"> mantella and fasciatus</w:t>
                      </w:r>
                      <w:r w:rsidRPr="005F51E9">
                        <w:rPr>
                          <w:rFonts w:ascii="Palatino Linotype" w:hAnsi="Palatino Linotype"/>
                          <w:color w:val="000000" w:themeColor="text1"/>
                          <w:lang w:val="en-US"/>
                        </w:rPr>
                        <w:t xml:space="preserve"> (red).</w:t>
                      </w:r>
                    </w:p>
                  </w:txbxContent>
                </v:textbox>
                <w10:wrap type="square"/>
              </v:shape>
            </w:pict>
          </mc:Fallback>
        </mc:AlternateContent>
      </w:r>
      <w:r w:rsidRPr="005F51E9">
        <w:rPr>
          <w:rFonts w:ascii="Palatino Linotype" w:hAnsi="Palatino Linotype"/>
          <w:noProof/>
          <w:sz w:val="20"/>
          <w:szCs w:val="20"/>
          <w:lang w:eastAsia="es-ES"/>
        </w:rPr>
        <w:drawing>
          <wp:anchor distT="0" distB="0" distL="114300" distR="114300" simplePos="0" relativeHeight="251659264" behindDoc="0" locked="0" layoutInCell="1" allowOverlap="1" wp14:anchorId="533D0355" wp14:editId="705D9CE3">
            <wp:simplePos x="0" y="0"/>
            <wp:positionH relativeFrom="column">
              <wp:posOffset>-457200</wp:posOffset>
            </wp:positionH>
            <wp:positionV relativeFrom="paragraph">
              <wp:posOffset>1759585</wp:posOffset>
            </wp:positionV>
            <wp:extent cx="6249854" cy="4464000"/>
            <wp:effectExtent l="0" t="0" r="0" b="0"/>
            <wp:wrapSquare wrapText="bothSides"/>
            <wp:docPr id="47" name="Imagen 4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magen que contiene Interfaz de usuario gráfic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49854" cy="4464000"/>
                    </a:xfrm>
                    <a:prstGeom prst="rect">
                      <a:avLst/>
                    </a:prstGeom>
                  </pic:spPr>
                </pic:pic>
              </a:graphicData>
            </a:graphic>
            <wp14:sizeRelH relativeFrom="page">
              <wp14:pctWidth>0</wp14:pctWidth>
            </wp14:sizeRelH>
            <wp14:sizeRelV relativeFrom="page">
              <wp14:pctHeight>0</wp14:pctHeight>
            </wp14:sizeRelV>
          </wp:anchor>
        </w:drawing>
      </w:r>
      <w:r w:rsidR="0050524A" w:rsidRPr="005F51E9">
        <w:rPr>
          <w:rFonts w:ascii="Palatino Linotype" w:hAnsi="Palatino Linotype"/>
          <w:sz w:val="20"/>
          <w:szCs w:val="20"/>
          <w:lang w:val="en-GB"/>
        </w:rPr>
        <w:t xml:space="preserve">A final analysis </w:t>
      </w:r>
      <w:r w:rsidRPr="005F51E9">
        <w:rPr>
          <w:rFonts w:ascii="Palatino Linotype" w:hAnsi="Palatino Linotype"/>
          <w:sz w:val="20"/>
          <w:szCs w:val="20"/>
          <w:lang w:val="en-GB"/>
        </w:rPr>
        <w:t>on</w:t>
      </w:r>
      <w:r w:rsidR="0050524A" w:rsidRPr="005F51E9">
        <w:rPr>
          <w:rFonts w:ascii="Palatino Linotype" w:hAnsi="Palatino Linotype"/>
          <w:sz w:val="20"/>
          <w:szCs w:val="20"/>
          <w:lang w:val="en-GB"/>
        </w:rPr>
        <w:t xml:space="preserve"> temporal trend of cod, </w:t>
      </w:r>
      <w:proofErr w:type="spellStart"/>
      <w:r w:rsidR="0050524A" w:rsidRPr="005F51E9">
        <w:rPr>
          <w:rFonts w:ascii="Palatino Linotype" w:hAnsi="Palatino Linotype"/>
          <w:sz w:val="20"/>
          <w:szCs w:val="20"/>
          <w:lang w:val="en-GB"/>
        </w:rPr>
        <w:t>Pandalus</w:t>
      </w:r>
      <w:proofErr w:type="spellEnd"/>
      <w:r w:rsidR="0050524A" w:rsidRPr="005F51E9">
        <w:rPr>
          <w:rFonts w:ascii="Palatino Linotype" w:hAnsi="Palatino Linotype"/>
          <w:sz w:val="20"/>
          <w:szCs w:val="20"/>
          <w:lang w:val="en-GB"/>
        </w:rPr>
        <w:t xml:space="preserve"> and Sebastes abundance was carried out to understand their fluctuation and identify patterns or correlations (</w:t>
      </w:r>
      <w:r w:rsidRPr="005F51E9">
        <w:rPr>
          <w:rFonts w:ascii="Palatino Linotype" w:hAnsi="Palatino Linotype"/>
          <w:sz w:val="20"/>
          <w:szCs w:val="20"/>
          <w:lang w:val="en-GB"/>
        </w:rPr>
        <w:t>Figure 7</w:t>
      </w:r>
      <w:r w:rsidR="0050524A" w:rsidRPr="005F51E9">
        <w:rPr>
          <w:rFonts w:ascii="Palatino Linotype" w:hAnsi="Palatino Linotype"/>
          <w:sz w:val="20"/>
          <w:szCs w:val="20"/>
          <w:lang w:val="en-GB"/>
        </w:rPr>
        <w:t xml:space="preserve">). A negative correlation can be observed between cod and </w:t>
      </w:r>
      <w:proofErr w:type="spellStart"/>
      <w:r w:rsidR="0050524A" w:rsidRPr="005F51E9">
        <w:rPr>
          <w:rFonts w:ascii="Palatino Linotype" w:hAnsi="Palatino Linotype"/>
          <w:sz w:val="20"/>
          <w:szCs w:val="20"/>
          <w:lang w:val="en-GB"/>
        </w:rPr>
        <w:t>Pandalus</w:t>
      </w:r>
      <w:proofErr w:type="spellEnd"/>
      <w:r w:rsidR="0050524A" w:rsidRPr="005F51E9">
        <w:rPr>
          <w:rFonts w:ascii="Palatino Linotype" w:hAnsi="Palatino Linotype"/>
          <w:sz w:val="20"/>
          <w:szCs w:val="20"/>
          <w:lang w:val="en-GB"/>
        </w:rPr>
        <w:t xml:space="preserve">. In 1995, when abundance on cod decreased, </w:t>
      </w:r>
      <w:proofErr w:type="spellStart"/>
      <w:r w:rsidR="0050524A" w:rsidRPr="005F51E9">
        <w:rPr>
          <w:rFonts w:ascii="Palatino Linotype" w:hAnsi="Palatino Linotype"/>
          <w:sz w:val="20"/>
          <w:szCs w:val="20"/>
          <w:lang w:val="en-GB"/>
        </w:rPr>
        <w:t>Pandalus</w:t>
      </w:r>
      <w:proofErr w:type="spellEnd"/>
      <w:r w:rsidR="0050524A" w:rsidRPr="005F51E9">
        <w:rPr>
          <w:rFonts w:ascii="Palatino Linotype" w:hAnsi="Palatino Linotype"/>
          <w:sz w:val="20"/>
          <w:szCs w:val="20"/>
          <w:lang w:val="en-GB"/>
        </w:rPr>
        <w:t xml:space="preserve"> raised its abundance. The opposite trend can be observed when cod abundance increased in 2009. However, Sebastes abundance do not have a clear relationship with cod or </w:t>
      </w:r>
      <w:proofErr w:type="spellStart"/>
      <w:r w:rsidR="0050524A" w:rsidRPr="005F51E9">
        <w:rPr>
          <w:rFonts w:ascii="Palatino Linotype" w:hAnsi="Palatino Linotype"/>
          <w:sz w:val="20"/>
          <w:szCs w:val="20"/>
          <w:lang w:val="en-GB"/>
        </w:rPr>
        <w:t>Pandalus</w:t>
      </w:r>
      <w:proofErr w:type="spellEnd"/>
      <w:r w:rsidR="0050524A" w:rsidRPr="005F51E9">
        <w:rPr>
          <w:rFonts w:ascii="Palatino Linotype" w:hAnsi="Palatino Linotype"/>
          <w:sz w:val="20"/>
          <w:szCs w:val="20"/>
          <w:lang w:val="en-GB"/>
        </w:rPr>
        <w:t>. It seems that, as in cod, it was a drop in Sebastes abundances, remaining very low since 1995. In 2000, the species started to rebound until 2009, when it gradually fall again.</w:t>
      </w:r>
    </w:p>
    <w:p w14:paraId="382CB5F5" w14:textId="77777777" w:rsidR="002445B9" w:rsidRPr="005F51E9" w:rsidRDefault="002445B9" w:rsidP="0007197E">
      <w:pPr>
        <w:jc w:val="both"/>
        <w:rPr>
          <w:rFonts w:ascii="Palatino Linotype" w:hAnsi="Palatino Linotype" w:cs="Arial"/>
          <w:sz w:val="20"/>
          <w:szCs w:val="20"/>
          <w:lang w:val="en-GB"/>
        </w:rPr>
      </w:pPr>
    </w:p>
    <w:p w14:paraId="0BAF478C" w14:textId="77777777" w:rsidR="005F51E9" w:rsidRDefault="005F51E9" w:rsidP="0007197E">
      <w:pPr>
        <w:pStyle w:val="Prrafodelista"/>
        <w:tabs>
          <w:tab w:val="left" w:pos="1302"/>
        </w:tabs>
        <w:rPr>
          <w:rFonts w:ascii="Palatino Linotype" w:hAnsi="Palatino Linotype" w:cs="Arial"/>
          <w:lang w:val="en-GB"/>
        </w:rPr>
      </w:pPr>
    </w:p>
    <w:p w14:paraId="22C6B4DB" w14:textId="6A459D45" w:rsidR="005C65BF" w:rsidRPr="005F51E9" w:rsidRDefault="005C65BF" w:rsidP="0007197E">
      <w:pPr>
        <w:pStyle w:val="Prrafodelista"/>
        <w:numPr>
          <w:ilvl w:val="0"/>
          <w:numId w:val="1"/>
        </w:numPr>
        <w:tabs>
          <w:tab w:val="left" w:pos="1302"/>
        </w:tabs>
        <w:rPr>
          <w:rFonts w:ascii="Palatino Linotype" w:hAnsi="Palatino Linotype" w:cs="Arial"/>
          <w:lang w:val="en-GB"/>
        </w:rPr>
      </w:pPr>
      <w:r w:rsidRPr="005F51E9">
        <w:rPr>
          <w:rFonts w:ascii="Palatino Linotype" w:hAnsi="Palatino Linotype" w:cs="Arial"/>
          <w:lang w:val="en-GB"/>
        </w:rPr>
        <w:t>Density dependence processes</w:t>
      </w:r>
    </w:p>
    <w:p w14:paraId="3C150AD4" w14:textId="75E5BA33" w:rsidR="005C65BF" w:rsidRPr="005F51E9" w:rsidRDefault="005C65BF" w:rsidP="0007197E">
      <w:pPr>
        <w:jc w:val="both"/>
        <w:rPr>
          <w:rFonts w:ascii="Palatino Linotype" w:hAnsi="Palatino Linotype" w:cs="Arial"/>
          <w:sz w:val="20"/>
          <w:szCs w:val="20"/>
          <w:lang w:val="en-GB"/>
        </w:rPr>
      </w:pPr>
      <w:r w:rsidRPr="005F51E9">
        <w:rPr>
          <w:rFonts w:ascii="Palatino Linotype" w:hAnsi="Palatino Linotype" w:cs="Arial"/>
          <w:sz w:val="20"/>
          <w:szCs w:val="20"/>
          <w:lang w:val="en-GB"/>
        </w:rPr>
        <w:t>The effect of density-dependence processes on cod growth was studied by using the abundance of cod at age</w:t>
      </w:r>
      <w:r w:rsidR="00F3305F" w:rsidRPr="005F51E9">
        <w:rPr>
          <w:rFonts w:ascii="Palatino Linotype" w:hAnsi="Palatino Linotype" w:cs="Arial"/>
          <w:sz w:val="20"/>
          <w:szCs w:val="20"/>
          <w:lang w:val="en-GB"/>
        </w:rPr>
        <w:t>.</w:t>
      </w:r>
      <w:r w:rsidRPr="005F51E9">
        <w:rPr>
          <w:rFonts w:ascii="Palatino Linotype" w:hAnsi="Palatino Linotype" w:cs="Arial"/>
          <w:sz w:val="20"/>
          <w:szCs w:val="20"/>
          <w:lang w:val="en-GB"/>
        </w:rPr>
        <w:t xml:space="preserve"> The abundance of cod at age reflects the degree of competition between individuals of the same age, that inhabit at the same depth and prey on the same resources. Abundance at age comes from the EU bottom trawl survey </w:t>
      </w:r>
      <w:r w:rsidRPr="005F51E9">
        <w:rPr>
          <w:rFonts w:ascii="Palatino Linotype" w:hAnsi="Palatino Linotype" w:cs="Arial"/>
          <w:sz w:val="20"/>
          <w:szCs w:val="20"/>
          <w:lang w:val="en-GB"/>
        </w:rPr>
        <w:fldChar w:fldCharType="begin" w:fldLock="1"/>
      </w:r>
      <w:r w:rsidRPr="005F51E9">
        <w:rPr>
          <w:rFonts w:ascii="Palatino Linotype" w:hAnsi="Palatino Linotype" w:cs="Arial"/>
          <w:sz w:val="20"/>
          <w:szCs w:val="20"/>
          <w:lang w:val="en-GB"/>
        </w:rPr>
        <w:instrText>ADDIN CSL_CITATION {"citationItems":[{"id":"ITEM-1","itemData":{"author":[{"dropping-particle":"","family":"González-Troncoso","given":"Diana","non-dropping-particle":"","parse-names":false,"suffix":""},{"dropping-particle":"","family":"Fernández","given":"Carmen","non-dropping-particle":"","parse-names":false,"suffix":""},{"dropping-particle":"","family":"González-Costas","given":"Fernando","non-dropping-particle":"","parse-names":false,"suffix":""}],"container-title":"NAFO Scientific Council Studies","id":"ITEM-1","issue":"June","issued":{"date-parts":[["2018"]]},"page":"1-19","title":"Assessment of the Cod Stock in NAFO Division 3M","type":"article-journal","volume":"42"},"uris":["http://www.mendeley.com/documents/?uuid=12ec52d2-4d64-489d-8ff4-59c3a20e3540"]}],"mendeley":{"formattedCitation":"(González-Troncoso et al., 2018)","plainTextFormattedCitation":"(González-Troncoso et al., 2018)","previouslyFormattedCitation":"(González-Troncoso et al., 2018)"},"properties":{"noteIndex":0},"schema":"https://github.com/citation-style-language/schema/raw/master/csl-citation.json"}</w:instrText>
      </w:r>
      <w:r w:rsidRPr="005F51E9">
        <w:rPr>
          <w:rFonts w:ascii="Palatino Linotype" w:hAnsi="Palatino Linotype" w:cs="Arial"/>
          <w:sz w:val="20"/>
          <w:szCs w:val="20"/>
          <w:lang w:val="en-GB"/>
        </w:rPr>
        <w:fldChar w:fldCharType="separate"/>
      </w:r>
      <w:r w:rsidRPr="005F51E9">
        <w:rPr>
          <w:rFonts w:ascii="Palatino Linotype" w:hAnsi="Palatino Linotype" w:cs="Arial"/>
          <w:noProof/>
          <w:sz w:val="20"/>
          <w:szCs w:val="20"/>
          <w:lang w:val="en-GB"/>
        </w:rPr>
        <w:t>(González-Troncoso et al., 2018)</w:t>
      </w:r>
      <w:r w:rsidRPr="005F51E9">
        <w:rPr>
          <w:rFonts w:ascii="Palatino Linotype" w:hAnsi="Palatino Linotype" w:cs="Arial"/>
          <w:sz w:val="20"/>
          <w:szCs w:val="20"/>
          <w:lang w:val="en-GB"/>
        </w:rPr>
        <w:fldChar w:fldCharType="end"/>
      </w:r>
      <w:r w:rsidR="00F3305F" w:rsidRPr="005F51E9">
        <w:rPr>
          <w:rFonts w:ascii="Palatino Linotype" w:hAnsi="Palatino Linotype" w:cs="Arial"/>
          <w:sz w:val="20"/>
          <w:szCs w:val="20"/>
          <w:lang w:val="en-GB"/>
        </w:rPr>
        <w:t xml:space="preserve"> (Figure 8</w:t>
      </w:r>
      <w:r w:rsidR="001F582C" w:rsidRPr="005F51E9">
        <w:rPr>
          <w:rFonts w:ascii="Palatino Linotype" w:hAnsi="Palatino Linotype" w:cs="Arial"/>
          <w:sz w:val="20"/>
          <w:szCs w:val="20"/>
          <w:lang w:val="en-GB"/>
        </w:rPr>
        <w:t>).</w:t>
      </w:r>
      <w:r w:rsidRPr="005F51E9">
        <w:rPr>
          <w:rFonts w:ascii="Palatino Linotype" w:hAnsi="Palatino Linotype" w:cs="Arial"/>
          <w:sz w:val="20"/>
          <w:szCs w:val="20"/>
          <w:lang w:val="en-GB"/>
        </w:rPr>
        <w:t xml:space="preserve"> </w:t>
      </w:r>
    </w:p>
    <w:p w14:paraId="7444ECBF" w14:textId="227D1385" w:rsidR="00F3305F" w:rsidRPr="005F51E9" w:rsidRDefault="001F582C" w:rsidP="0007197E">
      <w:pPr>
        <w:pStyle w:val="NormalWeb"/>
        <w:rPr>
          <w:rFonts w:ascii="Palatino Linotype" w:hAnsi="Palatino Linotype" w:cstheme="minorHAnsi"/>
          <w:lang w:val="en-GB"/>
        </w:rPr>
      </w:pPr>
      <w:r w:rsidRPr="005F51E9">
        <w:rPr>
          <w:rFonts w:ascii="Palatino Linotype" w:hAnsi="Palatino Linotype" w:cstheme="minorHAnsi"/>
          <w:lang w:val="en-GB"/>
        </w:rPr>
        <w:t xml:space="preserve">As mentioned before, the monitored and assessment of cod in Flemish Cap started when the stock showed problems in its abundance. Therefore, the abundance of cod when the stock was healthy is not known. However, it is clear that it was a drop in cod abundance in 1994 that persist until 2009. Then, a remarkable rise on abundance took place, reaching 60,000 thousands in 2011.  </w:t>
      </w:r>
      <w:r w:rsidRPr="005F51E9">
        <w:rPr>
          <w:rFonts w:ascii="Palatino Linotype" w:hAnsi="Palatino Linotype" w:cstheme="minorHAnsi"/>
          <w:lang w:val="en-GB"/>
        </w:rPr>
        <w:lastRenderedPageBreak/>
        <w:t>Finally, abundance falls again to levels below 10,000 thousands (Figure 7-First plot). An extra analysis of cob abundance at age was carried out to understand which age class was contributing the most to the abundance (Figure 8</w:t>
      </w:r>
      <w:r w:rsidRPr="005F51E9">
        <w:rPr>
          <w:rFonts w:ascii="Palatino Linotype" w:hAnsi="Palatino Linotype" w:cstheme="minorHAnsi"/>
          <w:lang w:val="en-GB"/>
        </w:rPr>
        <w:fldChar w:fldCharType="begin"/>
      </w:r>
      <w:r w:rsidRPr="005F51E9">
        <w:rPr>
          <w:rFonts w:ascii="Palatino Linotype" w:hAnsi="Palatino Linotype" w:cstheme="minorHAnsi"/>
          <w:lang w:val="en-GB"/>
        </w:rPr>
        <w:instrText xml:space="preserve"> REF _Ref9082083 \h </w:instrText>
      </w:r>
      <w:r w:rsidR="005F51E9" w:rsidRPr="005F51E9">
        <w:rPr>
          <w:rFonts w:ascii="Palatino Linotype" w:hAnsi="Palatino Linotype" w:cstheme="minorHAnsi"/>
          <w:lang w:val="en-GB"/>
        </w:rPr>
        <w:instrText xml:space="preserve"> \* MERGEFORMAT </w:instrText>
      </w:r>
      <w:r w:rsidRPr="005F51E9">
        <w:rPr>
          <w:rFonts w:ascii="Palatino Linotype" w:hAnsi="Palatino Linotype" w:cstheme="minorHAnsi"/>
          <w:lang w:val="en-GB"/>
        </w:rPr>
      </w:r>
      <w:r w:rsidRPr="005F51E9">
        <w:rPr>
          <w:rFonts w:ascii="Palatino Linotype" w:hAnsi="Palatino Linotype" w:cstheme="minorHAnsi"/>
          <w:lang w:val="en-GB"/>
        </w:rPr>
        <w:fldChar w:fldCharType="end"/>
      </w:r>
      <w:r w:rsidRPr="005F51E9">
        <w:rPr>
          <w:rFonts w:ascii="Palatino Linotype" w:hAnsi="Palatino Linotype" w:cstheme="minorHAnsi"/>
          <w:lang w:val="en-GB"/>
        </w:rPr>
        <w:t>). This graph shows that age 1 and 2 are the main contributors to cod abundance and responsible of the peak observed in 2011.</w:t>
      </w:r>
    </w:p>
    <w:p w14:paraId="17236035" w14:textId="77777777" w:rsidR="00F3305F" w:rsidRPr="005F51E9" w:rsidRDefault="00F3305F" w:rsidP="0007197E">
      <w:pPr>
        <w:keepNext/>
        <w:jc w:val="both"/>
        <w:rPr>
          <w:rFonts w:ascii="Palatino Linotype" w:hAnsi="Palatino Linotype"/>
          <w:sz w:val="20"/>
          <w:szCs w:val="20"/>
        </w:rPr>
      </w:pPr>
      <w:r w:rsidRPr="005F51E9">
        <w:rPr>
          <w:rFonts w:ascii="Palatino Linotype" w:hAnsi="Palatino Linotype" w:cs="Arial"/>
          <w:noProof/>
          <w:sz w:val="20"/>
          <w:szCs w:val="20"/>
          <w:lang w:val="en-GB"/>
        </w:rPr>
        <w:drawing>
          <wp:inline distT="0" distB="0" distL="0" distR="0" wp14:anchorId="02668124" wp14:editId="6849BA36">
            <wp:extent cx="5396230" cy="5396230"/>
            <wp:effectExtent l="0" t="0" r="1270" b="1270"/>
            <wp:docPr id="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pic:cNvPicPr/>
                  </pic:nvPicPr>
                  <pic:blipFill>
                    <a:blip r:embed="rId12"/>
                    <a:stretch>
                      <a:fillRect/>
                    </a:stretch>
                  </pic:blipFill>
                  <pic:spPr>
                    <a:xfrm>
                      <a:off x="0" y="0"/>
                      <a:ext cx="5396230" cy="5396230"/>
                    </a:xfrm>
                    <a:prstGeom prst="rect">
                      <a:avLst/>
                    </a:prstGeom>
                  </pic:spPr>
                </pic:pic>
              </a:graphicData>
            </a:graphic>
          </wp:inline>
        </w:drawing>
      </w:r>
    </w:p>
    <w:p w14:paraId="430EB6A1" w14:textId="5FA7D941" w:rsidR="005C65BF" w:rsidRDefault="00F3305F" w:rsidP="0007197E">
      <w:pPr>
        <w:pStyle w:val="Descripcin"/>
        <w:jc w:val="center"/>
        <w:rPr>
          <w:rFonts w:ascii="Palatino Linotype" w:hAnsi="Palatino Linotype"/>
          <w:color w:val="000000" w:themeColor="text1"/>
          <w:lang w:val="en-US"/>
        </w:rPr>
      </w:pPr>
      <w:r w:rsidRPr="0007197E">
        <w:rPr>
          <w:rFonts w:ascii="Palatino Linotype" w:hAnsi="Palatino Linotype"/>
          <w:color w:val="000000" w:themeColor="text1"/>
          <w:lang w:val="en-US"/>
        </w:rPr>
        <w:t xml:space="preserve">Figure </w:t>
      </w:r>
      <w:r w:rsidRPr="0007197E">
        <w:rPr>
          <w:rFonts w:ascii="Palatino Linotype" w:hAnsi="Palatino Linotype"/>
          <w:color w:val="000000" w:themeColor="text1"/>
        </w:rPr>
        <w:fldChar w:fldCharType="begin"/>
      </w:r>
      <w:r w:rsidRPr="0007197E">
        <w:rPr>
          <w:rFonts w:ascii="Palatino Linotype" w:hAnsi="Palatino Linotype"/>
          <w:color w:val="000000" w:themeColor="text1"/>
          <w:lang w:val="en-US"/>
        </w:rPr>
        <w:instrText xml:space="preserve"> SEQ Figure \* ARABIC </w:instrText>
      </w:r>
      <w:r w:rsidRPr="0007197E">
        <w:rPr>
          <w:rFonts w:ascii="Palatino Linotype" w:hAnsi="Palatino Linotype"/>
          <w:color w:val="000000" w:themeColor="text1"/>
        </w:rPr>
        <w:fldChar w:fldCharType="separate"/>
      </w:r>
      <w:r w:rsidR="003B2E18">
        <w:rPr>
          <w:rFonts w:ascii="Palatino Linotype" w:hAnsi="Palatino Linotype"/>
          <w:noProof/>
          <w:color w:val="000000" w:themeColor="text1"/>
          <w:lang w:val="en-US"/>
        </w:rPr>
        <w:t>8</w:t>
      </w:r>
      <w:r w:rsidRPr="0007197E">
        <w:rPr>
          <w:rFonts w:ascii="Palatino Linotype" w:hAnsi="Palatino Linotype"/>
          <w:color w:val="000000" w:themeColor="text1"/>
        </w:rPr>
        <w:fldChar w:fldCharType="end"/>
      </w:r>
      <w:r w:rsidRPr="0007197E">
        <w:rPr>
          <w:rFonts w:ascii="Palatino Linotype" w:hAnsi="Palatino Linotype"/>
          <w:color w:val="000000" w:themeColor="text1"/>
          <w:lang w:val="en-US"/>
        </w:rPr>
        <w:t>. Temporal trend of cod abundance at age</w:t>
      </w:r>
    </w:p>
    <w:p w14:paraId="665CC663" w14:textId="77777777" w:rsidR="0007197E" w:rsidRPr="0007197E" w:rsidRDefault="0007197E" w:rsidP="0007197E">
      <w:pPr>
        <w:jc w:val="both"/>
        <w:rPr>
          <w:lang w:val="en-US"/>
        </w:rPr>
      </w:pPr>
    </w:p>
    <w:p w14:paraId="26811C3A" w14:textId="77777777" w:rsidR="005C65BF" w:rsidRPr="005F51E9" w:rsidRDefault="005C65BF" w:rsidP="0007197E">
      <w:pPr>
        <w:pStyle w:val="Prrafodelista"/>
        <w:numPr>
          <w:ilvl w:val="0"/>
          <w:numId w:val="1"/>
        </w:numPr>
        <w:tabs>
          <w:tab w:val="left" w:pos="1302"/>
        </w:tabs>
        <w:rPr>
          <w:rFonts w:ascii="Palatino Linotype" w:hAnsi="Palatino Linotype" w:cs="Arial"/>
          <w:lang w:val="en-GB"/>
        </w:rPr>
      </w:pPr>
      <w:r w:rsidRPr="005F51E9">
        <w:rPr>
          <w:rFonts w:ascii="Palatino Linotype" w:hAnsi="Palatino Linotype" w:cs="Arial"/>
          <w:lang w:val="en-GB"/>
        </w:rPr>
        <w:t>Fishing Mortality</w:t>
      </w:r>
    </w:p>
    <w:p w14:paraId="42249976" w14:textId="7E88FA4E" w:rsidR="005C65BF" w:rsidRPr="005F51E9" w:rsidRDefault="005C65BF" w:rsidP="0007197E">
      <w:pPr>
        <w:jc w:val="both"/>
        <w:rPr>
          <w:rFonts w:ascii="Palatino Linotype" w:hAnsi="Palatino Linotype" w:cs="Arial"/>
          <w:sz w:val="20"/>
          <w:szCs w:val="20"/>
          <w:lang w:val="en-GB"/>
        </w:rPr>
      </w:pPr>
      <w:r w:rsidRPr="005F51E9">
        <w:rPr>
          <w:rFonts w:ascii="Palatino Linotype" w:hAnsi="Palatino Linotype" w:cs="Arial"/>
          <w:sz w:val="20"/>
          <w:szCs w:val="20"/>
          <w:lang w:val="en-GB"/>
        </w:rPr>
        <w:t>Annual  fishing mortality at age was obtained from the last stock assessment model performed,</w:t>
      </w:r>
      <w:r w:rsidRPr="005F51E9" w:rsidDel="004644F3">
        <w:rPr>
          <w:rFonts w:ascii="Palatino Linotype" w:hAnsi="Palatino Linotype" w:cs="Arial"/>
          <w:sz w:val="20"/>
          <w:szCs w:val="20"/>
          <w:lang w:val="en-GB"/>
        </w:rPr>
        <w:t xml:space="preserve"> </w:t>
      </w:r>
      <w:r w:rsidRPr="005F51E9">
        <w:rPr>
          <w:rFonts w:ascii="Palatino Linotype" w:hAnsi="Palatino Linotype" w:cs="Arial"/>
          <w:sz w:val="20"/>
          <w:szCs w:val="20"/>
          <w:lang w:val="en-GB"/>
        </w:rPr>
        <w:t xml:space="preserve">which used Bayesian methods </w:t>
      </w:r>
      <w:r w:rsidRPr="005F51E9">
        <w:rPr>
          <w:rFonts w:ascii="Palatino Linotype" w:hAnsi="Palatino Linotype" w:cs="Arial"/>
          <w:sz w:val="20"/>
          <w:szCs w:val="20"/>
          <w:lang w:val="en-GB"/>
        </w:rPr>
        <w:fldChar w:fldCharType="begin" w:fldLock="1"/>
      </w:r>
      <w:r w:rsidRPr="005F51E9">
        <w:rPr>
          <w:rFonts w:ascii="Palatino Linotype" w:hAnsi="Palatino Linotype" w:cs="Arial"/>
          <w:sz w:val="20"/>
          <w:szCs w:val="20"/>
          <w:lang w:val="en-GB"/>
        </w:rPr>
        <w:instrText>ADDIN CSL_CITATION {"citationItems":[{"id":"ITEM-1","itemData":{"author":[{"dropping-particle":"","family":"González-Troncoso","given":"Diana","non-dropping-particle":"","parse-names":false,"suffix":""},{"dropping-particle":"","family":"Fernández","given":"Carmen","non-dropping-particle":"","parse-names":false,"suffix":""},{"dropping-particle":"","family":"González-Costas","given":"Fernando","non-dropping-particle":"","parse-names":false,"suffix":""}],"container-title":"NAFO Scientific Council Studies","id":"ITEM-1","issue":"June","issued":{"date-parts":[["2018"]]},"page":"1-19","title":"Assessment of the Cod Stock in NAFO Division 3M","type":"article-journal","volume":"42"},"uris":["http://www.mendeley.com/documents/?uuid=12ec52d2-4d64-489d-8ff4-59c3a20e3540"]}],"mendeley":{"formattedCitation":"(González-Troncoso et al., 2018)","plainTextFormattedCitation":"(González-Troncoso et al., 2018)","previouslyFormattedCitation":"(González-Troncoso et al., 2018)"},"properties":{"noteIndex":0},"schema":"https://github.com/citation-style-language/schema/raw/master/csl-citation.json"}</w:instrText>
      </w:r>
      <w:r w:rsidRPr="005F51E9">
        <w:rPr>
          <w:rFonts w:ascii="Palatino Linotype" w:hAnsi="Palatino Linotype" w:cs="Arial"/>
          <w:sz w:val="20"/>
          <w:szCs w:val="20"/>
          <w:lang w:val="en-GB"/>
        </w:rPr>
        <w:fldChar w:fldCharType="separate"/>
      </w:r>
      <w:r w:rsidRPr="005F51E9">
        <w:rPr>
          <w:rFonts w:ascii="Palatino Linotype" w:hAnsi="Palatino Linotype" w:cs="Arial"/>
          <w:noProof/>
          <w:sz w:val="20"/>
          <w:szCs w:val="20"/>
          <w:lang w:val="en-GB"/>
        </w:rPr>
        <w:t>(González-Troncoso et al., 2018)</w:t>
      </w:r>
      <w:r w:rsidRPr="005F51E9">
        <w:rPr>
          <w:rFonts w:ascii="Palatino Linotype" w:hAnsi="Palatino Linotype" w:cs="Arial"/>
          <w:sz w:val="20"/>
          <w:szCs w:val="20"/>
          <w:lang w:val="en-GB"/>
        </w:rPr>
        <w:fldChar w:fldCharType="end"/>
      </w:r>
      <w:r w:rsidRPr="005F51E9">
        <w:rPr>
          <w:rFonts w:ascii="Palatino Linotype" w:hAnsi="Palatino Linotype" w:cs="Arial"/>
          <w:sz w:val="20"/>
          <w:szCs w:val="20"/>
          <w:lang w:val="en-GB"/>
        </w:rPr>
        <w:t xml:space="preserve">. To test </w:t>
      </w:r>
      <w:r w:rsidR="001F582C" w:rsidRPr="005F51E9">
        <w:rPr>
          <w:rFonts w:ascii="Palatino Linotype" w:hAnsi="Palatino Linotype" w:cs="Arial"/>
          <w:sz w:val="20"/>
          <w:szCs w:val="20"/>
          <w:lang w:val="en-GB"/>
        </w:rPr>
        <w:t xml:space="preserve">for the differences between periods with different levels of fishing effort, the analysis was done for 3 periods: </w:t>
      </w:r>
      <w:proofErr w:type="spellStart"/>
      <w:r w:rsidR="001F582C" w:rsidRPr="005F51E9">
        <w:rPr>
          <w:rFonts w:ascii="Palatino Linotype" w:hAnsi="Palatino Linotype" w:cs="Arial"/>
          <w:sz w:val="20"/>
          <w:szCs w:val="20"/>
          <w:lang w:val="en-GB"/>
        </w:rPr>
        <w:t>Premoratoria</w:t>
      </w:r>
      <w:proofErr w:type="spellEnd"/>
      <w:r w:rsidR="001F582C" w:rsidRPr="005F51E9">
        <w:rPr>
          <w:rFonts w:ascii="Palatino Linotype" w:hAnsi="Palatino Linotype" w:cs="Arial"/>
          <w:sz w:val="20"/>
          <w:szCs w:val="20"/>
          <w:lang w:val="en-GB"/>
        </w:rPr>
        <w:t xml:space="preserve">: high fishing; </w:t>
      </w:r>
      <w:proofErr w:type="spellStart"/>
      <w:r w:rsidR="001F582C" w:rsidRPr="005F51E9">
        <w:rPr>
          <w:rFonts w:ascii="Palatino Linotype" w:hAnsi="Palatino Linotype" w:cs="Arial"/>
          <w:sz w:val="20"/>
          <w:szCs w:val="20"/>
          <w:lang w:val="en-GB"/>
        </w:rPr>
        <w:t>Moratorial</w:t>
      </w:r>
      <w:proofErr w:type="spellEnd"/>
      <w:r w:rsidR="001F582C" w:rsidRPr="005F51E9">
        <w:rPr>
          <w:rFonts w:ascii="Palatino Linotype" w:hAnsi="Palatino Linotype" w:cs="Arial"/>
          <w:sz w:val="20"/>
          <w:szCs w:val="20"/>
          <w:lang w:val="en-GB"/>
        </w:rPr>
        <w:t xml:space="preserve">: Very low and </w:t>
      </w:r>
      <w:proofErr w:type="spellStart"/>
      <w:r w:rsidR="001F582C" w:rsidRPr="005F51E9">
        <w:rPr>
          <w:rFonts w:ascii="Palatino Linotype" w:hAnsi="Palatino Linotype" w:cs="Arial"/>
          <w:sz w:val="20"/>
          <w:szCs w:val="20"/>
          <w:lang w:val="en-GB"/>
        </w:rPr>
        <w:t>Postmoratoria</w:t>
      </w:r>
      <w:proofErr w:type="spellEnd"/>
      <w:r w:rsidR="001F582C" w:rsidRPr="005F51E9">
        <w:rPr>
          <w:rFonts w:ascii="Palatino Linotype" w:hAnsi="Palatino Linotype" w:cs="Arial"/>
          <w:sz w:val="20"/>
          <w:szCs w:val="20"/>
          <w:lang w:val="en-GB"/>
        </w:rPr>
        <w:t xml:space="preserve">: Moderate fishing) . </w:t>
      </w:r>
    </w:p>
    <w:p w14:paraId="423291ED" w14:textId="2F0753DC" w:rsidR="008B7392" w:rsidRPr="005F51E9" w:rsidRDefault="008B7392" w:rsidP="0007197E">
      <w:pPr>
        <w:jc w:val="both"/>
        <w:rPr>
          <w:rFonts w:ascii="Palatino Linotype" w:hAnsi="Palatino Linotype"/>
          <w:sz w:val="20"/>
          <w:szCs w:val="20"/>
          <w:lang w:val="en-GB"/>
        </w:rPr>
      </w:pPr>
      <w:r w:rsidRPr="005F51E9">
        <w:rPr>
          <w:rFonts w:ascii="Palatino Linotype" w:hAnsi="Palatino Linotype"/>
          <w:sz w:val="20"/>
          <w:szCs w:val="20"/>
          <w:lang w:val="en-GB"/>
        </w:rPr>
        <w:t xml:space="preserve">Fishing is probably the anthropogenic pressure that is causing biggest changes on stocks productivity and ecosystem in general. In Flemish Cap, cod has been heavily exploited since </w:t>
      </w:r>
      <w:r w:rsidRPr="005F51E9">
        <w:rPr>
          <w:rFonts w:ascii="Palatino Linotype" w:hAnsi="Palatino Linotype"/>
          <w:sz w:val="20"/>
          <w:szCs w:val="20"/>
          <w:lang w:val="en-GB"/>
        </w:rPr>
        <w:lastRenderedPageBreak/>
        <w:t>Canada extended its exclusive economic zone (EEZ) in 1977 but, unfortunately, the stock do not started to be monitored until it began to showed deep problems in its productivity. From 1988 to 1998, fishing mortality was high for individuals older than 3 years old, reaching a mortality higher that 2.0 for the oldest individuals. However,  cod of years 1 and 2 were almost exempts. In 1999 the moratorium was stablished and the fishery was reduced to nearly 0. The fishery was newly open in 2009 showing a slightly increment on fishing mortality (around 0.35),  although it is far from the exploitation levels suffered before the collapse (</w:t>
      </w:r>
      <w:r w:rsidR="00467DF6" w:rsidRPr="005F51E9">
        <w:rPr>
          <w:rFonts w:ascii="Palatino Linotype" w:hAnsi="Palatino Linotype"/>
          <w:sz w:val="20"/>
          <w:szCs w:val="20"/>
          <w:lang w:val="en-GB"/>
        </w:rPr>
        <w:t>Figure 9</w:t>
      </w:r>
      <w:r w:rsidRPr="005F51E9">
        <w:rPr>
          <w:rFonts w:ascii="Palatino Linotype" w:hAnsi="Palatino Linotype"/>
          <w:sz w:val="20"/>
          <w:szCs w:val="20"/>
          <w:lang w:val="en-GB"/>
        </w:rPr>
        <w:t>).</w:t>
      </w:r>
    </w:p>
    <w:p w14:paraId="2BF4445A" w14:textId="77777777" w:rsidR="008B7392" w:rsidRPr="005F51E9" w:rsidRDefault="008B7392" w:rsidP="0007197E">
      <w:pPr>
        <w:keepNext/>
        <w:jc w:val="both"/>
        <w:rPr>
          <w:rFonts w:ascii="Palatino Linotype" w:hAnsi="Palatino Linotype"/>
          <w:sz w:val="20"/>
          <w:szCs w:val="20"/>
        </w:rPr>
      </w:pPr>
      <w:r w:rsidRPr="005F51E9">
        <w:rPr>
          <w:rFonts w:ascii="Palatino Linotype" w:hAnsi="Palatino Linotype"/>
          <w:noProof/>
          <w:sz w:val="20"/>
          <w:szCs w:val="20"/>
          <w:lang w:eastAsia="es-ES"/>
        </w:rPr>
        <w:drawing>
          <wp:inline distT="0" distB="0" distL="0" distR="0" wp14:anchorId="26F52BB6" wp14:editId="1B05DA6F">
            <wp:extent cx="5396230" cy="5396230"/>
            <wp:effectExtent l="0" t="0" r="1270" b="1270"/>
            <wp:docPr id="22" name="Imagen 2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230" cy="5396230"/>
                    </a:xfrm>
                    <a:prstGeom prst="rect">
                      <a:avLst/>
                    </a:prstGeom>
                  </pic:spPr>
                </pic:pic>
              </a:graphicData>
            </a:graphic>
          </wp:inline>
        </w:drawing>
      </w:r>
    </w:p>
    <w:p w14:paraId="1B6A7260" w14:textId="190B198E" w:rsidR="008B7392" w:rsidRPr="0007197E" w:rsidRDefault="008B7392" w:rsidP="0007197E">
      <w:pPr>
        <w:pStyle w:val="Descripcin"/>
        <w:jc w:val="center"/>
        <w:rPr>
          <w:rFonts w:ascii="Palatino Linotype" w:hAnsi="Palatino Linotype"/>
          <w:color w:val="000000" w:themeColor="text1"/>
          <w:lang w:val="en-GB"/>
        </w:rPr>
      </w:pPr>
      <w:r w:rsidRPr="0007197E">
        <w:rPr>
          <w:rFonts w:ascii="Palatino Linotype" w:hAnsi="Palatino Linotype"/>
          <w:color w:val="000000" w:themeColor="text1"/>
          <w:lang w:val="en-US"/>
        </w:rPr>
        <w:t xml:space="preserve">Figure </w:t>
      </w:r>
      <w:r w:rsidRPr="0007197E">
        <w:rPr>
          <w:rFonts w:ascii="Palatino Linotype" w:hAnsi="Palatino Linotype"/>
          <w:color w:val="000000" w:themeColor="text1"/>
        </w:rPr>
        <w:fldChar w:fldCharType="begin"/>
      </w:r>
      <w:r w:rsidRPr="0007197E">
        <w:rPr>
          <w:rFonts w:ascii="Palatino Linotype" w:hAnsi="Palatino Linotype"/>
          <w:color w:val="000000" w:themeColor="text1"/>
          <w:lang w:val="en-US"/>
        </w:rPr>
        <w:instrText xml:space="preserve"> SEQ Figure \* ARABIC </w:instrText>
      </w:r>
      <w:r w:rsidRPr="0007197E">
        <w:rPr>
          <w:rFonts w:ascii="Palatino Linotype" w:hAnsi="Palatino Linotype"/>
          <w:color w:val="000000" w:themeColor="text1"/>
        </w:rPr>
        <w:fldChar w:fldCharType="separate"/>
      </w:r>
      <w:r w:rsidR="003B2E18">
        <w:rPr>
          <w:rFonts w:ascii="Palatino Linotype" w:hAnsi="Palatino Linotype"/>
          <w:noProof/>
          <w:color w:val="000000" w:themeColor="text1"/>
          <w:lang w:val="en-US"/>
        </w:rPr>
        <w:t>9</w:t>
      </w:r>
      <w:r w:rsidRPr="0007197E">
        <w:rPr>
          <w:rFonts w:ascii="Palatino Linotype" w:hAnsi="Palatino Linotype"/>
          <w:color w:val="000000" w:themeColor="text1"/>
        </w:rPr>
        <w:fldChar w:fldCharType="end"/>
      </w:r>
      <w:r w:rsidRPr="0007197E">
        <w:rPr>
          <w:rFonts w:ascii="Palatino Linotype" w:hAnsi="Palatino Linotype"/>
          <w:color w:val="000000" w:themeColor="text1"/>
          <w:lang w:val="en-US"/>
        </w:rPr>
        <w:t>. Temporal trend of fishing mortality at age</w:t>
      </w:r>
    </w:p>
    <w:p w14:paraId="0A783C08" w14:textId="606CA689" w:rsidR="008B7392" w:rsidRPr="005F51E9" w:rsidRDefault="008B7392" w:rsidP="0007197E">
      <w:pPr>
        <w:jc w:val="both"/>
        <w:rPr>
          <w:rFonts w:ascii="Palatino Linotype" w:hAnsi="Palatino Linotype"/>
          <w:sz w:val="20"/>
          <w:szCs w:val="20"/>
          <w:lang w:val="en-GB"/>
        </w:rPr>
      </w:pPr>
      <w:r w:rsidRPr="005F51E9">
        <w:rPr>
          <w:rFonts w:ascii="Palatino Linotype" w:hAnsi="Palatino Linotype"/>
          <w:sz w:val="20"/>
          <w:szCs w:val="20"/>
          <w:lang w:val="en-GB"/>
        </w:rPr>
        <w:t>Cod in Flemish Cap has experienced alterations on its population performance as result of its collapse, which has been assigned to different reason (clim</w:t>
      </w:r>
      <w:r w:rsidR="00A26FB9" w:rsidRPr="005F51E9">
        <w:rPr>
          <w:rFonts w:ascii="Palatino Linotype" w:hAnsi="Palatino Linotype"/>
          <w:sz w:val="20"/>
          <w:szCs w:val="20"/>
          <w:lang w:val="en-GB"/>
        </w:rPr>
        <w:t>ate</w:t>
      </w:r>
      <w:r w:rsidRPr="005F51E9">
        <w:rPr>
          <w:rFonts w:ascii="Palatino Linotype" w:hAnsi="Palatino Linotype"/>
          <w:sz w:val="20"/>
          <w:szCs w:val="20"/>
          <w:lang w:val="en-GB"/>
        </w:rPr>
        <w:t>, fishing, seals</w:t>
      </w:r>
      <w:r w:rsidR="00A26FB9" w:rsidRPr="005F51E9">
        <w:rPr>
          <w:rFonts w:ascii="Palatino Linotype" w:hAnsi="Palatino Linotype"/>
          <w:sz w:val="20"/>
          <w:szCs w:val="20"/>
          <w:lang w:val="en-GB"/>
        </w:rPr>
        <w:t xml:space="preserve"> predation</w:t>
      </w:r>
      <w:r w:rsidRPr="005F51E9">
        <w:rPr>
          <w:rFonts w:ascii="Palatino Linotype" w:hAnsi="Palatino Linotype"/>
          <w:sz w:val="20"/>
          <w:szCs w:val="20"/>
          <w:lang w:val="en-GB"/>
        </w:rPr>
        <w:t>). One of the traits that has showed variations is age at maturity (</w:t>
      </w:r>
      <w:r w:rsidR="00A26FB9" w:rsidRPr="005F51E9">
        <w:rPr>
          <w:rFonts w:ascii="Palatino Linotype" w:hAnsi="Palatino Linotype"/>
          <w:sz w:val="20"/>
          <w:szCs w:val="20"/>
          <w:lang w:val="en-GB"/>
        </w:rPr>
        <w:t xml:space="preserve">Figure 10). </w:t>
      </w:r>
      <w:r w:rsidRPr="005F51E9">
        <w:rPr>
          <w:rFonts w:ascii="Palatino Linotype" w:hAnsi="Palatino Linotype"/>
          <w:sz w:val="20"/>
          <w:szCs w:val="20"/>
          <w:lang w:val="en-GB"/>
        </w:rPr>
        <w:t>The age at which 50% of individuals reach maturity drops from a maximum of 5.36 before the collapse to a minimum of 2.89 in 2002.</w:t>
      </w:r>
    </w:p>
    <w:p w14:paraId="406AF0BB" w14:textId="77777777" w:rsidR="008B7392" w:rsidRPr="005F51E9" w:rsidRDefault="008B7392" w:rsidP="0007197E">
      <w:pPr>
        <w:keepNext/>
        <w:jc w:val="both"/>
        <w:rPr>
          <w:rFonts w:ascii="Palatino Linotype" w:hAnsi="Palatino Linotype"/>
          <w:sz w:val="20"/>
          <w:szCs w:val="20"/>
        </w:rPr>
      </w:pPr>
      <w:r w:rsidRPr="005F51E9">
        <w:rPr>
          <w:rFonts w:ascii="Palatino Linotype" w:hAnsi="Palatino Linotype"/>
          <w:noProof/>
          <w:sz w:val="20"/>
          <w:szCs w:val="20"/>
          <w:lang w:eastAsia="es-ES"/>
        </w:rPr>
        <w:lastRenderedPageBreak/>
        <w:drawing>
          <wp:inline distT="0" distB="0" distL="0" distR="0" wp14:anchorId="2FAB4B14" wp14:editId="596C0453">
            <wp:extent cx="4948015" cy="1979473"/>
            <wp:effectExtent l="0" t="0" r="5080" b="1905"/>
            <wp:docPr id="30" name="Gráfico 30">
              <a:extLst xmlns:a="http://schemas.openxmlformats.org/drawingml/2006/main">
                <a:ext uri="{FF2B5EF4-FFF2-40B4-BE49-F238E27FC236}">
                  <a16:creationId xmlns:a16="http://schemas.microsoft.com/office/drawing/2014/main" id="{BB2FF9B3-F7F4-E840-B25C-44B770D61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BC9B3C" w14:textId="4D3F55B3" w:rsidR="008B7392" w:rsidRPr="0007197E" w:rsidRDefault="008B7392" w:rsidP="0007197E">
      <w:pPr>
        <w:pStyle w:val="Descripcin"/>
        <w:jc w:val="center"/>
        <w:rPr>
          <w:rFonts w:ascii="Palatino Linotype" w:hAnsi="Palatino Linotype" w:cs="Arial"/>
          <w:color w:val="000000" w:themeColor="text1"/>
          <w:lang w:val="en-GB"/>
        </w:rPr>
      </w:pPr>
      <w:r w:rsidRPr="0007197E">
        <w:rPr>
          <w:rFonts w:ascii="Palatino Linotype" w:hAnsi="Palatino Linotype"/>
          <w:color w:val="000000" w:themeColor="text1"/>
          <w:lang w:val="en-US"/>
        </w:rPr>
        <w:t xml:space="preserve">Figure </w:t>
      </w:r>
      <w:r w:rsidRPr="0007197E">
        <w:rPr>
          <w:rFonts w:ascii="Palatino Linotype" w:hAnsi="Palatino Linotype"/>
          <w:color w:val="000000" w:themeColor="text1"/>
        </w:rPr>
        <w:fldChar w:fldCharType="begin"/>
      </w:r>
      <w:r w:rsidRPr="0007197E">
        <w:rPr>
          <w:rFonts w:ascii="Palatino Linotype" w:hAnsi="Palatino Linotype"/>
          <w:color w:val="000000" w:themeColor="text1"/>
          <w:lang w:val="en-US"/>
        </w:rPr>
        <w:instrText xml:space="preserve"> SEQ Figure \* ARABIC </w:instrText>
      </w:r>
      <w:r w:rsidRPr="0007197E">
        <w:rPr>
          <w:rFonts w:ascii="Palatino Linotype" w:hAnsi="Palatino Linotype"/>
          <w:color w:val="000000" w:themeColor="text1"/>
        </w:rPr>
        <w:fldChar w:fldCharType="separate"/>
      </w:r>
      <w:r w:rsidR="003B2E18">
        <w:rPr>
          <w:rFonts w:ascii="Palatino Linotype" w:hAnsi="Palatino Linotype"/>
          <w:noProof/>
          <w:color w:val="000000" w:themeColor="text1"/>
          <w:lang w:val="en-US"/>
        </w:rPr>
        <w:t>10</w:t>
      </w:r>
      <w:r w:rsidRPr="0007197E">
        <w:rPr>
          <w:rFonts w:ascii="Palatino Linotype" w:hAnsi="Palatino Linotype"/>
          <w:color w:val="000000" w:themeColor="text1"/>
        </w:rPr>
        <w:fldChar w:fldCharType="end"/>
      </w:r>
      <w:r w:rsidRPr="0007197E">
        <w:rPr>
          <w:rFonts w:ascii="Palatino Linotype" w:hAnsi="Palatino Linotype"/>
          <w:color w:val="000000" w:themeColor="text1"/>
          <w:lang w:val="en-US"/>
        </w:rPr>
        <w:t>. Temporal trend of age at which 50% of the population reach maturity (a50)</w:t>
      </w:r>
    </w:p>
    <w:p w14:paraId="6485A174" w14:textId="77777777" w:rsidR="009B691D" w:rsidRDefault="009B691D" w:rsidP="0007197E">
      <w:pPr>
        <w:jc w:val="both"/>
        <w:rPr>
          <w:rFonts w:ascii="Palatino Linotype" w:hAnsi="Palatino Linotype"/>
          <w:sz w:val="20"/>
          <w:szCs w:val="20"/>
          <w:lang w:val="en-GB"/>
        </w:rPr>
      </w:pPr>
    </w:p>
    <w:p w14:paraId="2B9F8681" w14:textId="1CBF4F95" w:rsidR="009B691D" w:rsidRPr="009B691D" w:rsidRDefault="009B691D" w:rsidP="0007197E">
      <w:pPr>
        <w:jc w:val="both"/>
        <w:rPr>
          <w:rFonts w:ascii="Palatino Linotype" w:hAnsi="Palatino Linotype"/>
          <w:b/>
          <w:bCs/>
          <w:sz w:val="20"/>
          <w:szCs w:val="20"/>
          <w:lang w:val="en-GB"/>
        </w:rPr>
      </w:pPr>
      <w:r w:rsidRPr="009B691D">
        <w:rPr>
          <w:rFonts w:ascii="Palatino Linotype" w:hAnsi="Palatino Linotype"/>
          <w:b/>
          <w:bCs/>
          <w:sz w:val="20"/>
          <w:szCs w:val="20"/>
          <w:lang w:val="en-GB"/>
        </w:rPr>
        <w:t>Thermal window of the Flemish Cap cod.</w:t>
      </w:r>
    </w:p>
    <w:p w14:paraId="3B56A886" w14:textId="497FA454" w:rsidR="009B691D" w:rsidRDefault="009B691D" w:rsidP="0007197E">
      <w:pPr>
        <w:jc w:val="both"/>
        <w:rPr>
          <w:rFonts w:ascii="Palatino Linotype" w:hAnsi="Palatino Linotype"/>
          <w:sz w:val="20"/>
          <w:szCs w:val="20"/>
          <w:lang w:val="en-GB"/>
        </w:rPr>
      </w:pPr>
      <w:r>
        <w:rPr>
          <w:rFonts w:ascii="Palatino Linotype" w:hAnsi="Palatino Linotype"/>
          <w:sz w:val="20"/>
          <w:szCs w:val="20"/>
          <w:lang w:val="en-GB"/>
        </w:rPr>
        <w:t>An additional analysis to assess the</w:t>
      </w:r>
      <w:r w:rsidR="00A03E7C">
        <w:rPr>
          <w:rFonts w:ascii="Palatino Linotype" w:hAnsi="Palatino Linotype"/>
          <w:sz w:val="20"/>
          <w:szCs w:val="20"/>
          <w:lang w:val="en-GB"/>
        </w:rPr>
        <w:t xml:space="preserve"> optimum</w:t>
      </w:r>
      <w:r>
        <w:rPr>
          <w:rFonts w:ascii="Palatino Linotype" w:hAnsi="Palatino Linotype"/>
          <w:sz w:val="20"/>
          <w:szCs w:val="20"/>
          <w:lang w:val="en-GB"/>
        </w:rPr>
        <w:t xml:space="preserve"> t</w:t>
      </w:r>
      <w:r w:rsidR="00A03E7C">
        <w:rPr>
          <w:rFonts w:ascii="Palatino Linotype" w:hAnsi="Palatino Linotype"/>
          <w:sz w:val="20"/>
          <w:szCs w:val="20"/>
          <w:lang w:val="en-GB"/>
        </w:rPr>
        <w:t>hermal</w:t>
      </w:r>
      <w:r>
        <w:rPr>
          <w:rFonts w:ascii="Palatino Linotype" w:hAnsi="Palatino Linotype"/>
          <w:sz w:val="20"/>
          <w:szCs w:val="20"/>
          <w:lang w:val="en-GB"/>
        </w:rPr>
        <w:t xml:space="preserve"> window of </w:t>
      </w:r>
      <w:r w:rsidR="00A03E7C">
        <w:rPr>
          <w:rFonts w:ascii="Palatino Linotype" w:hAnsi="Palatino Linotype"/>
          <w:sz w:val="20"/>
          <w:szCs w:val="20"/>
          <w:lang w:val="en-GB"/>
        </w:rPr>
        <w:t xml:space="preserve"> cod of the </w:t>
      </w:r>
      <w:r>
        <w:rPr>
          <w:rFonts w:ascii="Palatino Linotype" w:hAnsi="Palatino Linotype"/>
          <w:sz w:val="20"/>
          <w:szCs w:val="20"/>
          <w:lang w:val="en-GB"/>
        </w:rPr>
        <w:t xml:space="preserve">Flemish Cap was </w:t>
      </w:r>
      <w:r w:rsidR="00A03E7C">
        <w:rPr>
          <w:rFonts w:ascii="Palatino Linotype" w:hAnsi="Palatino Linotype"/>
          <w:sz w:val="20"/>
          <w:szCs w:val="20"/>
          <w:lang w:val="en-GB"/>
        </w:rPr>
        <w:t>performed</w:t>
      </w:r>
      <w:r>
        <w:rPr>
          <w:rFonts w:ascii="Palatino Linotype" w:hAnsi="Palatino Linotype"/>
          <w:sz w:val="20"/>
          <w:szCs w:val="20"/>
          <w:lang w:val="en-GB"/>
        </w:rPr>
        <w:t>, using the</w:t>
      </w:r>
      <w:r w:rsidR="00A03E7C">
        <w:rPr>
          <w:rFonts w:ascii="Palatino Linotype" w:hAnsi="Palatino Linotype"/>
          <w:sz w:val="20"/>
          <w:szCs w:val="20"/>
          <w:lang w:val="en-GB"/>
        </w:rPr>
        <w:t xml:space="preserve"> full data series</w:t>
      </w:r>
      <w:r>
        <w:rPr>
          <w:rFonts w:ascii="Palatino Linotype" w:hAnsi="Palatino Linotype"/>
          <w:sz w:val="20"/>
          <w:szCs w:val="20"/>
          <w:lang w:val="en-GB"/>
        </w:rPr>
        <w:t xml:space="preserve"> </w:t>
      </w:r>
      <w:r w:rsidR="00A03E7C">
        <w:rPr>
          <w:rFonts w:ascii="Palatino Linotype" w:hAnsi="Palatino Linotype"/>
          <w:sz w:val="20"/>
          <w:szCs w:val="20"/>
          <w:lang w:val="en-GB"/>
        </w:rPr>
        <w:t xml:space="preserve">and study the effect of bottom temperature on the master chronology (i.e. without splitting the database by periods). Hence, we include all the temperature variability observed registered in the region from 1988 to 2016 (Figure 1). </w:t>
      </w:r>
    </w:p>
    <w:p w14:paraId="008D8B72" w14:textId="77777777" w:rsidR="00A03E7C" w:rsidRDefault="009B691D" w:rsidP="00A03E7C">
      <w:pPr>
        <w:keepNext/>
        <w:jc w:val="both"/>
      </w:pPr>
      <w:r w:rsidRPr="009B691D">
        <w:rPr>
          <w:rFonts w:ascii="Palatino Linotype" w:hAnsi="Palatino Linotype"/>
          <w:noProof/>
          <w:sz w:val="20"/>
          <w:szCs w:val="20"/>
          <w:lang w:val="en-GB"/>
        </w:rPr>
        <w:drawing>
          <wp:inline distT="0" distB="0" distL="0" distR="0" wp14:anchorId="751D5E99" wp14:editId="4B145865">
            <wp:extent cx="5396230" cy="3539067"/>
            <wp:effectExtent l="0" t="0" r="1270" b="4445"/>
            <wp:docPr id="4" name="Imagen 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líneas&#10;&#10;Descripción generada automáticamente"/>
                    <pic:cNvPicPr/>
                  </pic:nvPicPr>
                  <pic:blipFill rotWithShape="1">
                    <a:blip r:embed="rId15"/>
                    <a:srcRect b="2136"/>
                    <a:stretch/>
                  </pic:blipFill>
                  <pic:spPr bwMode="auto">
                    <a:xfrm>
                      <a:off x="0" y="0"/>
                      <a:ext cx="5396230" cy="3539067"/>
                    </a:xfrm>
                    <a:prstGeom prst="rect">
                      <a:avLst/>
                    </a:prstGeom>
                    <a:ln>
                      <a:noFill/>
                    </a:ln>
                    <a:extLst>
                      <a:ext uri="{53640926-AAD7-44D8-BBD7-CCE9431645EC}">
                        <a14:shadowObscured xmlns:a14="http://schemas.microsoft.com/office/drawing/2010/main"/>
                      </a:ext>
                    </a:extLst>
                  </pic:spPr>
                </pic:pic>
              </a:graphicData>
            </a:graphic>
          </wp:inline>
        </w:drawing>
      </w:r>
    </w:p>
    <w:p w14:paraId="7291256F" w14:textId="06B9F1CE" w:rsidR="009B691D" w:rsidRDefault="00A03E7C" w:rsidP="00A03E7C">
      <w:pPr>
        <w:pStyle w:val="Descripcin"/>
        <w:jc w:val="center"/>
        <w:rPr>
          <w:lang w:val="en-US"/>
        </w:rPr>
      </w:pPr>
      <w:r w:rsidRPr="00A03E7C">
        <w:rPr>
          <w:lang w:val="en-US"/>
        </w:rPr>
        <w:t xml:space="preserve">Figure </w:t>
      </w:r>
      <w:r>
        <w:fldChar w:fldCharType="begin"/>
      </w:r>
      <w:r w:rsidRPr="00A03E7C">
        <w:rPr>
          <w:lang w:val="en-US"/>
        </w:rPr>
        <w:instrText xml:space="preserve"> SEQ Figure \* ARABIC </w:instrText>
      </w:r>
      <w:r>
        <w:fldChar w:fldCharType="separate"/>
      </w:r>
      <w:r w:rsidR="003B2E18">
        <w:rPr>
          <w:noProof/>
          <w:lang w:val="en-US"/>
        </w:rPr>
        <w:t>11</w:t>
      </w:r>
      <w:r>
        <w:fldChar w:fldCharType="end"/>
      </w:r>
      <w:r w:rsidRPr="00A03E7C">
        <w:rPr>
          <w:lang w:val="en-US"/>
        </w:rPr>
        <w:t xml:space="preserve">. Predicted </w:t>
      </w:r>
      <w:proofErr w:type="spellStart"/>
      <w:r w:rsidRPr="00A03E7C">
        <w:rPr>
          <w:lang w:val="en-US"/>
        </w:rPr>
        <w:t>anual</w:t>
      </w:r>
      <w:proofErr w:type="spellEnd"/>
      <w:r w:rsidRPr="00A03E7C">
        <w:rPr>
          <w:lang w:val="en-US"/>
        </w:rPr>
        <w:t xml:space="preserve"> growth variation </w:t>
      </w:r>
      <w:proofErr w:type="spellStart"/>
      <w:r w:rsidRPr="00A03E7C">
        <w:rPr>
          <w:lang w:val="en-US"/>
        </w:rPr>
        <w:t>drived</w:t>
      </w:r>
      <w:proofErr w:type="spellEnd"/>
      <w:r w:rsidRPr="00A03E7C">
        <w:rPr>
          <w:lang w:val="en-US"/>
        </w:rPr>
        <w:t xml:space="preserve"> by bottom temperature</w:t>
      </w:r>
    </w:p>
    <w:p w14:paraId="2E845ED0" w14:textId="27362CC1" w:rsidR="003B2E18" w:rsidRDefault="003B2E18" w:rsidP="003B2E18">
      <w:pPr>
        <w:rPr>
          <w:lang w:val="en-US"/>
        </w:rPr>
      </w:pPr>
    </w:p>
    <w:p w14:paraId="57D2A4B3" w14:textId="77777777" w:rsidR="003B2E18" w:rsidRDefault="003B2E18" w:rsidP="003B2E18">
      <w:pPr>
        <w:rPr>
          <w:lang w:val="en-US"/>
        </w:rPr>
      </w:pPr>
    </w:p>
    <w:p w14:paraId="33A407A2" w14:textId="77777777" w:rsidR="003B2E18" w:rsidRDefault="003B2E18" w:rsidP="003B2E18">
      <w:pPr>
        <w:rPr>
          <w:lang w:val="en-US"/>
        </w:rPr>
      </w:pPr>
    </w:p>
    <w:p w14:paraId="645F9DC3" w14:textId="0B45B5B3" w:rsidR="003B2E18" w:rsidRPr="003B2E18" w:rsidRDefault="003B2E18" w:rsidP="003B2E18">
      <w:pPr>
        <w:rPr>
          <w:b/>
          <w:bCs/>
          <w:lang w:val="en-US"/>
        </w:rPr>
      </w:pPr>
      <w:r w:rsidRPr="003B2E18">
        <w:rPr>
          <w:b/>
          <w:bCs/>
          <w:lang w:val="en-US"/>
        </w:rPr>
        <w:lastRenderedPageBreak/>
        <w:t xml:space="preserve">Cod size and otolith </w:t>
      </w:r>
      <w:r w:rsidR="00437D3C" w:rsidRPr="003B2E18">
        <w:rPr>
          <w:b/>
          <w:bCs/>
          <w:lang w:val="en-US"/>
        </w:rPr>
        <w:t>radius</w:t>
      </w:r>
      <w:r w:rsidRPr="003B2E18">
        <w:rPr>
          <w:b/>
          <w:bCs/>
          <w:lang w:val="en-US"/>
        </w:rPr>
        <w:t xml:space="preserve"> relationship</w:t>
      </w:r>
    </w:p>
    <w:p w14:paraId="6C4784B1" w14:textId="77777777" w:rsidR="003B2E18" w:rsidRDefault="003B2E18" w:rsidP="003B2E18">
      <w:pPr>
        <w:keepNext/>
      </w:pPr>
      <w:r>
        <w:rPr>
          <w:rFonts w:ascii="Palatino Linotype" w:hAnsi="Palatino Linotype"/>
          <w:noProof/>
          <w:sz w:val="20"/>
          <w:szCs w:val="20"/>
        </w:rPr>
        <w:drawing>
          <wp:inline distT="0" distB="0" distL="0" distR="0" wp14:anchorId="2280BABB" wp14:editId="1E33FBF4">
            <wp:extent cx="5396230" cy="3620135"/>
            <wp:effectExtent l="0" t="0" r="1270" b="0"/>
            <wp:docPr id="5" name="Imagen 5"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dispersión&#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396230" cy="3620135"/>
                    </a:xfrm>
                    <a:prstGeom prst="rect">
                      <a:avLst/>
                    </a:prstGeom>
                  </pic:spPr>
                </pic:pic>
              </a:graphicData>
            </a:graphic>
          </wp:inline>
        </w:drawing>
      </w:r>
    </w:p>
    <w:p w14:paraId="05F463C2" w14:textId="6333673F" w:rsidR="003B2E18" w:rsidRPr="003B2E18" w:rsidRDefault="003B2E18" w:rsidP="003B2E18">
      <w:pPr>
        <w:pStyle w:val="Descripcin"/>
        <w:rPr>
          <w:lang w:val="en-US"/>
        </w:rPr>
      </w:pPr>
      <w:r w:rsidRPr="003B2E18">
        <w:rPr>
          <w:lang w:val="en-US"/>
        </w:rPr>
        <w:t xml:space="preserve">Figure </w:t>
      </w:r>
      <w:r>
        <w:fldChar w:fldCharType="begin"/>
      </w:r>
      <w:r w:rsidRPr="003B2E18">
        <w:rPr>
          <w:lang w:val="en-US"/>
        </w:rPr>
        <w:instrText xml:space="preserve"> SEQ Figure \* ARABIC </w:instrText>
      </w:r>
      <w:r>
        <w:fldChar w:fldCharType="separate"/>
      </w:r>
      <w:r w:rsidRPr="003B2E18">
        <w:rPr>
          <w:noProof/>
          <w:lang w:val="en-US"/>
        </w:rPr>
        <w:t>12</w:t>
      </w:r>
      <w:r>
        <w:fldChar w:fldCharType="end"/>
      </w:r>
      <w:r w:rsidRPr="003B2E18">
        <w:rPr>
          <w:lang w:val="en-US"/>
        </w:rPr>
        <w:t>. Figure 6. Cod</w:t>
      </w:r>
      <w:r>
        <w:rPr>
          <w:lang w:val="en-US"/>
        </w:rPr>
        <w:t xml:space="preserve"> size- otolith radius size</w:t>
      </w:r>
      <w:r w:rsidRPr="003B2E18">
        <w:rPr>
          <w:lang w:val="en-US"/>
        </w:rPr>
        <w:t xml:space="preserve"> relationship. Adjusted R2 (Adj R2 = 0.4</w:t>
      </w:r>
      <w:r>
        <w:rPr>
          <w:lang w:val="en-US"/>
        </w:rPr>
        <w:t>3</w:t>
      </w:r>
      <w:r w:rsidRPr="003B2E18">
        <w:rPr>
          <w:lang w:val="en-US"/>
        </w:rPr>
        <w:t xml:space="preserve">), Intercept = </w:t>
      </w:r>
      <w:r>
        <w:rPr>
          <w:lang w:val="en-US"/>
        </w:rPr>
        <w:t>2.11</w:t>
      </w:r>
      <w:r w:rsidRPr="003B2E18">
        <w:rPr>
          <w:lang w:val="en-US"/>
        </w:rPr>
        <w:t>, Slope =0.</w:t>
      </w:r>
      <w:r>
        <w:rPr>
          <w:lang w:val="en-US"/>
        </w:rPr>
        <w:t>0</w:t>
      </w:r>
      <w:r w:rsidRPr="003B2E18">
        <w:rPr>
          <w:lang w:val="en-US"/>
        </w:rPr>
        <w:t>3, P&lt; 0.0</w:t>
      </w:r>
      <w:r>
        <w:rPr>
          <w:lang w:val="en-US"/>
        </w:rPr>
        <w:t>1</w:t>
      </w:r>
      <w:r w:rsidRPr="003B2E18">
        <w:rPr>
          <w:lang w:val="en-US"/>
        </w:rPr>
        <w:t>)</w:t>
      </w:r>
    </w:p>
    <w:sectPr w:rsidR="003B2E18" w:rsidRPr="003B2E18" w:rsidSect="009114AF">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02068"/>
    <w:multiLevelType w:val="hybridMultilevel"/>
    <w:tmpl w:val="C816AB9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820731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5BF"/>
    <w:rsid w:val="0007197E"/>
    <w:rsid w:val="000A0023"/>
    <w:rsid w:val="000A540D"/>
    <w:rsid w:val="000E6058"/>
    <w:rsid w:val="001F582C"/>
    <w:rsid w:val="00226ACB"/>
    <w:rsid w:val="002445B9"/>
    <w:rsid w:val="002A030C"/>
    <w:rsid w:val="003B2E18"/>
    <w:rsid w:val="00437D3C"/>
    <w:rsid w:val="00467DF6"/>
    <w:rsid w:val="0050524A"/>
    <w:rsid w:val="005C65BF"/>
    <w:rsid w:val="005F51E9"/>
    <w:rsid w:val="005F659D"/>
    <w:rsid w:val="0071283A"/>
    <w:rsid w:val="0087469A"/>
    <w:rsid w:val="008B7392"/>
    <w:rsid w:val="009114AF"/>
    <w:rsid w:val="009218C5"/>
    <w:rsid w:val="009B691D"/>
    <w:rsid w:val="00A03E7C"/>
    <w:rsid w:val="00A26FB9"/>
    <w:rsid w:val="00CB41E1"/>
    <w:rsid w:val="00D21BDB"/>
    <w:rsid w:val="00F330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4A8D9"/>
  <w15:chartTrackingRefBased/>
  <w15:docId w15:val="{0607DF2B-5848-0F42-B879-429A1C7D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5BF"/>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C65BF"/>
    <w:pPr>
      <w:ind w:left="720"/>
      <w:contextualSpacing/>
      <w:jc w:val="both"/>
    </w:pPr>
    <w:rPr>
      <w:rFonts w:eastAsiaTheme="minorEastAsia"/>
      <w:sz w:val="20"/>
      <w:szCs w:val="20"/>
    </w:rPr>
  </w:style>
  <w:style w:type="character" w:styleId="Hipervnculo">
    <w:name w:val="Hyperlink"/>
    <w:basedOn w:val="Fuentedeprrafopredeter"/>
    <w:uiPriority w:val="99"/>
    <w:unhideWhenUsed/>
    <w:rsid w:val="005C65BF"/>
    <w:rPr>
      <w:color w:val="0563C1" w:themeColor="hyperlink"/>
      <w:u w:val="single"/>
    </w:rPr>
  </w:style>
  <w:style w:type="character" w:styleId="Refdecomentario">
    <w:name w:val="annotation reference"/>
    <w:basedOn w:val="Fuentedeprrafopredeter"/>
    <w:uiPriority w:val="99"/>
    <w:semiHidden/>
    <w:unhideWhenUsed/>
    <w:rsid w:val="005C65BF"/>
    <w:rPr>
      <w:sz w:val="16"/>
      <w:szCs w:val="16"/>
    </w:rPr>
  </w:style>
  <w:style w:type="paragraph" w:styleId="Textocomentario">
    <w:name w:val="annotation text"/>
    <w:basedOn w:val="Normal"/>
    <w:link w:val="TextocomentarioCar"/>
    <w:uiPriority w:val="99"/>
    <w:semiHidden/>
    <w:unhideWhenUsed/>
    <w:rsid w:val="005C65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65BF"/>
    <w:rPr>
      <w:sz w:val="20"/>
      <w:szCs w:val="20"/>
    </w:rPr>
  </w:style>
  <w:style w:type="paragraph" w:styleId="Textodeglobo">
    <w:name w:val="Balloon Text"/>
    <w:basedOn w:val="Normal"/>
    <w:link w:val="TextodegloboCar"/>
    <w:uiPriority w:val="99"/>
    <w:semiHidden/>
    <w:unhideWhenUsed/>
    <w:rsid w:val="005C65B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C65BF"/>
    <w:rPr>
      <w:rFonts w:ascii="Times New Roman" w:hAnsi="Times New Roman" w:cs="Times New Roman"/>
      <w:sz w:val="18"/>
      <w:szCs w:val="18"/>
    </w:rPr>
  </w:style>
  <w:style w:type="table" w:styleId="Tablanormal5">
    <w:name w:val="Plain Table 5"/>
    <w:basedOn w:val="Tablanormal"/>
    <w:uiPriority w:val="45"/>
    <w:rsid w:val="00226ACB"/>
    <w:pPr>
      <w:spacing w:after="200" w:line="276" w:lineRule="auto"/>
      <w:jc w:val="both"/>
    </w:pPr>
    <w:rPr>
      <w:rFonts w:eastAsiaTheme="minorEastAsia"/>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escripcin">
    <w:name w:val="caption"/>
    <w:basedOn w:val="Normal"/>
    <w:next w:val="Normal"/>
    <w:uiPriority w:val="35"/>
    <w:unhideWhenUsed/>
    <w:qFormat/>
    <w:rsid w:val="00226ACB"/>
    <w:pPr>
      <w:spacing w:line="240" w:lineRule="auto"/>
    </w:pPr>
    <w:rPr>
      <w:i/>
      <w:iCs/>
      <w:color w:val="44546A" w:themeColor="text2"/>
      <w:sz w:val="18"/>
      <w:szCs w:val="18"/>
    </w:rPr>
  </w:style>
  <w:style w:type="paragraph" w:styleId="NormalWeb">
    <w:name w:val="Normal (Web)"/>
    <w:basedOn w:val="Normal"/>
    <w:uiPriority w:val="99"/>
    <w:unhideWhenUsed/>
    <w:rsid w:val="001F582C"/>
    <w:pPr>
      <w:spacing w:before="100" w:beforeAutospacing="1" w:after="100" w:afterAutospacing="1"/>
      <w:jc w:val="both"/>
    </w:pPr>
    <w:rPr>
      <w:rFonts w:ascii="Times New Roman" w:eastAsia="Times New Roman" w:hAnsi="Times New Roman" w:cs="Times New Roman"/>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RaquelRuiz\Dropbox\Tesis%20Ma&#769;ster%20Raquel%20Ruiz\Master%20Thesis\Data\Datos_XSA_campan&#771;as\Anuales\Bio-Annual-variabl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Hoja1!$D$1</c:f>
              <c:strCache>
                <c:ptCount val="1"/>
                <c:pt idx="0">
                  <c:v>a50-XSA</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Hoja1!$A$2:$A$31</c:f>
              <c:numCache>
                <c:formatCode>General</c:formatCode>
                <c:ptCount val="30"/>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numCache>
            </c:numRef>
          </c:xVal>
          <c:yVal>
            <c:numRef>
              <c:f>Hoja1!$D$2:$D$31</c:f>
              <c:numCache>
                <c:formatCode>0.00</c:formatCode>
                <c:ptCount val="30"/>
                <c:pt idx="0">
                  <c:v>5.36</c:v>
                </c:pt>
                <c:pt idx="1">
                  <c:v>5.36</c:v>
                </c:pt>
                <c:pt idx="2">
                  <c:v>5.36</c:v>
                </c:pt>
                <c:pt idx="3">
                  <c:v>5.16</c:v>
                </c:pt>
                <c:pt idx="4">
                  <c:v>4.99</c:v>
                </c:pt>
                <c:pt idx="5">
                  <c:v>4.46</c:v>
                </c:pt>
                <c:pt idx="6">
                  <c:v>3.82</c:v>
                </c:pt>
                <c:pt idx="7">
                  <c:v>3.79</c:v>
                </c:pt>
                <c:pt idx="8">
                  <c:v>3.84</c:v>
                </c:pt>
                <c:pt idx="9">
                  <c:v>3.75</c:v>
                </c:pt>
                <c:pt idx="10">
                  <c:v>3.54</c:v>
                </c:pt>
                <c:pt idx="11">
                  <c:v>3.46</c:v>
                </c:pt>
                <c:pt idx="12">
                  <c:v>3.34</c:v>
                </c:pt>
                <c:pt idx="13">
                  <c:v>3.12</c:v>
                </c:pt>
                <c:pt idx="14">
                  <c:v>2.89</c:v>
                </c:pt>
                <c:pt idx="15">
                  <c:v>2.99</c:v>
                </c:pt>
                <c:pt idx="16">
                  <c:v>3.4</c:v>
                </c:pt>
                <c:pt idx="17">
                  <c:v>3</c:v>
                </c:pt>
                <c:pt idx="18">
                  <c:v>3.15</c:v>
                </c:pt>
                <c:pt idx="19">
                  <c:v>3.31</c:v>
                </c:pt>
                <c:pt idx="20">
                  <c:v>3.37</c:v>
                </c:pt>
                <c:pt idx="21">
                  <c:v>3.49</c:v>
                </c:pt>
                <c:pt idx="22">
                  <c:v>3.52</c:v>
                </c:pt>
                <c:pt idx="23">
                  <c:v>4.13</c:v>
                </c:pt>
                <c:pt idx="24">
                  <c:v>3.93</c:v>
                </c:pt>
                <c:pt idx="25">
                  <c:v>3.39</c:v>
                </c:pt>
                <c:pt idx="26">
                  <c:v>4.1500000000000004</c:v>
                </c:pt>
                <c:pt idx="27">
                  <c:v>4.5999999999999996</c:v>
                </c:pt>
                <c:pt idx="28">
                  <c:v>5.17</c:v>
                </c:pt>
                <c:pt idx="29">
                  <c:v>5.17</c:v>
                </c:pt>
              </c:numCache>
            </c:numRef>
          </c:yVal>
          <c:smooth val="1"/>
          <c:extLst>
            <c:ext xmlns:c16="http://schemas.microsoft.com/office/drawing/2014/chart" uri="{C3380CC4-5D6E-409C-BE32-E72D297353CC}">
              <c16:uniqueId val="{00000000-FAFF-F043-BDEA-45C86C379483}"/>
            </c:ext>
          </c:extLst>
        </c:ser>
        <c:dLbls>
          <c:showLegendKey val="0"/>
          <c:showVal val="0"/>
          <c:showCatName val="0"/>
          <c:showSerName val="0"/>
          <c:showPercent val="0"/>
          <c:showBubbleSize val="0"/>
        </c:dLbls>
        <c:axId val="2141709183"/>
        <c:axId val="2141373743"/>
      </c:scatterChart>
      <c:valAx>
        <c:axId val="214170918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ES_tradnl"/>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2141373743"/>
        <c:crosses val="autoZero"/>
        <c:crossBetween val="midCat"/>
      </c:valAx>
      <c:valAx>
        <c:axId val="214137374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ES_tradnl"/>
                  <a:t>a50</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ES"/>
            </a:p>
          </c:txPr>
        </c:title>
        <c:numFmt formatCode="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214170918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10</Pages>
  <Words>2962</Words>
  <Characters>16296</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RUIZ-DIAZ - STUDENT</dc:creator>
  <cp:keywords/>
  <dc:description/>
  <cp:lastModifiedBy>Microsoft Office User</cp:lastModifiedBy>
  <cp:revision>13</cp:revision>
  <dcterms:created xsi:type="dcterms:W3CDTF">2022-01-18T11:57:00Z</dcterms:created>
  <dcterms:modified xsi:type="dcterms:W3CDTF">2022-04-14T16:09:00Z</dcterms:modified>
</cp:coreProperties>
</file>