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2D44B450" w:rsidR="00654E8F" w:rsidRDefault="00654E8F" w:rsidP="00246DDB">
      <w:pPr>
        <w:pStyle w:val="SupplementaryMaterial"/>
      </w:pPr>
      <w:bookmarkStart w:id="0" w:name="_GoBack"/>
      <w:bookmarkEnd w:id="0"/>
      <w:r w:rsidRPr="001549D3">
        <w:t>Supplementary Material</w:t>
      </w:r>
    </w:p>
    <w:p w14:paraId="3FC61BF5" w14:textId="23574841" w:rsidR="00246DDB" w:rsidRDefault="00246DDB" w:rsidP="00246DDB">
      <w:pPr>
        <w:pStyle w:val="Titolo"/>
      </w:pPr>
    </w:p>
    <w:p w14:paraId="667B98CA" w14:textId="7F12686B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b/>
        </w:rPr>
      </w:pPr>
      <w:r>
        <w:rPr>
          <w:b/>
        </w:rPr>
        <w:t>1.</w:t>
      </w:r>
      <w:r w:rsidRPr="00246DDB">
        <w:rPr>
          <w:b/>
        </w:rPr>
        <w:t>Supplementary Data</w:t>
      </w:r>
    </w:p>
    <w:p w14:paraId="7E20B808" w14:textId="77777777" w:rsidR="00246DDB" w:rsidRP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b/>
        </w:rPr>
      </w:pPr>
    </w:p>
    <w:p w14:paraId="49CDB2CB" w14:textId="77777777" w:rsidR="00246DDB" w:rsidRP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</w:pPr>
      <w:r w:rsidRPr="00246DDB">
        <w:t xml:space="preserve">The following data has been provided as supporting material due to limited space in the main manuscript.   </w:t>
      </w:r>
    </w:p>
    <w:p w14:paraId="7350F307" w14:textId="77777777" w:rsidR="00246DDB" w:rsidRP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</w:pPr>
      <w:r w:rsidRPr="00246DDB">
        <w:t xml:space="preserve"> Although not essential for the understanding of the paper, the authors felt that this will complement the main manuscript.</w:t>
      </w:r>
    </w:p>
    <w:p w14:paraId="03885938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right="113"/>
        <w:jc w:val="both"/>
        <w:rPr>
          <w:rFonts w:eastAsia="Times New Roman" w:cs="Times New Roman"/>
          <w:b/>
          <w:bCs/>
        </w:rPr>
      </w:pPr>
    </w:p>
    <w:p w14:paraId="20D36E9F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  <w:b/>
          <w:bCs/>
        </w:rPr>
      </w:pPr>
      <w:r w:rsidRPr="009931F0">
        <w:rPr>
          <w:rFonts w:eastAsia="Times New Roman" w:cs="Times New Roman"/>
          <w:b/>
          <w:bCs/>
        </w:rPr>
        <w:t>Non-invasive P-V loop analysis: mathematical formulas</w:t>
      </w:r>
      <w:r>
        <w:rPr>
          <w:rFonts w:eastAsia="Times New Roman" w:cs="Times New Roman"/>
          <w:b/>
          <w:bCs/>
        </w:rPr>
        <w:t xml:space="preserve">. </w:t>
      </w:r>
      <w:r w:rsidRPr="009931F0">
        <w:rPr>
          <w:rFonts w:eastAsia="Times New Roman" w:cs="Times New Roman"/>
          <w:b/>
          <w:bCs/>
        </w:rPr>
        <w:t xml:space="preserve"> </w:t>
      </w:r>
    </w:p>
    <w:p w14:paraId="6A4782DB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 xml:space="preserve">The pressure (P)- volume (V) loop was reconstructed starting from the end-systolic pressure-volume relationship (ESPVR) and the end-diastolic pressure-volume relationship (EDPVR). </w:t>
      </w:r>
    </w:p>
    <w:p w14:paraId="5473F522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>The ESPVR is constructed as</w:t>
      </w:r>
    </w:p>
    <w:p w14:paraId="7F8FF091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m:oMath>
        <m:r>
          <w:rPr>
            <w:rFonts w:ascii="Cambria Math" w:hAnsi="Cambria Math"/>
            <w:sz w:val="25"/>
            <w:szCs w:val="25"/>
          </w:rPr>
          <m:t>P=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E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es</m:t>
            </m:r>
          </m:sub>
        </m:sSub>
        <m:d>
          <m:dPr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/>
                <w:sz w:val="25"/>
                <w:szCs w:val="25"/>
              </w:rPr>
              <m:t>V-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0</m:t>
                </m:r>
              </m:sub>
            </m:sSub>
          </m:e>
        </m:d>
      </m:oMath>
      <w:r>
        <w:t xml:space="preserve"> </w:t>
      </w:r>
    </w:p>
    <w:p w14:paraId="500CD500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 xml:space="preserve">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E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es</m:t>
            </m:r>
          </m:sub>
        </m:sSub>
      </m:oMath>
      <w:r>
        <w:t xml:space="preserve"> is the ventricular elastance. </w:t>
      </w:r>
    </w:p>
    <w:p w14:paraId="17543140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 xml:space="preserve">The reference volume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0</m:t>
            </m:r>
          </m:sub>
        </m:sSub>
        <m:r>
          <w:rPr>
            <w:rFonts w:ascii="Cambria Math" w:hAnsi="Cambria Math"/>
            <w:sz w:val="25"/>
            <w:szCs w:val="25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ES</m:t>
            </m:r>
          </m:sub>
        </m:sSub>
        <m:r>
          <w:rPr>
            <w:rFonts w:ascii="Cambria Math" w:hAnsi="Cambria Math"/>
            <w:sz w:val="25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es</m:t>
                </m:r>
              </m:sub>
            </m:sSub>
          </m:den>
        </m:f>
      </m:oMath>
      <w:r>
        <w:t xml:space="preserve"> is just the intercept with the zero-pressure axis. </w:t>
      </w:r>
    </w:p>
    <w:p w14:paraId="13F22C56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>According to the single-beat algorithm by Chen et al. E</w:t>
      </w:r>
      <w:r w:rsidRPr="009931F0">
        <w:rPr>
          <w:rStyle w:val="Nessuno"/>
          <w:vertAlign w:val="subscript"/>
        </w:rPr>
        <w:t>es</w:t>
      </w:r>
      <w:r>
        <w:t xml:space="preserve"> is calculated as </w:t>
      </w:r>
    </w:p>
    <w:p w14:paraId="4C9B88AD" w14:textId="77777777" w:rsidR="00246DDB" w:rsidRDefault="00923182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E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es</m:t>
            </m:r>
          </m:sub>
        </m:sSub>
        <m:r>
          <w:rPr>
            <w:rFonts w:ascii="Cambria Math" w:hAnsi="Cambria Math"/>
            <w:sz w:val="25"/>
            <w:szCs w:val="25"/>
          </w:rPr>
          <m:t>=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</w:rPr>
              <m:t>1</m:t>
            </m:r>
          </m:num>
          <m:den>
            <m:r>
              <w:rPr>
                <w:rFonts w:ascii="Cambria Math" w:hAnsi="Cambria Math"/>
                <w:sz w:val="25"/>
                <w:szCs w:val="25"/>
              </w:rPr>
              <m:t>SV</m:t>
            </m:r>
          </m:den>
        </m:f>
        <m:d>
          <m:dPr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5"/>
                    <w:szCs w:val="25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5"/>
                        <w:szCs w:val="25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5"/>
                        <w:szCs w:val="25"/>
                      </w:rPr>
                      <m:t>D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5"/>
                        <w:szCs w:val="25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5"/>
                        <w:szCs w:val="25"/>
                      </w:rPr>
                      <m:t>Nd</m:t>
                    </m:r>
                  </m:sub>
                </m:sSub>
              </m:den>
            </m:f>
            <m:r>
              <w:rPr>
                <w:rFonts w:ascii="Cambria Math" w:hAnsi="Cambria Math"/>
                <w:sz w:val="25"/>
                <w:szCs w:val="25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ES</m:t>
                </m:r>
              </m:sub>
            </m:sSub>
          </m:e>
        </m:d>
      </m:oMath>
      <w:r w:rsidR="00246DDB">
        <w:t xml:space="preserve"> </w:t>
      </w:r>
    </w:p>
    <w:p w14:paraId="05D73FD9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 xml:space="preserve">with the constraint that this value is bounded by the limit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E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es</m:t>
            </m:r>
          </m:sub>
        </m:sSub>
        <m:r>
          <w:rPr>
            <w:rFonts w:ascii="Cambria Math" w:hAnsi="Cambria Math"/>
            <w:sz w:val="25"/>
            <w:szCs w:val="25"/>
          </w:rPr>
          <m:t>&gt;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ES</m:t>
                </m:r>
              </m:sub>
            </m:sSub>
          </m:den>
        </m:f>
      </m:oMath>
      <w:r>
        <w:t xml:space="preserve"> to ensure that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/>
            <w:sz w:val="26"/>
            <w:szCs w:val="26"/>
          </w:rPr>
          <m:t>&gt;0</m:t>
        </m:r>
      </m:oMath>
      <w:r>
        <w:t>. In this equation P</w:t>
      </w:r>
      <w:r w:rsidRPr="009931F0">
        <w:rPr>
          <w:rStyle w:val="Nessuno"/>
          <w:vertAlign w:val="subscript"/>
        </w:rPr>
        <w:t>D</w:t>
      </w:r>
      <w:r>
        <w:t xml:space="preserve"> and P</w:t>
      </w:r>
      <w:r w:rsidRPr="009931F0">
        <w:rPr>
          <w:rStyle w:val="Nessuno"/>
          <w:vertAlign w:val="subscript"/>
        </w:rPr>
        <w:t xml:space="preserve">ES </w:t>
      </w:r>
      <w:r>
        <w:t>are the diastolic and end-systolic blood pressures, E</w:t>
      </w:r>
      <w:r w:rsidRPr="009931F0">
        <w:rPr>
          <w:rStyle w:val="Nessuno"/>
          <w:vertAlign w:val="subscript"/>
        </w:rPr>
        <w:t>Nd</w:t>
      </w:r>
      <w:r>
        <w:t xml:space="preserve"> is the estimated normalized ventricular elastance at the onset of ejection, SV is stroke volume. </w:t>
      </w:r>
    </w:p>
    <w:p w14:paraId="2DB929FF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>P</w:t>
      </w:r>
      <w:r w:rsidRPr="009931F0">
        <w:rPr>
          <w:rStyle w:val="Nessuno"/>
          <w:vertAlign w:val="subscript"/>
        </w:rPr>
        <w:t>ES</w:t>
      </w:r>
      <w:r>
        <w:t xml:space="preserve"> is estimated as 90% of the brachial systolic pressure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t>).</w:t>
      </w:r>
    </w:p>
    <w:p w14:paraId="338CDE06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>E</w:t>
      </w:r>
      <w:r w:rsidRPr="009931F0">
        <w:rPr>
          <w:rStyle w:val="Nessuno"/>
          <w:vertAlign w:val="subscript"/>
        </w:rPr>
        <w:t>Nd</w:t>
      </w:r>
      <w:r>
        <w:t xml:space="preserve"> is described by the following formula:</w:t>
      </w:r>
    </w:p>
    <w:p w14:paraId="3E2E6379" w14:textId="77777777" w:rsidR="00246DDB" w:rsidRDefault="00923182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E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Nd</m:t>
            </m:r>
          </m:sub>
        </m:sSub>
        <m:r>
          <w:rPr>
            <w:rFonts w:ascii="Cambria Math" w:hAnsi="Cambria Math"/>
            <w:sz w:val="25"/>
            <w:szCs w:val="25"/>
          </w:rPr>
          <m:t>=0.0275-0.165EF+0.3656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ES</m:t>
                </m:r>
              </m:sub>
            </m:sSub>
          </m:den>
        </m:f>
        <m:r>
          <w:rPr>
            <w:rFonts w:ascii="Cambria Math" w:hAnsi="Cambria Math"/>
            <w:sz w:val="25"/>
            <w:szCs w:val="25"/>
          </w:rPr>
          <m:t>+0.515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5"/>
                <w:szCs w:val="25"/>
              </w:rPr>
            </m:ctrlPr>
          </m:naryPr>
          <m:sub>
            <m:r>
              <w:rPr>
                <w:rFonts w:ascii="Cambria Math" w:hAnsi="Cambria Math"/>
                <w:sz w:val="25"/>
                <w:szCs w:val="25"/>
              </w:rPr>
              <m:t>0</m:t>
            </m:r>
          </m:sub>
          <m:sup>
            <m:r>
              <w:rPr>
                <w:rFonts w:ascii="Cambria Math" w:hAnsi="Cambria Math"/>
                <w:sz w:val="25"/>
                <w:szCs w:val="25"/>
              </w:rPr>
              <m:t>7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5"/>
                        <w:szCs w:val="25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5"/>
                        <w:szCs w:val="25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5"/>
                            <w:szCs w:val="25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5"/>
                                <w:szCs w:val="25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5"/>
                                <w:szCs w:val="25"/>
                              </w:rPr>
                              <m:t>IVC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5"/>
                                <w:szCs w:val="25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5"/>
                                <w:szCs w:val="25"/>
                              </w:rPr>
                              <m:t>ejection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5"/>
                    <w:szCs w:val="25"/>
                  </w:rPr>
                  <m:t>n</m:t>
                </m:r>
              </m:sup>
            </m:sSup>
          </m:e>
        </m:nary>
      </m:oMath>
      <w:r w:rsidR="00246DDB">
        <w:t xml:space="preserve"> .</w:t>
      </w:r>
    </w:p>
    <w:p w14:paraId="14AAE3E3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>where EF is the ejection fraction, t</w:t>
      </w:r>
      <w:r w:rsidRPr="009931F0">
        <w:rPr>
          <w:rStyle w:val="Nessuno"/>
          <w:vertAlign w:val="subscript"/>
        </w:rPr>
        <w:t>IVC</w:t>
      </w:r>
      <w:r>
        <w:t xml:space="preserve"> ad T</w:t>
      </w:r>
      <w:r w:rsidRPr="009931F0">
        <w:rPr>
          <w:rStyle w:val="Nessuno"/>
          <w:vertAlign w:val="subscript"/>
        </w:rPr>
        <w:t>ejection</w:t>
      </w:r>
      <w:r>
        <w:t xml:space="preserve"> are the iso-volumic contraction (IVC) time and the ejection time, respectively. The last corrective term is made with the following coefficients</w:t>
      </w:r>
    </w:p>
    <w:p w14:paraId="7AF54784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5"/>
              <w:szCs w:val="25"/>
            </w:rPr>
            <w:lastRenderedPageBreak/>
            <m:t>a</m:t>
          </m:r>
          <m:r>
            <w:rPr>
              <w:rFonts w:ascii="Cambria Math" w:hAnsi="Cambria Math"/>
              <w:sz w:val="25"/>
              <w:szCs w:val="25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5"/>
                  <w:szCs w:val="25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+0.35695</m:t>
                  </m:r>
                </m:e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-7.2266</m:t>
                  </m:r>
                </m:e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+74.249</m:t>
                  </m:r>
                </m:e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-307.39</m:t>
                  </m:r>
                </m:e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+684.54</m:t>
                  </m:r>
                </m:e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-856.92</m:t>
                  </m:r>
                </m:e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+571.95</m:t>
                  </m:r>
                </m:e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-159.10</m:t>
                  </m:r>
                </m:e>
              </m:eqArr>
            </m:e>
          </m:d>
        </m:oMath>
      </m:oMathPara>
    </w:p>
    <w:p w14:paraId="2EC57ACE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>The ratio between IVC time and ejection time is measured by aortic Doppler or can be computed directly from the speckle tracking information using mass conservation and mitral size.</w:t>
      </w:r>
    </w:p>
    <w:p w14:paraId="69050162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</w:p>
    <w:p w14:paraId="0012F08F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>Once the ESPVR is derived, the EDPVR is described using the nonlinear expression</w:t>
      </w:r>
    </w:p>
    <w:p w14:paraId="71A35D43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m:oMath>
        <m:r>
          <w:rPr>
            <w:rFonts w:ascii="Cambria Math" w:hAnsi="Cambria Math"/>
          </w:rPr>
          <m:t>P=α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β</m:t>
            </m:r>
          </m:sup>
        </m:sSup>
      </m:oMath>
      <w:r>
        <w:t xml:space="preserve"> </w:t>
      </w:r>
    </w:p>
    <w:p w14:paraId="233DBFD7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>using the previously described step-by-step algorithm by Klotz et al.</w:t>
      </w:r>
    </w:p>
    <w:p w14:paraId="12F55CF8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>First of all the end-diastolic pressure is estimated by</w:t>
      </w:r>
    </w:p>
    <w:p w14:paraId="69FC62F8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P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ED</m:t>
            </m:r>
          </m:sub>
        </m:sSub>
        <m:r>
          <w:rPr>
            <w:rFonts w:ascii="Cambria Math" w:hAnsi="Cambria Math"/>
            <w:sz w:val="25"/>
            <w:szCs w:val="25"/>
          </w:rPr>
          <m:t>=11.96+0.596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</w:rPr>
              <m:t>E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5"/>
                    <w:szCs w:val="25"/>
                  </w:rPr>
                  <m:t>'</m:t>
                </m:r>
              </m:sup>
            </m:sSup>
          </m:den>
        </m:f>
      </m:oMath>
      <w:r>
        <w:t>,</w:t>
      </w:r>
    </w:p>
    <w:p w14:paraId="126DABDF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 xml:space="preserve">where E/e’ is the ratio between early mitral inflow velocity and mitral annular early diastolic velocity. </w:t>
      </w:r>
    </w:p>
    <w:p w14:paraId="14675372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>Secondly, the partial volumes are computed</w:t>
      </w:r>
    </w:p>
    <w:p w14:paraId="5AF8F030" w14:textId="77777777" w:rsidR="00246DDB" w:rsidRDefault="00923182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0</m:t>
            </m:r>
          </m:sub>
        </m:sSub>
        <m:r>
          <w:rPr>
            <w:rFonts w:ascii="Cambria Math" w:hAnsi="Cambria Math"/>
            <w:sz w:val="25"/>
            <w:szCs w:val="25"/>
          </w:rPr>
          <m:t>=</m:t>
        </m:r>
        <m:d>
          <m:dPr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/>
                <w:sz w:val="25"/>
                <w:szCs w:val="25"/>
              </w:rPr>
              <m:t>0.6-0.006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ED</m:t>
                </m:r>
              </m:sub>
            </m:sSub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V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ED</m:t>
            </m:r>
          </m:sub>
        </m:sSub>
      </m:oMath>
      <w:r w:rsidR="00246DDB">
        <w:t xml:space="preserve">, </w:t>
      </w:r>
      <m:oMath>
        <m:m>
          <m:mPr>
            <m:plcHide m:val="1"/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5"/>
                <w:szCs w:val="25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5"/>
                      <w:szCs w:val="25"/>
                    </w:rPr>
                    <m:t>30</m:t>
                  </m:r>
                </m:sub>
              </m:sSub>
              <m:r>
                <w:rPr>
                  <w:rFonts w:ascii="Cambria Math" w:hAnsi="Cambria Math"/>
                  <w:sz w:val="25"/>
                  <w:szCs w:val="25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5"/>
                      <w:szCs w:val="25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5"/>
                      <w:szCs w:val="25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ED</m:t>
                      </m:r>
                    </m:sub>
                  </m:sSub>
                  <m:r>
                    <w:rPr>
                      <w:rFonts w:ascii="Cambria Math" w:hAnsi="Cambria Math"/>
                      <w:sz w:val="25"/>
                      <w:szCs w:val="25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0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5"/>
                          <w:szCs w:val="25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5"/>
                              <w:szCs w:val="25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5"/>
                              <w:szCs w:val="25"/>
                            </w:rPr>
                            <m:t>A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5"/>
                                  <w:szCs w:val="25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5"/>
                                  <w:szCs w:val="25"/>
                                </w:rPr>
                                <m:t>ED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5"/>
                          <w:szCs w:val="2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b</m:t>
                      </m:r>
                    </m:den>
                  </m:f>
                </m:sup>
              </m:sSup>
            </m:e>
            <m:e>
              <m:r>
                <w:rPr>
                  <w:rFonts w:ascii="Cambria Math" w:hAnsi="Cambria Math"/>
                  <w:sz w:val="25"/>
                  <w:szCs w:val="25"/>
                </w:rPr>
                <m:t>whereA=27.78±0.3[mmHg]andb=2.76±0.05[-]</m:t>
              </m:r>
            </m:e>
          </m:mr>
        </m:m>
      </m:oMath>
    </w:p>
    <w:p w14:paraId="1B234EFC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 xml:space="preserve">Finally,  the two parameters </w:t>
      </w:r>
      <m:oMath>
        <m:r>
          <w:rPr>
            <w:rFonts w:ascii="Cambria Math" w:hAnsi="Cambria Math"/>
            <w:sz w:val="26"/>
            <w:szCs w:val="26"/>
          </w:rPr>
          <m:t>α</m:t>
        </m:r>
      </m:oMath>
      <w:r>
        <w:t xml:space="preserve"> and </w:t>
      </w:r>
      <m:oMath>
        <m:r>
          <w:rPr>
            <w:rFonts w:ascii="Cambria Math" w:hAnsi="Cambria Math"/>
          </w:rPr>
          <m:t>β</m:t>
        </m:r>
      </m:oMath>
      <w:r>
        <w:t xml:space="preserve"> are evaluated as follows. </w:t>
      </w:r>
    </w:p>
    <w:p w14:paraId="3499E274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 xml:space="preserve">If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P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ED</m:t>
            </m:r>
          </m:sub>
        </m:sSub>
        <m:r>
          <w:rPr>
            <w:rFonts w:ascii="Cambria Math" w:hAnsi="Cambria Math"/>
            <w:sz w:val="25"/>
            <w:szCs w:val="25"/>
          </w:rPr>
          <m:t>≥22</m:t>
        </m:r>
      </m:oMath>
      <w:r>
        <w:t xml:space="preserve">, </w:t>
      </w:r>
    </w:p>
    <w:p w14:paraId="0E914BDE" w14:textId="77777777" w:rsidR="00246DDB" w:rsidRDefault="00923182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m:oMath>
        <m:m>
          <m:mPr>
            <m:plcHide m:val="1"/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β=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log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ED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15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log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ED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sub>
                      </m:sSub>
                    </m:den>
                  </m:f>
                </m:den>
              </m:f>
              <m:r>
                <w:rPr>
                  <w:rFonts w:ascii="Cambria Math" w:hAnsi="Cambria Math"/>
                </w:rPr>
                <m:t>,</m:t>
              </m:r>
            </m:e>
            <m:e>
              <m:r>
                <w:rPr>
                  <w:rFonts w:ascii="Cambria Math" w:hAnsi="Cambria Math"/>
                </w:rPr>
                <m:t>α=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ED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ED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-β</m:t>
                  </m:r>
                </m:sup>
              </m:sSup>
              <m:r>
                <w:rPr>
                  <w:rFonts w:ascii="Cambria Math" w:hAnsi="Cambria Math"/>
                </w:rPr>
                <m:t>;</m:t>
              </m:r>
            </m:e>
            <m:e>
              <m:r>
                <w:rPr>
                  <w:rFonts w:ascii="Cambria Math" w:hAnsi="Cambria Math"/>
                </w:rPr>
                <m:t>with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15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+0.8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e>
          </m:mr>
        </m:m>
      </m:oMath>
      <w:r w:rsidR="00246DDB">
        <w:t>,</w:t>
      </w:r>
    </w:p>
    <w:p w14:paraId="77184150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 xml:space="preserve">Otherwise, when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P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ED</m:t>
            </m:r>
          </m:sub>
        </m:sSub>
        <m:r>
          <w:rPr>
            <w:rFonts w:ascii="Cambria Math" w:hAnsi="Cambria Math"/>
            <w:sz w:val="25"/>
            <w:szCs w:val="25"/>
          </w:rPr>
          <m:t>&lt;22</m:t>
        </m:r>
      </m:oMath>
    </w:p>
    <w:p w14:paraId="788E86B5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m:oMath>
        <m:m>
          <m:mPr>
            <m:plcHide m:val="1"/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β=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log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ED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30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log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ED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30</m:t>
                          </m:r>
                        </m:sub>
                      </m:sSub>
                    </m:den>
                  </m:f>
                </m:den>
              </m:f>
              <m:r>
                <w:rPr>
                  <w:rFonts w:ascii="Cambria Math" w:hAnsi="Cambria Math"/>
                </w:rPr>
                <m:t>,</m:t>
              </m:r>
            </m:e>
            <m:e>
              <m:r>
                <w:rPr>
                  <w:rFonts w:ascii="Cambria Math" w:hAnsi="Cambria Math"/>
                </w:rPr>
                <m:t>α=30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30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-β</m:t>
                  </m:r>
                </m:sup>
              </m:sSup>
            </m:e>
          </m:mr>
        </m:m>
      </m:oMath>
      <w:r>
        <w:t>.</w:t>
      </w:r>
    </w:p>
    <w:p w14:paraId="0ED2B648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 xml:space="preserve">Once the ED and ES PV relationships are identified, a pressure-volume relationship (PV Loop) can be depicted for the entire cycle. The PV loop is made by four branches in the pressure-volume plane, (i) the systolic contraction is a curve that ranges from the point </w:t>
      </w:r>
      <m:oMath>
        <m:d>
          <m:dPr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ED</m:t>
                </m:r>
              </m:sub>
            </m:sSub>
            <m:r>
              <w:rPr>
                <w:rFonts w:ascii="Cambria Math" w:hAnsi="Cambria Math"/>
                <w:sz w:val="25"/>
                <w:szCs w:val="25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ES</m:t>
                </m:r>
              </m:sub>
            </m:sSub>
          </m:e>
        </m:d>
      </m:oMath>
      <w:r>
        <w:t xml:space="preserve"> to </w:t>
      </w:r>
      <w:bookmarkStart w:id="1" w:name="_Hlk84691030"/>
      <w:r>
        <w:t xml:space="preserve">the point </w:t>
      </w:r>
      <m:oMath>
        <m:d>
          <m:dPr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ES</m:t>
                </m:r>
              </m:sub>
            </m:sSub>
            <m:r>
              <w:rPr>
                <w:rFonts w:ascii="Cambria Math" w:hAnsi="Cambria Math"/>
                <w:sz w:val="25"/>
                <w:szCs w:val="25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ES</m:t>
                </m:r>
              </m:sub>
            </m:sSub>
          </m:e>
        </m:d>
      </m:oMath>
      <w:bookmarkEnd w:id="1"/>
      <w:r>
        <w:t xml:space="preserve"> with a peak pressure in between equal to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t xml:space="preserve">; (ii) the isovolumic relaxation assumed to be a vertical line from </w:t>
      </w:r>
      <m:oMath>
        <m:d>
          <m:dPr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ES</m:t>
                </m:r>
              </m:sub>
            </m:sSub>
            <m:r>
              <w:rPr>
                <w:rFonts w:ascii="Cambria Math" w:hAnsi="Cambria Math"/>
                <w:sz w:val="25"/>
                <w:szCs w:val="25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ES</m:t>
                </m:r>
              </m:sub>
            </m:sSub>
          </m:e>
        </m:d>
      </m:oMath>
      <w:r>
        <w:t xml:space="preserve"> to </w:t>
      </w:r>
      <m:oMath>
        <m:d>
          <m:dPr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ES</m:t>
                </m:r>
              </m:sub>
            </m:sSub>
            <m:r>
              <w:rPr>
                <w:rFonts w:ascii="Cambria Math" w:hAnsi="Cambria Math"/>
                <w:sz w:val="25"/>
                <w:szCs w:val="25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ED</m:t>
                </m:r>
              </m:sub>
            </m:sSub>
          </m:e>
        </m:d>
      </m:oMath>
      <w:r>
        <w:t xml:space="preserve">; (iii) the diastolic filling is a curve that starts from </w:t>
      </w:r>
      <m:oMath>
        <m:d>
          <m:dPr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ES</m:t>
                </m:r>
              </m:sub>
            </m:sSub>
            <m:r>
              <w:rPr>
                <w:rFonts w:ascii="Cambria Math" w:hAnsi="Cambria Math"/>
                <w:sz w:val="25"/>
                <w:szCs w:val="25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ED</m:t>
                </m:r>
              </m:sub>
            </m:sSub>
          </m:e>
        </m:d>
      </m:oMath>
      <w:r>
        <w:t xml:space="preserve"> and approaches tangentially the EDPVR when it reaches the point </w:t>
      </w:r>
      <m:oMath>
        <m:d>
          <m:dPr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ED</m:t>
                </m:r>
              </m:sub>
            </m:sSub>
            <m:r>
              <w:rPr>
                <w:rFonts w:ascii="Cambria Math" w:hAnsi="Cambria Math"/>
                <w:sz w:val="25"/>
                <w:szCs w:val="25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ED</m:t>
                </m:r>
              </m:sub>
            </m:sSub>
          </m:e>
        </m:d>
      </m:oMath>
      <w:r>
        <w:t xml:space="preserve">; (iv) the isovolumic contraction assumed a vertical line from </w:t>
      </w:r>
      <m:oMath>
        <m:d>
          <m:dPr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ED</m:t>
                </m:r>
              </m:sub>
            </m:sSub>
            <m:r>
              <w:rPr>
                <w:rFonts w:ascii="Cambria Math" w:hAnsi="Cambria Math"/>
                <w:sz w:val="25"/>
                <w:szCs w:val="25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ED</m:t>
                </m:r>
              </m:sub>
            </m:sSub>
          </m:e>
        </m:d>
      </m:oMath>
      <w:r>
        <w:t xml:space="preserve"> to </w:t>
      </w:r>
      <m:oMath>
        <m:d>
          <m:dPr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ED</m:t>
                </m:r>
              </m:sub>
            </m:sSub>
            <m:r>
              <w:rPr>
                <w:rFonts w:ascii="Cambria Math" w:hAnsi="Cambria Math"/>
                <w:sz w:val="25"/>
                <w:szCs w:val="25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ES</m:t>
                </m:r>
              </m:sub>
            </m:sSub>
          </m:e>
        </m:d>
      </m:oMath>
      <w:r>
        <w:t>.</w:t>
      </w:r>
    </w:p>
    <w:p w14:paraId="44A7AA9E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lastRenderedPageBreak/>
        <w:t xml:space="preserve">The main properties of the PV loop are consequently derived. In addition to the ventricular elastance, the arterial elastance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E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a</m:t>
            </m:r>
          </m:sub>
        </m:sSub>
      </m:oMath>
      <w:r>
        <w:t xml:space="preserve"> is evaluated as the ratio between end-systolic pressure and stroke volume, </w:t>
      </w:r>
    </w:p>
    <w:p w14:paraId="6F494DA8" w14:textId="77777777" w:rsidR="00246DDB" w:rsidRDefault="00923182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E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a</m:t>
            </m:r>
          </m:sub>
        </m:sSub>
        <m:r>
          <w:rPr>
            <w:rFonts w:ascii="Cambria Math" w:hAnsi="Cambria Math"/>
            <w:sz w:val="25"/>
            <w:szCs w:val="25"/>
          </w:rPr>
          <m:t>=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ED</m:t>
                </m:r>
              </m:sub>
            </m:sSub>
            <m:r>
              <w:rPr>
                <w:rFonts w:ascii="Cambria Math" w:hAnsi="Cambria Math"/>
                <w:sz w:val="25"/>
                <w:szCs w:val="25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ES</m:t>
                </m:r>
              </m:sub>
            </m:sSub>
          </m:den>
        </m:f>
      </m:oMath>
      <w:r w:rsidR="00246DDB">
        <w:t xml:space="preserve"> .</w:t>
      </w:r>
    </w:p>
    <w:p w14:paraId="6A351333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>From the ratio between the two elastance values the ventricular-arterial coupling is computed as</w:t>
      </w:r>
    </w:p>
    <w:p w14:paraId="112E7E65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 xml:space="preserve"> </w:t>
      </w:r>
      <m:oMath>
        <m:r>
          <w:rPr>
            <w:rFonts w:ascii="Cambria Math" w:hAnsi="Cambria Math"/>
            <w:sz w:val="25"/>
            <w:szCs w:val="25"/>
          </w:rPr>
          <m:t>VAC=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es</m:t>
                </m:r>
              </m:sub>
            </m:sSub>
          </m:den>
        </m:f>
      </m:oMath>
      <w:r>
        <w:t xml:space="preserve">. </w:t>
      </w:r>
    </w:p>
    <w:p w14:paraId="3FB3ADA0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>The energetic properties are summarized in term stroke work (</w:t>
      </w:r>
      <m:oMath>
        <m:r>
          <w:rPr>
            <w:rFonts w:ascii="Cambria Math" w:hAnsi="Cambria Math"/>
            <w:sz w:val="26"/>
            <w:szCs w:val="26"/>
          </w:rPr>
          <m:t>SW</m:t>
        </m:r>
      </m:oMath>
      <w:r>
        <w:t>) given by the area of the PV loop and the potential energy (</w:t>
      </w:r>
      <m:oMath>
        <m:r>
          <w:rPr>
            <w:rFonts w:ascii="Cambria Math" w:hAnsi="Cambria Math"/>
            <w:sz w:val="25"/>
            <w:szCs w:val="25"/>
          </w:rPr>
          <m:t>PE</m:t>
        </m:r>
      </m:oMath>
      <w:r>
        <w:t xml:space="preserve">) given by the area of the triangle made by the ESPVR and the PV loop The PE is expressed as </w:t>
      </w:r>
      <m:oMath>
        <m:r>
          <w:rPr>
            <w:rFonts w:ascii="Cambria Math" w:hAnsi="Cambria Math"/>
            <w:sz w:val="25"/>
            <w:szCs w:val="25"/>
          </w:rPr>
          <m:t>PE=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</w:rPr>
              <m:t>1</m:t>
            </m:r>
          </m:num>
          <m:den>
            <m:r>
              <w:rPr>
                <w:rFonts w:ascii="Cambria Math" w:hAnsi="Cambria Math"/>
                <w:sz w:val="25"/>
                <w:szCs w:val="25"/>
              </w:rPr>
              <m:t>2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P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ED</m:t>
            </m:r>
          </m:sub>
        </m:sSub>
        <m:d>
          <m:dPr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ES</m:t>
                </m:r>
              </m:sub>
            </m:sSub>
            <m:r>
              <w:rPr>
                <w:rFonts w:ascii="Cambria Math" w:hAnsi="Cambria Math"/>
                <w:sz w:val="25"/>
                <w:szCs w:val="25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0</m:t>
                </m:r>
              </m:sub>
            </m:sSub>
          </m:e>
        </m:d>
      </m:oMath>
      <w:r>
        <w:t>.</w:t>
      </w:r>
    </w:p>
    <w:p w14:paraId="6B18B128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>The total PV area (PVA) is calculated as the sum of SW and PE</w:t>
      </w:r>
    </w:p>
    <w:p w14:paraId="2D514A29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m:oMath>
        <m:r>
          <w:rPr>
            <w:rFonts w:ascii="Cambria Math" w:hAnsi="Cambria Math"/>
            <w:sz w:val="25"/>
            <w:szCs w:val="25"/>
          </w:rPr>
          <m:t>PVA=SW+PE</m:t>
        </m:r>
      </m:oMath>
      <w:r>
        <w:t xml:space="preserve">, </w:t>
      </w:r>
    </w:p>
    <w:p w14:paraId="2296DFD6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rFonts w:eastAsia="Times New Roman" w:cs="Times New Roman"/>
        </w:rPr>
      </w:pPr>
      <w:r>
        <w:t>and the work efficiency (WE) by dividing the stroke work for the PV area</w:t>
      </w:r>
    </w:p>
    <w:p w14:paraId="7B65BC41" w14:textId="031F310F" w:rsidR="00DE23E8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</w:pPr>
      <m:oMath>
        <m:r>
          <w:rPr>
            <w:rFonts w:ascii="Cambria Math" w:hAnsi="Cambria Math"/>
            <w:sz w:val="25"/>
            <w:szCs w:val="25"/>
          </w:rPr>
          <m:t>WE=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</w:rPr>
              <m:t>SW</m:t>
            </m:r>
          </m:num>
          <m:den>
            <m:r>
              <w:rPr>
                <w:rFonts w:ascii="Cambria Math" w:hAnsi="Cambria Math"/>
                <w:sz w:val="25"/>
                <w:szCs w:val="25"/>
              </w:rPr>
              <m:t>PVA</m:t>
            </m:r>
          </m:den>
        </m:f>
      </m:oMath>
      <w:r>
        <w:t>.</w:t>
      </w:r>
    </w:p>
    <w:p w14:paraId="5EA9BF79" w14:textId="7E95471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</w:pPr>
      <w:r>
        <w:t xml:space="preserve"> </w:t>
      </w:r>
    </w:p>
    <w:p w14:paraId="3FD530AC" w14:textId="77777777" w:rsidR="00246DDB" w:rsidRDefault="00246DDB">
      <w:pPr>
        <w:spacing w:before="0" w:after="200" w:line="276" w:lineRule="auto"/>
      </w:pPr>
      <w:r>
        <w:br w:type="page"/>
      </w:r>
    </w:p>
    <w:p w14:paraId="79B06165" w14:textId="77777777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</w:pPr>
    </w:p>
    <w:p w14:paraId="5DEE9A94" w14:textId="2AC8E964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b/>
        </w:rPr>
      </w:pPr>
      <w:r w:rsidRPr="00246DDB">
        <w:rPr>
          <w:b/>
        </w:rPr>
        <w:t>2.Supplementary Table</w:t>
      </w:r>
    </w:p>
    <w:p w14:paraId="78AE6F07" w14:textId="45A588AC" w:rsid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b/>
        </w:rPr>
      </w:pPr>
    </w:p>
    <w:p w14:paraId="2151046F" w14:textId="0B43A9DF" w:rsidR="00246DDB" w:rsidRPr="00246DDB" w:rsidRDefault="00246DDB" w:rsidP="00246DDB">
      <w:pPr>
        <w:jc w:val="both"/>
        <w:rPr>
          <w:rStyle w:val="Nessuno"/>
          <w:rFonts w:eastAsia="Palatino Linotype"/>
          <w:b/>
          <w:szCs w:val="24"/>
        </w:rPr>
      </w:pPr>
      <w:r>
        <w:rPr>
          <w:rStyle w:val="Nessuno"/>
          <w:rFonts w:eastAsia="Palatino Linotype"/>
          <w:b/>
          <w:szCs w:val="24"/>
        </w:rPr>
        <w:t>Table 1</w:t>
      </w:r>
      <w:r w:rsidRPr="00246DDB">
        <w:rPr>
          <w:rStyle w:val="Nessuno"/>
          <w:rFonts w:eastAsia="Palatino Linotype"/>
          <w:b/>
          <w:szCs w:val="24"/>
        </w:rPr>
        <w:t>. Intra</w:t>
      </w:r>
      <w:r w:rsidRPr="00246DDB">
        <w:rPr>
          <w:rStyle w:val="Nessuno"/>
          <w:rFonts w:ascii="Cambria Math" w:eastAsia="Palatino Linotype" w:hAnsi="Cambria Math" w:cs="Cambria Math"/>
          <w:b/>
          <w:szCs w:val="24"/>
        </w:rPr>
        <w:t>‐</w:t>
      </w:r>
      <w:r w:rsidRPr="00246DDB">
        <w:rPr>
          <w:rStyle w:val="Nessuno"/>
          <w:rFonts w:eastAsia="Palatino Linotype"/>
          <w:b/>
          <w:szCs w:val="24"/>
        </w:rPr>
        <w:t xml:space="preserve"> and inter</w:t>
      </w:r>
      <w:r w:rsidRPr="00246DDB">
        <w:rPr>
          <w:rStyle w:val="Nessuno"/>
          <w:rFonts w:ascii="Cambria Math" w:eastAsia="Palatino Linotype" w:hAnsi="Cambria Math" w:cs="Cambria Math"/>
          <w:b/>
          <w:szCs w:val="24"/>
        </w:rPr>
        <w:t>‐</w:t>
      </w:r>
      <w:r w:rsidRPr="00246DDB">
        <w:rPr>
          <w:rStyle w:val="Nessuno"/>
          <w:rFonts w:eastAsia="Palatino Linotype"/>
          <w:b/>
          <w:szCs w:val="24"/>
        </w:rPr>
        <w:t xml:space="preserve">observer agreement for hemodynamic forces and PV-loop measurements. </w:t>
      </w:r>
    </w:p>
    <w:tbl>
      <w:tblPr>
        <w:tblStyle w:val="1"/>
        <w:tblW w:w="9628" w:type="dxa"/>
        <w:tblInd w:w="10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400" w:firstRow="0" w:lastRow="0" w:firstColumn="0" w:lastColumn="0" w:noHBand="0" w:noVBand="1"/>
      </w:tblPr>
      <w:tblGrid>
        <w:gridCol w:w="1603"/>
        <w:gridCol w:w="3420"/>
        <w:gridCol w:w="870"/>
        <w:gridCol w:w="3000"/>
        <w:gridCol w:w="735"/>
      </w:tblGrid>
      <w:tr w:rsidR="00246DDB" w:rsidRPr="00246DDB" w14:paraId="6706CED7" w14:textId="77777777" w:rsidTr="000069EE">
        <w:trPr>
          <w:trHeight w:val="527"/>
        </w:trPr>
        <w:tc>
          <w:tcPr>
            <w:tcW w:w="1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C23DB7C" w14:textId="77777777" w:rsidR="00246DDB" w:rsidRPr="00246DDB" w:rsidRDefault="00246DDB" w:rsidP="00246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b/>
                <w:sz w:val="20"/>
                <w:szCs w:val="20"/>
              </w:rPr>
              <w:t>Parameters</w:t>
            </w:r>
          </w:p>
        </w:tc>
        <w:tc>
          <w:tcPr>
            <w:tcW w:w="3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46A7F0A0" w14:textId="77777777" w:rsidR="00246DDB" w:rsidRPr="00246DDB" w:rsidRDefault="00246DDB" w:rsidP="00246DDB">
            <w:pPr>
              <w:widowControl w:val="0"/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b/>
                <w:sz w:val="20"/>
                <w:szCs w:val="20"/>
              </w:rPr>
              <w:t>Inter</w:t>
            </w:r>
            <w:r w:rsidRPr="00246DDB">
              <w:rPr>
                <w:rStyle w:val="Nessuno"/>
                <w:rFonts w:ascii="Cambria Math" w:eastAsia="Palatino Linotype" w:hAnsi="Cambria Math" w:cs="Cambria Math"/>
                <w:b/>
                <w:sz w:val="20"/>
                <w:szCs w:val="20"/>
              </w:rPr>
              <w:t>‐</w:t>
            </w:r>
            <w:r w:rsidRPr="00246DDB">
              <w:rPr>
                <w:rStyle w:val="Nessuno"/>
                <w:rFonts w:eastAsia="Palatino Linotype"/>
                <w:b/>
                <w:sz w:val="20"/>
                <w:szCs w:val="20"/>
              </w:rPr>
              <w:t>observer</w:t>
            </w:r>
          </w:p>
          <w:p w14:paraId="33C6F607" w14:textId="77777777" w:rsidR="00246DDB" w:rsidRPr="00246DDB" w:rsidRDefault="00246DDB" w:rsidP="00246DDB">
            <w:pPr>
              <w:widowControl w:val="0"/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b/>
                <w:sz w:val="20"/>
                <w:szCs w:val="20"/>
              </w:rPr>
              <w:t>agreement</w:t>
            </w:r>
          </w:p>
        </w:tc>
        <w:tc>
          <w:tcPr>
            <w:tcW w:w="8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2D94474" w14:textId="77777777" w:rsidR="00246DDB" w:rsidRPr="00246DDB" w:rsidRDefault="00246DDB" w:rsidP="00246DDB">
            <w:pPr>
              <w:widowControl w:val="0"/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b/>
                <w:sz w:val="20"/>
                <w:szCs w:val="20"/>
              </w:rPr>
              <w:t>P</w:t>
            </w: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4241526" w14:textId="77777777" w:rsidR="00246DDB" w:rsidRPr="00246DDB" w:rsidRDefault="00246DDB" w:rsidP="00246DDB">
            <w:pPr>
              <w:widowControl w:val="0"/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b/>
                <w:sz w:val="20"/>
                <w:szCs w:val="20"/>
              </w:rPr>
              <w:t>Intra</w:t>
            </w:r>
            <w:r w:rsidRPr="00246DDB">
              <w:rPr>
                <w:rStyle w:val="Nessuno"/>
                <w:rFonts w:ascii="Cambria Math" w:eastAsia="Palatino Linotype" w:hAnsi="Cambria Math" w:cs="Cambria Math"/>
                <w:b/>
                <w:sz w:val="20"/>
                <w:szCs w:val="20"/>
              </w:rPr>
              <w:t>‐</w:t>
            </w:r>
            <w:r w:rsidRPr="00246DDB">
              <w:rPr>
                <w:rStyle w:val="Nessuno"/>
                <w:rFonts w:eastAsia="Palatino Linotype"/>
                <w:b/>
                <w:sz w:val="20"/>
                <w:szCs w:val="20"/>
              </w:rPr>
              <w:t>observer</w:t>
            </w:r>
          </w:p>
          <w:p w14:paraId="474C01C9" w14:textId="77777777" w:rsidR="00246DDB" w:rsidRPr="00246DDB" w:rsidRDefault="00246DDB" w:rsidP="00246DDB">
            <w:pPr>
              <w:widowControl w:val="0"/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b/>
                <w:sz w:val="20"/>
                <w:szCs w:val="20"/>
              </w:rPr>
              <w:t>agreement</w:t>
            </w:r>
          </w:p>
          <w:p w14:paraId="49ED5196" w14:textId="77777777" w:rsidR="00246DDB" w:rsidRPr="00246DDB" w:rsidRDefault="00246DDB" w:rsidP="00246DDB">
            <w:pPr>
              <w:widowControl w:val="0"/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05FD1F7" w14:textId="77777777" w:rsidR="00246DDB" w:rsidRPr="00246DDB" w:rsidRDefault="00246DDB" w:rsidP="00246DDB">
            <w:pPr>
              <w:widowControl w:val="0"/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b/>
                <w:sz w:val="20"/>
                <w:szCs w:val="20"/>
              </w:rPr>
              <w:t>P</w:t>
            </w:r>
          </w:p>
        </w:tc>
      </w:tr>
      <w:tr w:rsidR="00246DDB" w:rsidRPr="00246DDB" w14:paraId="4852F746" w14:textId="77777777" w:rsidTr="000069EE">
        <w:trPr>
          <w:trHeight w:val="527"/>
        </w:trPr>
        <w:tc>
          <w:tcPr>
            <w:tcW w:w="9628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B39ED58" w14:textId="77777777" w:rsidR="00246DDB" w:rsidRPr="00246DDB" w:rsidRDefault="00246DDB" w:rsidP="00246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b/>
                <w:sz w:val="20"/>
                <w:szCs w:val="20"/>
              </w:rPr>
              <w:t>Hemodynamic forces: entire heart cycle</w:t>
            </w:r>
          </w:p>
        </w:tc>
      </w:tr>
      <w:tr w:rsidR="00246DDB" w:rsidRPr="00246DDB" w14:paraId="7BAC84B8" w14:textId="77777777" w:rsidTr="000069EE">
        <w:trPr>
          <w:trHeight w:val="407"/>
        </w:trPr>
        <w:tc>
          <w:tcPr>
            <w:tcW w:w="1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1E51C03" w14:textId="77777777" w:rsidR="00246DDB" w:rsidRPr="00246DDB" w:rsidRDefault="00246DDB" w:rsidP="00246DDB">
            <w:pPr>
              <w:tabs>
                <w:tab w:val="left" w:pos="720"/>
                <w:tab w:val="left" w:pos="1440"/>
              </w:tabs>
              <w:spacing w:after="0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b/>
                <w:sz w:val="20"/>
                <w:szCs w:val="20"/>
              </w:rPr>
              <w:t xml:space="preserve">A-B, (%) </w:t>
            </w:r>
          </w:p>
        </w:tc>
        <w:tc>
          <w:tcPr>
            <w:tcW w:w="3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061ED" w14:textId="77777777" w:rsidR="00246DDB" w:rsidRPr="00246DDB" w:rsidRDefault="00246DDB" w:rsidP="00246DDB">
            <w:pPr>
              <w:spacing w:after="120"/>
              <w:jc w:val="center"/>
              <w:rPr>
                <w:rStyle w:val="Nessuno"/>
                <w:rFonts w:eastAsia="Palatino Linotype"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0.85 (0.36-0.96)</w:t>
            </w:r>
          </w:p>
        </w:tc>
        <w:tc>
          <w:tcPr>
            <w:tcW w:w="8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B699BD7" w14:textId="77777777" w:rsidR="00246DDB" w:rsidRPr="00246DDB" w:rsidRDefault="00246DDB" w:rsidP="00246DDB">
            <w:pPr>
              <w:tabs>
                <w:tab w:val="left" w:pos="720"/>
                <w:tab w:val="left" w:pos="1440"/>
                <w:tab w:val="left" w:pos="2160"/>
              </w:tabs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0.006</w:t>
            </w: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D8C394F" w14:textId="77777777" w:rsidR="00246DDB" w:rsidRPr="00246DDB" w:rsidRDefault="00246DDB" w:rsidP="00246DDB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Style w:val="Nessuno"/>
                <w:rFonts w:eastAsia="Palatino Linotype"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0.82 (0.22-0.96)</w:t>
            </w:r>
          </w:p>
        </w:tc>
        <w:tc>
          <w:tcPr>
            <w:tcW w:w="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477F5A00" w14:textId="77777777" w:rsidR="00246DDB" w:rsidRPr="00246DDB" w:rsidRDefault="00246DDB" w:rsidP="00246DDB">
            <w:pPr>
              <w:tabs>
                <w:tab w:val="left" w:pos="720"/>
              </w:tabs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0.014</w:t>
            </w:r>
          </w:p>
        </w:tc>
      </w:tr>
      <w:tr w:rsidR="00246DDB" w:rsidRPr="00246DDB" w14:paraId="2278BCB8" w14:textId="77777777" w:rsidTr="000069EE">
        <w:trPr>
          <w:trHeight w:val="407"/>
        </w:trPr>
        <w:tc>
          <w:tcPr>
            <w:tcW w:w="1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46C7511" w14:textId="77777777" w:rsidR="00246DDB" w:rsidRPr="00246DDB" w:rsidRDefault="00246DDB" w:rsidP="00246DDB">
            <w:pPr>
              <w:tabs>
                <w:tab w:val="left" w:pos="720"/>
                <w:tab w:val="left" w:pos="1440"/>
              </w:tabs>
              <w:spacing w:after="0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b/>
                <w:sz w:val="20"/>
                <w:szCs w:val="20"/>
              </w:rPr>
              <w:t xml:space="preserve"> L-S, (%) </w:t>
            </w:r>
          </w:p>
        </w:tc>
        <w:tc>
          <w:tcPr>
            <w:tcW w:w="3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C824" w14:textId="77777777" w:rsidR="00246DDB" w:rsidRPr="00246DDB" w:rsidRDefault="00246DDB" w:rsidP="00246DDB">
            <w:pPr>
              <w:spacing w:after="120"/>
              <w:jc w:val="center"/>
              <w:rPr>
                <w:rStyle w:val="Nessuno"/>
                <w:rFonts w:eastAsia="Palatino Linotype"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0.87 (0.14-0.97)</w:t>
            </w:r>
          </w:p>
        </w:tc>
        <w:tc>
          <w:tcPr>
            <w:tcW w:w="8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AB20B69" w14:textId="77777777" w:rsidR="00246DDB" w:rsidRPr="00246DDB" w:rsidRDefault="00246DDB" w:rsidP="00246DDB">
            <w:pPr>
              <w:tabs>
                <w:tab w:val="left" w:pos="720"/>
                <w:tab w:val="left" w:pos="1440"/>
                <w:tab w:val="left" w:pos="2160"/>
              </w:tabs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0.001</w:t>
            </w: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B6C7837" w14:textId="77777777" w:rsidR="00246DDB" w:rsidRPr="00246DDB" w:rsidRDefault="00246DDB" w:rsidP="00246DDB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Style w:val="Nessuno"/>
                <w:rFonts w:eastAsia="Palatino Linotype"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0.76 (0.015-0.94)</w:t>
            </w:r>
          </w:p>
        </w:tc>
        <w:tc>
          <w:tcPr>
            <w:tcW w:w="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B4C8AE1" w14:textId="77777777" w:rsidR="00246DDB" w:rsidRPr="00246DDB" w:rsidRDefault="00246DDB" w:rsidP="00246DDB">
            <w:pPr>
              <w:tabs>
                <w:tab w:val="left" w:pos="720"/>
              </w:tabs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0.030</w:t>
            </w:r>
          </w:p>
        </w:tc>
      </w:tr>
      <w:tr w:rsidR="00246DDB" w:rsidRPr="00246DDB" w14:paraId="5BD93853" w14:textId="77777777" w:rsidTr="000069EE">
        <w:trPr>
          <w:trHeight w:val="407"/>
        </w:trPr>
        <w:tc>
          <w:tcPr>
            <w:tcW w:w="1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CECB6AA" w14:textId="77777777" w:rsidR="00246DDB" w:rsidRPr="00246DDB" w:rsidRDefault="00246DDB" w:rsidP="00246DDB">
            <w:pPr>
              <w:tabs>
                <w:tab w:val="left" w:pos="720"/>
                <w:tab w:val="left" w:pos="1440"/>
              </w:tabs>
              <w:spacing w:after="0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b/>
                <w:sz w:val="20"/>
                <w:szCs w:val="20"/>
              </w:rPr>
              <w:t>L-S/A-B HDF Ratio, (%)</w:t>
            </w:r>
          </w:p>
        </w:tc>
        <w:tc>
          <w:tcPr>
            <w:tcW w:w="3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46BC" w14:textId="77777777" w:rsidR="00246DDB" w:rsidRPr="00246DDB" w:rsidRDefault="00246DDB" w:rsidP="00246DDB">
            <w:pPr>
              <w:spacing w:after="120"/>
              <w:jc w:val="center"/>
              <w:rPr>
                <w:rStyle w:val="Nessuno"/>
                <w:rFonts w:eastAsia="Palatino Linotype"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0.76 (0.06-0.94)</w:t>
            </w:r>
          </w:p>
        </w:tc>
        <w:tc>
          <w:tcPr>
            <w:tcW w:w="8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42E963A" w14:textId="77777777" w:rsidR="00246DDB" w:rsidRPr="00246DDB" w:rsidRDefault="00246DDB" w:rsidP="00246DDB">
            <w:pPr>
              <w:tabs>
                <w:tab w:val="left" w:pos="720"/>
                <w:tab w:val="left" w:pos="1440"/>
                <w:tab w:val="left" w:pos="2160"/>
              </w:tabs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0.018</w:t>
            </w: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A4619B2" w14:textId="77777777" w:rsidR="00246DDB" w:rsidRPr="00246DDB" w:rsidRDefault="00246DDB" w:rsidP="00246DDB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Style w:val="Nessuno"/>
                <w:rFonts w:eastAsia="Palatino Linotype"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0.79 (0.062-0.95)</w:t>
            </w:r>
          </w:p>
        </w:tc>
        <w:tc>
          <w:tcPr>
            <w:tcW w:w="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E54875A" w14:textId="77777777" w:rsidR="00246DDB" w:rsidRPr="00246DDB" w:rsidRDefault="00246DDB" w:rsidP="00246DDB">
            <w:pPr>
              <w:tabs>
                <w:tab w:val="left" w:pos="720"/>
                <w:tab w:val="left" w:pos="1440"/>
                <w:tab w:val="left" w:pos="2160"/>
              </w:tabs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0.024</w:t>
            </w:r>
          </w:p>
        </w:tc>
      </w:tr>
      <w:tr w:rsidR="00246DDB" w:rsidRPr="00246DDB" w14:paraId="7773C693" w14:textId="77777777" w:rsidTr="000069EE">
        <w:trPr>
          <w:trHeight w:val="527"/>
        </w:trPr>
        <w:tc>
          <w:tcPr>
            <w:tcW w:w="9628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7529D92" w14:textId="77777777" w:rsidR="00246DDB" w:rsidRPr="00246DDB" w:rsidRDefault="00246DDB" w:rsidP="00246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b/>
                <w:sz w:val="20"/>
                <w:szCs w:val="20"/>
              </w:rPr>
              <w:t>PV-loop</w:t>
            </w:r>
          </w:p>
        </w:tc>
      </w:tr>
      <w:tr w:rsidR="00246DDB" w:rsidRPr="00246DDB" w14:paraId="5159AD84" w14:textId="77777777" w:rsidTr="000069EE">
        <w:trPr>
          <w:trHeight w:val="407"/>
        </w:trPr>
        <w:tc>
          <w:tcPr>
            <w:tcW w:w="1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F95DBC1" w14:textId="77777777" w:rsidR="00246DDB" w:rsidRPr="00246DDB" w:rsidRDefault="00246DDB" w:rsidP="00246DDB">
            <w:pPr>
              <w:tabs>
                <w:tab w:val="left" w:pos="720"/>
                <w:tab w:val="left" w:pos="1440"/>
              </w:tabs>
              <w:spacing w:after="0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b/>
                <w:sz w:val="20"/>
                <w:szCs w:val="20"/>
              </w:rPr>
              <w:t>Ea, mmHg/mL</w:t>
            </w:r>
          </w:p>
        </w:tc>
        <w:tc>
          <w:tcPr>
            <w:tcW w:w="3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C59C0" w14:textId="77777777" w:rsidR="00246DDB" w:rsidRPr="00246DDB" w:rsidRDefault="00246DDB" w:rsidP="00246DDB">
            <w:pPr>
              <w:spacing w:after="120"/>
              <w:jc w:val="center"/>
              <w:rPr>
                <w:rStyle w:val="Nessuno"/>
                <w:rFonts w:eastAsia="Palatino Linotype"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0.76 (0.19-0.95)</w:t>
            </w:r>
          </w:p>
        </w:tc>
        <w:tc>
          <w:tcPr>
            <w:tcW w:w="8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1ABDE0A" w14:textId="77777777" w:rsidR="00246DDB" w:rsidRPr="00246DDB" w:rsidRDefault="00246DDB" w:rsidP="00246DDB">
            <w:pPr>
              <w:tabs>
                <w:tab w:val="left" w:pos="720"/>
                <w:tab w:val="left" w:pos="1440"/>
                <w:tab w:val="left" w:pos="2160"/>
              </w:tabs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0.004</w:t>
            </w: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971DD75" w14:textId="77777777" w:rsidR="00246DDB" w:rsidRPr="00246DDB" w:rsidRDefault="00246DDB" w:rsidP="00246DDB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Style w:val="Nessuno"/>
                <w:rFonts w:eastAsia="Palatino Linotype"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0.95 (0.78-0.98)</w:t>
            </w:r>
          </w:p>
        </w:tc>
        <w:tc>
          <w:tcPr>
            <w:tcW w:w="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0499157" w14:textId="77777777" w:rsidR="00246DDB" w:rsidRPr="00246DDB" w:rsidRDefault="00246DDB" w:rsidP="00246DDB">
            <w:pPr>
              <w:tabs>
                <w:tab w:val="left" w:pos="720"/>
              </w:tabs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0.001</w:t>
            </w:r>
          </w:p>
        </w:tc>
      </w:tr>
      <w:tr w:rsidR="00246DDB" w:rsidRPr="00246DDB" w14:paraId="0EE14C84" w14:textId="77777777" w:rsidTr="000069EE">
        <w:trPr>
          <w:trHeight w:val="407"/>
        </w:trPr>
        <w:tc>
          <w:tcPr>
            <w:tcW w:w="1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86284FB" w14:textId="77777777" w:rsidR="00246DDB" w:rsidRPr="00246DDB" w:rsidRDefault="00246DDB" w:rsidP="00246DDB">
            <w:pPr>
              <w:tabs>
                <w:tab w:val="left" w:pos="720"/>
                <w:tab w:val="left" w:pos="1440"/>
              </w:tabs>
              <w:spacing w:after="0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b/>
                <w:sz w:val="20"/>
                <w:szCs w:val="20"/>
              </w:rPr>
              <w:t>Ees, mmHg/mL</w:t>
            </w:r>
          </w:p>
        </w:tc>
        <w:tc>
          <w:tcPr>
            <w:tcW w:w="3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47DD4" w14:textId="77777777" w:rsidR="00246DDB" w:rsidRPr="00246DDB" w:rsidRDefault="00246DDB" w:rsidP="00246DDB">
            <w:pPr>
              <w:spacing w:after="120"/>
              <w:jc w:val="center"/>
              <w:rPr>
                <w:rStyle w:val="Nessuno"/>
                <w:rFonts w:eastAsia="Palatino Linotype"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0.75 (0.21-0.92)</w:t>
            </w:r>
          </w:p>
        </w:tc>
        <w:tc>
          <w:tcPr>
            <w:tcW w:w="8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9AC168B" w14:textId="77777777" w:rsidR="00246DDB" w:rsidRPr="00246DDB" w:rsidRDefault="00246DDB" w:rsidP="00246DDB">
            <w:pPr>
              <w:tabs>
                <w:tab w:val="left" w:pos="720"/>
                <w:tab w:val="left" w:pos="1440"/>
                <w:tab w:val="left" w:pos="2160"/>
              </w:tabs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0.031</w:t>
            </w: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9E994F6" w14:textId="77777777" w:rsidR="00246DDB" w:rsidRPr="00246DDB" w:rsidRDefault="00246DDB" w:rsidP="00246DDB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Style w:val="Nessuno"/>
                <w:rFonts w:eastAsia="Palatino Linotype"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0.78 (0.1-0.95)</w:t>
            </w:r>
          </w:p>
        </w:tc>
        <w:tc>
          <w:tcPr>
            <w:tcW w:w="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1045944" w14:textId="77777777" w:rsidR="00246DDB" w:rsidRPr="00246DDB" w:rsidRDefault="00246DDB" w:rsidP="00246DDB">
            <w:pPr>
              <w:tabs>
                <w:tab w:val="left" w:pos="720"/>
              </w:tabs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0.032</w:t>
            </w:r>
          </w:p>
        </w:tc>
      </w:tr>
      <w:tr w:rsidR="00246DDB" w:rsidRPr="00246DDB" w14:paraId="77A95FAE" w14:textId="77777777" w:rsidTr="000069EE">
        <w:trPr>
          <w:trHeight w:val="407"/>
        </w:trPr>
        <w:tc>
          <w:tcPr>
            <w:tcW w:w="1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4410A04" w14:textId="77777777" w:rsidR="00246DDB" w:rsidRPr="00246DDB" w:rsidRDefault="00246DDB" w:rsidP="00246DDB">
            <w:pPr>
              <w:tabs>
                <w:tab w:val="left" w:pos="720"/>
                <w:tab w:val="left" w:pos="1440"/>
              </w:tabs>
              <w:spacing w:after="0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b/>
                <w:sz w:val="20"/>
                <w:szCs w:val="20"/>
              </w:rPr>
              <w:t>PVA, Joule</w:t>
            </w:r>
          </w:p>
        </w:tc>
        <w:tc>
          <w:tcPr>
            <w:tcW w:w="3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1FC7" w14:textId="77777777" w:rsidR="00246DDB" w:rsidRPr="00246DDB" w:rsidRDefault="00246DDB" w:rsidP="00246DDB">
            <w:pPr>
              <w:spacing w:after="120"/>
              <w:jc w:val="center"/>
              <w:rPr>
                <w:rStyle w:val="Nessuno"/>
                <w:rFonts w:eastAsia="Palatino Linotype"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0.86 (0.03-0.97)</w:t>
            </w:r>
          </w:p>
        </w:tc>
        <w:tc>
          <w:tcPr>
            <w:tcW w:w="8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1121DE3" w14:textId="77777777" w:rsidR="00246DDB" w:rsidRPr="00246DDB" w:rsidRDefault="00246DDB" w:rsidP="00246DDB">
            <w:pPr>
              <w:tabs>
                <w:tab w:val="left" w:pos="720"/>
                <w:tab w:val="left" w:pos="1440"/>
                <w:tab w:val="left" w:pos="2160"/>
              </w:tabs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0.001</w:t>
            </w: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F116C67" w14:textId="77777777" w:rsidR="00246DDB" w:rsidRPr="00246DDB" w:rsidRDefault="00246DDB" w:rsidP="00246DDB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Style w:val="Nessuno"/>
                <w:rFonts w:eastAsia="Palatino Linotype"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0.97 (0.86-0.99)</w:t>
            </w:r>
          </w:p>
        </w:tc>
        <w:tc>
          <w:tcPr>
            <w:tcW w:w="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A786436" w14:textId="77777777" w:rsidR="00246DDB" w:rsidRPr="00246DDB" w:rsidRDefault="00246DDB" w:rsidP="00246DDB">
            <w:pPr>
              <w:tabs>
                <w:tab w:val="left" w:pos="720"/>
              </w:tabs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0.001</w:t>
            </w:r>
          </w:p>
        </w:tc>
      </w:tr>
      <w:tr w:rsidR="00246DDB" w:rsidRPr="00246DDB" w14:paraId="4AF8B102" w14:textId="77777777" w:rsidTr="000069EE">
        <w:trPr>
          <w:trHeight w:val="407"/>
        </w:trPr>
        <w:tc>
          <w:tcPr>
            <w:tcW w:w="1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7C87DFD" w14:textId="77777777" w:rsidR="00246DDB" w:rsidRPr="00246DDB" w:rsidRDefault="00246DDB" w:rsidP="00246DDB">
            <w:pPr>
              <w:tabs>
                <w:tab w:val="left" w:pos="720"/>
                <w:tab w:val="left" w:pos="1440"/>
              </w:tabs>
              <w:spacing w:after="0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b/>
                <w:sz w:val="20"/>
                <w:szCs w:val="20"/>
              </w:rPr>
              <w:t>SW, Joule</w:t>
            </w:r>
          </w:p>
        </w:tc>
        <w:tc>
          <w:tcPr>
            <w:tcW w:w="3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61C6B" w14:textId="77777777" w:rsidR="00246DDB" w:rsidRPr="00246DDB" w:rsidRDefault="00246DDB" w:rsidP="00246DDB">
            <w:pPr>
              <w:spacing w:after="120"/>
              <w:jc w:val="center"/>
              <w:rPr>
                <w:rStyle w:val="Nessuno"/>
                <w:rFonts w:eastAsia="Palatino Linotype"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0.85 (0.04-0.97)</w:t>
            </w:r>
          </w:p>
        </w:tc>
        <w:tc>
          <w:tcPr>
            <w:tcW w:w="8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6CCEF9E" w14:textId="77777777" w:rsidR="00246DDB" w:rsidRPr="00246DDB" w:rsidRDefault="00246DDB" w:rsidP="00246DDB">
            <w:pPr>
              <w:tabs>
                <w:tab w:val="left" w:pos="720"/>
                <w:tab w:val="left" w:pos="1440"/>
                <w:tab w:val="left" w:pos="2160"/>
              </w:tabs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0.001</w:t>
            </w: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4F114375" w14:textId="77777777" w:rsidR="00246DDB" w:rsidRPr="00246DDB" w:rsidRDefault="00246DDB" w:rsidP="00246DDB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Style w:val="Nessuno"/>
                <w:rFonts w:eastAsia="Palatino Linotype"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0.98 (0.91-0.99)</w:t>
            </w:r>
          </w:p>
        </w:tc>
        <w:tc>
          <w:tcPr>
            <w:tcW w:w="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455CF25" w14:textId="77777777" w:rsidR="00246DDB" w:rsidRPr="00246DDB" w:rsidRDefault="00246DDB" w:rsidP="00246DDB">
            <w:pPr>
              <w:tabs>
                <w:tab w:val="left" w:pos="720"/>
              </w:tabs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0.001</w:t>
            </w:r>
          </w:p>
        </w:tc>
      </w:tr>
      <w:tr w:rsidR="00246DDB" w:rsidRPr="00246DDB" w14:paraId="1FFC1A40" w14:textId="77777777" w:rsidTr="000069EE">
        <w:trPr>
          <w:trHeight w:val="407"/>
        </w:trPr>
        <w:tc>
          <w:tcPr>
            <w:tcW w:w="16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41AB6927" w14:textId="77777777" w:rsidR="00246DDB" w:rsidRPr="00246DDB" w:rsidRDefault="00246DDB" w:rsidP="00246DDB">
            <w:pPr>
              <w:tabs>
                <w:tab w:val="left" w:pos="720"/>
                <w:tab w:val="left" w:pos="1440"/>
              </w:tabs>
              <w:spacing w:after="0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b/>
                <w:sz w:val="20"/>
                <w:szCs w:val="20"/>
              </w:rPr>
              <w:t>PE, Joule</w:t>
            </w:r>
          </w:p>
        </w:tc>
        <w:tc>
          <w:tcPr>
            <w:tcW w:w="3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DC552" w14:textId="77777777" w:rsidR="00246DDB" w:rsidRPr="00246DDB" w:rsidRDefault="00246DDB" w:rsidP="00246DDB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Style w:val="Nessuno"/>
                <w:rFonts w:eastAsia="Palatino Linotype"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0.76 (0.08-0.94)</w:t>
            </w:r>
          </w:p>
        </w:tc>
        <w:tc>
          <w:tcPr>
            <w:tcW w:w="8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7B7D7EC" w14:textId="77777777" w:rsidR="00246DDB" w:rsidRPr="00246DDB" w:rsidRDefault="00246DDB" w:rsidP="00246DDB">
            <w:pPr>
              <w:tabs>
                <w:tab w:val="left" w:pos="720"/>
              </w:tabs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0.018</w:t>
            </w: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2E3393F" w14:textId="77777777" w:rsidR="00246DDB" w:rsidRPr="00246DDB" w:rsidRDefault="00246DDB" w:rsidP="00246DDB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Style w:val="Nessuno"/>
                <w:rFonts w:eastAsia="Palatino Linotype"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0.9 (0.53-0.97)</w:t>
            </w:r>
          </w:p>
        </w:tc>
        <w:tc>
          <w:tcPr>
            <w:tcW w:w="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2180EC9" w14:textId="77777777" w:rsidR="00246DDB" w:rsidRPr="00246DDB" w:rsidRDefault="00246DDB" w:rsidP="00246DDB">
            <w:pPr>
              <w:tabs>
                <w:tab w:val="left" w:pos="720"/>
              </w:tabs>
              <w:spacing w:after="0"/>
              <w:jc w:val="center"/>
              <w:rPr>
                <w:rStyle w:val="Nessuno"/>
                <w:rFonts w:eastAsia="Palatino Linotype"/>
                <w:b/>
                <w:sz w:val="20"/>
                <w:szCs w:val="20"/>
              </w:rPr>
            </w:pPr>
            <w:r w:rsidRPr="00246DDB">
              <w:rPr>
                <w:rStyle w:val="Nessuno"/>
                <w:rFonts w:eastAsia="Palatino Linotype"/>
                <w:sz w:val="20"/>
                <w:szCs w:val="20"/>
              </w:rPr>
              <w:t>0.003</w:t>
            </w:r>
          </w:p>
        </w:tc>
      </w:tr>
    </w:tbl>
    <w:p w14:paraId="2587CC03" w14:textId="77777777" w:rsidR="00246DDB" w:rsidRPr="00246DDB" w:rsidRDefault="00246DDB" w:rsidP="00246DDB">
      <w:pPr>
        <w:rPr>
          <w:szCs w:val="24"/>
        </w:rPr>
      </w:pPr>
    </w:p>
    <w:p w14:paraId="65AA62DC" w14:textId="77777777" w:rsidR="00246DDB" w:rsidRPr="00246DDB" w:rsidRDefault="00246DDB" w:rsidP="00246DDB">
      <w:pPr>
        <w:tabs>
          <w:tab w:val="left" w:pos="720"/>
          <w:tab w:val="left" w:pos="1440"/>
          <w:tab w:val="left" w:pos="2160"/>
        </w:tabs>
        <w:spacing w:after="0"/>
        <w:jc w:val="both"/>
        <w:rPr>
          <w:rStyle w:val="Nessuno"/>
          <w:rFonts w:eastAsia="Palatino Linotype"/>
          <w:i/>
          <w:iCs/>
          <w:szCs w:val="24"/>
        </w:rPr>
      </w:pPr>
      <w:r w:rsidRPr="00246DDB">
        <w:rPr>
          <w:rStyle w:val="Nessuno"/>
          <w:rFonts w:eastAsia="Palatino Linotype"/>
          <w:i/>
          <w:iCs/>
          <w:szCs w:val="24"/>
        </w:rPr>
        <w:t xml:space="preserve"> HDFs: hemodynamic forces; A-B apex to base direction; L-S: latero-septal direction; </w:t>
      </w:r>
      <w:r w:rsidRPr="00246DDB">
        <w:rPr>
          <w:rStyle w:val="Nessuno"/>
          <w:rFonts w:eastAsia="Palatino Linotype"/>
          <w:i/>
          <w:szCs w:val="24"/>
        </w:rPr>
        <w:t xml:space="preserve">L-S/A-B HDFs Ratio: latero-septal direction over apex to base direction ratio; </w:t>
      </w:r>
      <w:r w:rsidRPr="00246DDB">
        <w:rPr>
          <w:rStyle w:val="Nessuno"/>
          <w:rFonts w:eastAsia="Palatino Linotype"/>
          <w:i/>
          <w:iCs/>
          <w:szCs w:val="24"/>
        </w:rPr>
        <w:t>E</w:t>
      </w:r>
      <w:r w:rsidRPr="00246DDB">
        <w:rPr>
          <w:rStyle w:val="Nessuno"/>
          <w:rFonts w:eastAsia="Palatino Linotype"/>
          <w:i/>
          <w:iCs/>
          <w:szCs w:val="24"/>
          <w:vertAlign w:val="subscript"/>
        </w:rPr>
        <w:t>a</w:t>
      </w:r>
      <w:r w:rsidRPr="00246DDB">
        <w:rPr>
          <w:rStyle w:val="Nessuno"/>
          <w:rFonts w:eastAsia="Palatino Linotype"/>
          <w:i/>
          <w:iCs/>
          <w:szCs w:val="24"/>
        </w:rPr>
        <w:t>: arterial elastance; E</w:t>
      </w:r>
      <w:r w:rsidRPr="00246DDB">
        <w:rPr>
          <w:rStyle w:val="Nessuno"/>
          <w:rFonts w:eastAsia="Palatino Linotype"/>
          <w:i/>
          <w:iCs/>
          <w:szCs w:val="24"/>
          <w:vertAlign w:val="subscript"/>
        </w:rPr>
        <w:t>es</w:t>
      </w:r>
      <w:r w:rsidRPr="00246DDB">
        <w:rPr>
          <w:rStyle w:val="Nessuno"/>
          <w:rFonts w:eastAsia="Palatino Linotype"/>
          <w:i/>
          <w:iCs/>
          <w:szCs w:val="24"/>
        </w:rPr>
        <w:t xml:space="preserve">: end-systolic ventricular elastance; PE: potential energy; PVA: pressure-volume area; SW: stroke work. </w:t>
      </w:r>
    </w:p>
    <w:p w14:paraId="7A78FC42" w14:textId="77777777" w:rsidR="00246DDB" w:rsidRPr="00246DDB" w:rsidRDefault="00246DDB" w:rsidP="0024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2"/>
        </w:tabs>
        <w:spacing w:after="0"/>
        <w:ind w:left="170" w:right="113"/>
        <w:jc w:val="both"/>
        <w:rPr>
          <w:b/>
          <w:sz w:val="20"/>
          <w:szCs w:val="20"/>
        </w:rPr>
      </w:pPr>
    </w:p>
    <w:sectPr w:rsidR="00246DDB" w:rsidRPr="00246DDB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039FE" w14:textId="77777777" w:rsidR="00923182" w:rsidRDefault="00923182" w:rsidP="00117666">
      <w:pPr>
        <w:spacing w:after="0"/>
      </w:pPr>
      <w:r>
        <w:separator/>
      </w:r>
    </w:p>
  </w:endnote>
  <w:endnote w:type="continuationSeparator" w:id="0">
    <w:p w14:paraId="181B3719" w14:textId="77777777" w:rsidR="00923182" w:rsidRDefault="0092318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2367C82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719D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2367C82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719DE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2EAC014A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719D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2EAC014A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719D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D2895" w14:textId="77777777" w:rsidR="00923182" w:rsidRDefault="00923182" w:rsidP="00117666">
      <w:pPr>
        <w:spacing w:after="0"/>
      </w:pPr>
      <w:r>
        <w:separator/>
      </w:r>
    </w:p>
  </w:footnote>
  <w:footnote w:type="continuationSeparator" w:id="0">
    <w:p w14:paraId="6CD6C3E4" w14:textId="77777777" w:rsidR="00923182" w:rsidRDefault="0092318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it-IT" w:eastAsia="it-IT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48F1"/>
    <w:multiLevelType w:val="hybridMultilevel"/>
    <w:tmpl w:val="A5C2B6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C4E1E"/>
    <w:multiLevelType w:val="hybridMultilevel"/>
    <w:tmpl w:val="FD4028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358FA"/>
    <w:multiLevelType w:val="hybridMultilevel"/>
    <w:tmpl w:val="3A0EBC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46DDB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83D25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719DE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23182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  <w:style w:type="character" w:customStyle="1" w:styleId="Nessuno">
    <w:name w:val="Nessuno"/>
    <w:rsid w:val="00246DDB"/>
    <w:rPr>
      <w:lang w:val="en-US"/>
    </w:rPr>
  </w:style>
  <w:style w:type="table" w:customStyle="1" w:styleId="1">
    <w:name w:val="1"/>
    <w:basedOn w:val="Tabellanormale"/>
    <w:rsid w:val="00246DDB"/>
    <w:pPr>
      <w:spacing w:after="160" w:line="259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6BC4432-67FA-4F98-B404-530F754E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Utente Windows</cp:lastModifiedBy>
  <cp:revision>2</cp:revision>
  <cp:lastPrinted>2013-10-03T12:51:00Z</cp:lastPrinted>
  <dcterms:created xsi:type="dcterms:W3CDTF">2022-02-17T15:00:00Z</dcterms:created>
  <dcterms:modified xsi:type="dcterms:W3CDTF">2022-02-17T15:00:00Z</dcterms:modified>
</cp:coreProperties>
</file>