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Supplementary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208395" cy="62103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621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Supplementary Figure 1. </w:t>
      </w:r>
      <w:r w:rsidDel="00000000" w:rsidR="00000000" w:rsidRPr="00000000">
        <w:rPr>
          <w:b w:val="0"/>
          <w:sz w:val="24"/>
          <w:szCs w:val="24"/>
          <w:rtl w:val="0"/>
        </w:rPr>
        <w:t xml:space="preserve">Sensitivity analysis. Drug-disease similarity-based performance on</w:t>
      </w:r>
      <w:r w:rsidDel="00000000" w:rsidR="00000000" w:rsidRPr="00000000">
        <w:rPr>
          <w:rtl w:val="0"/>
        </w:rPr>
        <w:t xml:space="preserve"> FCbench</w:t>
      </w:r>
      <w:r w:rsidDel="00000000" w:rsidR="00000000" w:rsidRPr="00000000">
        <w:rPr>
          <w:b w:val="0"/>
          <w:sz w:val="24"/>
          <w:szCs w:val="24"/>
          <w:rtl w:val="0"/>
        </w:rPr>
        <w:t xml:space="preserve">, assigning a positive label additionally to </w:t>
      </w:r>
      <w:r w:rsidDel="00000000" w:rsidR="00000000" w:rsidRPr="00000000">
        <w:rPr>
          <w:rtl w:val="0"/>
        </w:rPr>
        <w:t xml:space="preserve">contraindicated</w:t>
      </w:r>
      <w:r w:rsidDel="00000000" w:rsidR="00000000" w:rsidRPr="00000000">
        <w:rPr>
          <w:b w:val="0"/>
          <w:sz w:val="24"/>
          <w:szCs w:val="24"/>
          <w:rtl w:val="0"/>
        </w:rPr>
        <w:t xml:space="preserve"> drug-disease combinations as wel</w:t>
      </w:r>
      <w:r w:rsidDel="00000000" w:rsidR="00000000" w:rsidRPr="00000000">
        <w:rPr>
          <w:rtl w:val="0"/>
        </w:rPr>
        <w:t xml:space="preserve">l as to those </w:t>
      </w:r>
      <w:r w:rsidDel="00000000" w:rsidR="00000000" w:rsidRPr="00000000">
        <w:rPr>
          <w:b w:val="0"/>
          <w:sz w:val="24"/>
          <w:szCs w:val="24"/>
          <w:rtl w:val="0"/>
        </w:rPr>
        <w:t xml:space="preserve">in clinical trials. Performance of the different drug repurposing tools: </w:t>
      </w:r>
      <w:r w:rsidDel="00000000" w:rsidR="00000000" w:rsidRPr="00000000">
        <w:rPr>
          <w:rtl w:val="0"/>
        </w:rPr>
        <w:t xml:space="preserve">ANUBIX </w:t>
      </w:r>
      <w:r w:rsidDel="00000000" w:rsidR="00000000" w:rsidRPr="00000000">
        <w:rPr>
          <w:b w:val="0"/>
          <w:sz w:val="24"/>
          <w:szCs w:val="24"/>
          <w:rtl w:val="0"/>
        </w:rPr>
        <w:t xml:space="preserve">(green), </w:t>
      </w:r>
      <w:r w:rsidDel="00000000" w:rsidR="00000000" w:rsidRPr="00000000">
        <w:rPr>
          <w:rtl w:val="0"/>
        </w:rPr>
        <w:t xml:space="preserve">BinoX </w:t>
      </w:r>
      <w:r w:rsidDel="00000000" w:rsidR="00000000" w:rsidRPr="00000000">
        <w:rPr>
          <w:b w:val="0"/>
          <w:sz w:val="24"/>
          <w:szCs w:val="24"/>
          <w:rtl w:val="0"/>
        </w:rPr>
        <w:t xml:space="preserve">(orange), </w:t>
      </w:r>
      <w:r w:rsidDel="00000000" w:rsidR="00000000" w:rsidRPr="00000000">
        <w:rPr>
          <w:rtl w:val="0"/>
        </w:rPr>
        <w:t xml:space="preserve">NEAT </w:t>
      </w:r>
      <w:r w:rsidDel="00000000" w:rsidR="00000000" w:rsidRPr="00000000">
        <w:rPr>
          <w:b w:val="0"/>
          <w:sz w:val="24"/>
          <w:szCs w:val="24"/>
          <w:rtl w:val="0"/>
        </w:rPr>
        <w:t xml:space="preserve">(purple) and proximity (prox, pink) on area under ROC curve (AUROC) using sampled sets from the benchmark containing equal number of positive and negative drug-disease combinations. The pairwise Wilcoxon rank sum test was used to assess the significance of difference on AUROC. FDR-corrected p-values were obtained using the </w:t>
      </w:r>
      <w:r w:rsidDel="00000000" w:rsidR="00000000" w:rsidRPr="00000000">
        <w:rPr>
          <w:rtl w:val="0"/>
        </w:rPr>
        <w:t xml:space="preserve">Benjamini-Hochberg</w:t>
      </w:r>
      <w:r w:rsidDel="00000000" w:rsidR="00000000" w:rsidRPr="00000000">
        <w:rPr>
          <w:b w:val="0"/>
          <w:sz w:val="24"/>
          <w:szCs w:val="24"/>
          <w:rtl w:val="0"/>
        </w:rPr>
        <w:t xml:space="preserve"> procedure.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rPr>
          <w:b w:val="1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114300" distT="114300" distL="114300" distR="114300">
            <wp:extent cx="6208395" cy="6210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621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Supplementary Figure 2.</w:t>
      </w:r>
      <w:r w:rsidDel="00000000" w:rsidR="00000000" w:rsidRPr="00000000">
        <w:rPr>
          <w:rtl w:val="0"/>
        </w:rPr>
        <w:t xml:space="preserve"> Precision-Recall (PR) curves for the tested drug repurposing tools: ANUBIX (green), BinoX (orange), NEAT (purple) and proximity (prox, pink). PR curves for drug-disease similarity in the left column and for drug-drug similarity in the right column. A) and B) from the original benchmark, C), and D) for the time-stamped benchmark and E), and F) for FCbench.</w:t>
      </w: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footerReference r:id="rId10" w:type="default"/>
      <w:footerReference r:id="rId11" w:type="even"/>
      <w:pgSz w:h="15840" w:w="12240" w:orient="portrait"/>
      <w:pgMar w:bottom="1138" w:top="1138" w:left="1282" w:right="118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>
        <w:color w:val="c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12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 \* Arabic  \* MERGEFORMAT 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  <w:t xml:space="preserve">Supplementary Material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4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40" w:lineRule="auto"/>
      <w:ind w:left="567" w:hanging="567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  <w:ind w:left="567" w:hanging="567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