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1D8C" w14:textId="33CB10FE" w:rsidR="00851D86" w:rsidRPr="00851D86" w:rsidRDefault="00851D86" w:rsidP="003D5DEE">
      <w:pPr>
        <w:spacing w:line="480" w:lineRule="auto"/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</w:pPr>
      <w:r w:rsidRPr="00851D86">
        <w:rPr>
          <w:rFonts w:ascii="Times New Roman" w:hAnsi="Times New Roman"/>
          <w:b/>
          <w:bCs/>
          <w:color w:val="000000" w:themeColor="text1"/>
          <w:sz w:val="20"/>
          <w:szCs w:val="20"/>
        </w:rPr>
        <w:t>Figure Legends</w:t>
      </w:r>
      <w:r w:rsidRPr="00851D86"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 xml:space="preserve"> </w:t>
      </w:r>
      <w:r w:rsidRPr="00851D86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for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S</w:t>
      </w:r>
      <w:r w:rsidRPr="00851D86">
        <w:rPr>
          <w:rFonts w:ascii="Times New Roman" w:hAnsi="Times New Roman"/>
          <w:b/>
          <w:bCs/>
          <w:color w:val="000000" w:themeColor="text1"/>
          <w:sz w:val="20"/>
          <w:szCs w:val="20"/>
        </w:rPr>
        <w:t>upplementary Figures.</w:t>
      </w:r>
    </w:p>
    <w:p w14:paraId="1FEFC4AF" w14:textId="06CDEF7C" w:rsidR="003D5DEE" w:rsidRPr="0053795B" w:rsidRDefault="003D5DEE" w:rsidP="003D5DEE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1</w:t>
      </w:r>
      <w:r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S</w:t>
      </w: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 xml:space="preserve"> Development of risk score model based on the four ARGs signature in patients with breast cancer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from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3795B">
        <w:rPr>
          <w:rFonts w:ascii="Times New Roman" w:eastAsia="微软雅黑" w:hAnsi="Times New Roman"/>
          <w:color w:val="000000" w:themeColor="text1"/>
          <w:sz w:val="20"/>
          <w:szCs w:val="20"/>
        </w:rPr>
        <w:t>GSE7390</w:t>
      </w:r>
      <w:r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Pr="0053795B">
        <w:rPr>
          <w:rFonts w:ascii="Times New Roman" w:hAnsi="Times New Roman"/>
          <w:bCs/>
          <w:color w:val="000000" w:themeColor="text1"/>
          <w:sz w:val="20"/>
          <w:szCs w:val="20"/>
        </w:rPr>
        <w:t>datasets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 xml:space="preserve">. (A) The risk score distribution and survival status of patients; (B) Kaplan–Meier analysis of the prognostic model; (C) Heatmap of the four ARGs expression and clinical parameter profiles between high- and low-risk groups; (D) Time-dependent ROC analysis of the risk score model. </w:t>
      </w:r>
    </w:p>
    <w:p w14:paraId="32E111FC" w14:textId="0EC93BEB" w:rsidR="003D5DEE" w:rsidRPr="0053795B" w:rsidRDefault="003D5DEE" w:rsidP="003D5DEE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2</w:t>
      </w:r>
      <w:r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S</w:t>
      </w: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 xml:space="preserve"> Development of risk score model based on the four ARGs signature in patients with breast cancer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from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3795B">
        <w:rPr>
          <w:rFonts w:ascii="Times New Roman" w:hAnsi="Times New Roman"/>
          <w:bCs/>
          <w:color w:val="000000" w:themeColor="text1"/>
          <w:sz w:val="20"/>
          <w:szCs w:val="20"/>
        </w:rPr>
        <w:t>GSE88770</w:t>
      </w:r>
      <w:r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Pr="0053795B">
        <w:rPr>
          <w:rFonts w:ascii="Times New Roman" w:hAnsi="Times New Roman"/>
          <w:bCs/>
          <w:color w:val="000000" w:themeColor="text1"/>
          <w:sz w:val="20"/>
          <w:szCs w:val="20"/>
        </w:rPr>
        <w:t>datasets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 xml:space="preserve">. (A) The risk score distribution and survival status of patients; (B) Kaplan–Meier analysis of the prognostic model; (C) Heatmap of the four ARGs expression and clinical parameter profiles between high- and low-risk groups; (D) Time-dependent ROC analysis of the risk score model. </w:t>
      </w:r>
    </w:p>
    <w:p w14:paraId="425DEF85" w14:textId="7703DFB6" w:rsidR="003D5DEE" w:rsidRDefault="003D5DEE" w:rsidP="003D5DEE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S</w:t>
      </w: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 xml:space="preserve"> The relationship between ARGs-based risk score and clinical features including M stage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), age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B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), N stage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C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), clinical stage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D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), ER status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E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 and PR status (</w:t>
      </w:r>
      <w:r>
        <w:rPr>
          <w:rFonts w:ascii="Times New Roman" w:hAnsi="Times New Roman" w:hint="eastAsia"/>
          <w:color w:val="000000" w:themeColor="text1"/>
          <w:sz w:val="20"/>
          <w:szCs w:val="20"/>
        </w:rPr>
        <w:t>F</w:t>
      </w:r>
      <w:r w:rsidRPr="0053795B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14:paraId="6AAA4F50" w14:textId="3EFAAD2C" w:rsidR="003D5DEE" w:rsidRPr="00851D86" w:rsidRDefault="003D5DEE" w:rsidP="003D5DEE">
      <w:pPr>
        <w:spacing w:line="48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Figure 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4</w:t>
      </w:r>
      <w:r>
        <w:rPr>
          <w:rFonts w:ascii="Times New Roman" w:hAnsi="Times New Roman" w:hint="eastAsia"/>
          <w:b/>
          <w:bCs/>
          <w:color w:val="000000" w:themeColor="text1"/>
          <w:sz w:val="20"/>
          <w:szCs w:val="20"/>
        </w:rPr>
        <w:t>S</w:t>
      </w:r>
      <w:r w:rsidRPr="0053795B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F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unction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enrichment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of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these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four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prognostic genes</w:t>
      </w:r>
      <w:r w:rsidR="00851D86">
        <w:rPr>
          <w:rFonts w:ascii="Times New Roman" w:eastAsia="微软雅黑" w:hAnsi="Times New Roman"/>
          <w:color w:val="000000" w:themeColor="text1"/>
          <w:sz w:val="20"/>
          <w:szCs w:val="20"/>
        </w:rPr>
        <w:t xml:space="preserve"> 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(</w:t>
      </w:r>
      <w:r w:rsidR="00851D86" w:rsidRPr="0053795B">
        <w:rPr>
          <w:rFonts w:ascii="Times New Roman" w:hAnsi="Times New Roman"/>
          <w:bCs/>
          <w:color w:val="000000" w:themeColor="text1"/>
          <w:sz w:val="20"/>
          <w:szCs w:val="20"/>
        </w:rPr>
        <w:t>TNFSF12, SCG2, COL4A3 and TNNI3</w:t>
      </w:r>
      <w:r w:rsidR="00851D86">
        <w:rPr>
          <w:rFonts w:ascii="Times New Roman" w:eastAsia="微软雅黑" w:hAnsi="Times New Roman" w:hint="eastAsia"/>
          <w:color w:val="000000" w:themeColor="text1"/>
          <w:sz w:val="20"/>
          <w:szCs w:val="20"/>
        </w:rPr>
        <w:t>).</w:t>
      </w:r>
    </w:p>
    <w:p w14:paraId="3AF891AA" w14:textId="28BA9610" w:rsidR="0041255B" w:rsidRPr="003D5DEE" w:rsidRDefault="0041255B"/>
    <w:sectPr w:rsidR="0041255B" w:rsidRPr="003D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DK1tAACIyMjYyUdpeDU4uLM/DyQAsNaABDg1dosAAAA"/>
  </w:docVars>
  <w:rsids>
    <w:rsidRoot w:val="00F82528"/>
    <w:rsid w:val="003D5DEE"/>
    <w:rsid w:val="0041255B"/>
    <w:rsid w:val="00851D86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75CD"/>
  <w15:chartTrackingRefBased/>
  <w15:docId w15:val="{3B755308-D15A-46C3-BC54-7A7E5E24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Ningning</dc:creator>
  <cp:keywords/>
  <dc:description/>
  <cp:lastModifiedBy>Zhang Ningning</cp:lastModifiedBy>
  <cp:revision>3</cp:revision>
  <dcterms:created xsi:type="dcterms:W3CDTF">2022-02-27T02:29:00Z</dcterms:created>
  <dcterms:modified xsi:type="dcterms:W3CDTF">2022-02-27T02:36:00Z</dcterms:modified>
</cp:coreProperties>
</file>