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A5025" w14:textId="77777777" w:rsidR="00701448" w:rsidRPr="00923EDA" w:rsidRDefault="00701448" w:rsidP="00701448">
      <w:pPr>
        <w:spacing w:line="360" w:lineRule="auto"/>
        <w:rPr>
          <w:rFonts w:ascii="Times New Roman" w:hAnsi="Times New Roman" w:cs="Times New Roman"/>
          <w:b/>
          <w:bCs/>
          <w:sz w:val="24"/>
          <w:szCs w:val="24"/>
        </w:rPr>
      </w:pPr>
      <w:r w:rsidRPr="00AD303A">
        <w:rPr>
          <w:rFonts w:ascii="Times New Roman" w:hAnsi="Times New Roman" w:cs="Times New Roman"/>
          <w:b/>
          <w:bCs/>
          <w:sz w:val="24"/>
          <w:szCs w:val="24"/>
        </w:rPr>
        <w:t xml:space="preserve">Supplementary Table </w:t>
      </w:r>
      <w:r>
        <w:rPr>
          <w:rFonts w:ascii="Times New Roman" w:hAnsi="Times New Roman" w:cs="Times New Roman"/>
          <w:b/>
          <w:bCs/>
          <w:sz w:val="24"/>
          <w:szCs w:val="24"/>
        </w:rPr>
        <w:t>1</w:t>
      </w:r>
      <w:r w:rsidRPr="00AD303A">
        <w:rPr>
          <w:rFonts w:ascii="Times New Roman" w:hAnsi="Times New Roman" w:cs="Times New Roman"/>
          <w:b/>
          <w:bCs/>
          <w:sz w:val="24"/>
          <w:szCs w:val="24"/>
        </w:rPr>
        <w:t xml:space="preserve">. </w:t>
      </w:r>
      <w:r w:rsidRPr="00923EDA">
        <w:rPr>
          <w:rFonts w:ascii="Times New Roman" w:hAnsi="Times New Roman" w:cs="Times New Roman"/>
          <w:b/>
          <w:bCs/>
          <w:sz w:val="24"/>
          <w:szCs w:val="24"/>
        </w:rPr>
        <w:t>Overview of details for original studies</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5"/>
        <w:gridCol w:w="1670"/>
        <w:gridCol w:w="1280"/>
        <w:gridCol w:w="3859"/>
        <w:gridCol w:w="5744"/>
      </w:tblGrid>
      <w:tr w:rsidR="00F43108" w:rsidRPr="00EE22EA" w14:paraId="5EFDAB52" w14:textId="77777777" w:rsidTr="00657D28">
        <w:tc>
          <w:tcPr>
            <w:tcW w:w="0" w:type="auto"/>
            <w:tcBorders>
              <w:top w:val="single" w:sz="12" w:space="0" w:color="auto"/>
              <w:bottom w:val="single" w:sz="4" w:space="0" w:color="auto"/>
            </w:tcBorders>
            <w:shd w:val="clear" w:color="auto" w:fill="AEAAAA" w:themeFill="background2" w:themeFillShade="BF"/>
          </w:tcPr>
          <w:p w14:paraId="6E9158E1" w14:textId="77777777" w:rsidR="00701448" w:rsidRPr="00EE22EA" w:rsidRDefault="00701448" w:rsidP="00657D28">
            <w:pPr>
              <w:rPr>
                <w:rFonts w:ascii="Times New Roman" w:hAnsi="Times New Roman" w:cs="Times New Roman"/>
                <w:b/>
                <w:sz w:val="24"/>
                <w:szCs w:val="24"/>
              </w:rPr>
            </w:pPr>
            <w:r w:rsidRPr="00EE22EA">
              <w:rPr>
                <w:rFonts w:ascii="Times New Roman" w:hAnsi="Times New Roman" w:cs="Times New Roman" w:hint="eastAsia"/>
                <w:b/>
                <w:sz w:val="24"/>
                <w:szCs w:val="24"/>
              </w:rPr>
              <w:t>GEO</w:t>
            </w:r>
            <w:r w:rsidRPr="00EE22EA">
              <w:rPr>
                <w:rFonts w:ascii="Times New Roman" w:hAnsi="Times New Roman" w:cs="Times New Roman"/>
                <w:b/>
                <w:sz w:val="24"/>
                <w:szCs w:val="24"/>
              </w:rPr>
              <w:t xml:space="preserve"> database</w:t>
            </w:r>
          </w:p>
        </w:tc>
        <w:tc>
          <w:tcPr>
            <w:tcW w:w="0" w:type="auto"/>
            <w:tcBorders>
              <w:top w:val="single" w:sz="12" w:space="0" w:color="auto"/>
              <w:bottom w:val="single" w:sz="4" w:space="0" w:color="auto"/>
            </w:tcBorders>
            <w:shd w:val="clear" w:color="auto" w:fill="AEAAAA" w:themeFill="background2" w:themeFillShade="BF"/>
          </w:tcPr>
          <w:p w14:paraId="590BADD7"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Region</w:t>
            </w:r>
          </w:p>
        </w:tc>
        <w:tc>
          <w:tcPr>
            <w:tcW w:w="0" w:type="auto"/>
            <w:tcBorders>
              <w:top w:val="single" w:sz="12" w:space="0" w:color="auto"/>
              <w:bottom w:val="single" w:sz="4" w:space="0" w:color="auto"/>
            </w:tcBorders>
            <w:shd w:val="clear" w:color="auto" w:fill="AEAAAA" w:themeFill="background2" w:themeFillShade="BF"/>
          </w:tcPr>
          <w:p w14:paraId="301905EC"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Platform</w:t>
            </w:r>
          </w:p>
        </w:tc>
        <w:tc>
          <w:tcPr>
            <w:tcW w:w="0" w:type="auto"/>
            <w:tcBorders>
              <w:top w:val="single" w:sz="12" w:space="0" w:color="auto"/>
              <w:bottom w:val="single" w:sz="4" w:space="0" w:color="auto"/>
            </w:tcBorders>
            <w:shd w:val="clear" w:color="auto" w:fill="AEAAAA" w:themeFill="background2" w:themeFillShade="BF"/>
          </w:tcPr>
          <w:p w14:paraId="4B04E907" w14:textId="77777777" w:rsidR="00701448" w:rsidRPr="00EE22EA" w:rsidRDefault="00701448" w:rsidP="00657D28">
            <w:pPr>
              <w:rPr>
                <w:rFonts w:ascii="Times New Roman" w:hAnsi="Times New Roman" w:cs="Times New Roman"/>
                <w:b/>
                <w:sz w:val="24"/>
                <w:szCs w:val="24"/>
              </w:rPr>
            </w:pPr>
            <w:r>
              <w:rPr>
                <w:rFonts w:ascii="Times New Roman" w:hAnsi="Times New Roman" w:cs="Times New Roman"/>
                <w:b/>
                <w:sz w:val="24"/>
                <w:szCs w:val="24"/>
              </w:rPr>
              <w:t>Description</w:t>
            </w:r>
          </w:p>
        </w:tc>
        <w:tc>
          <w:tcPr>
            <w:tcW w:w="0" w:type="auto"/>
            <w:tcBorders>
              <w:top w:val="single" w:sz="12" w:space="0" w:color="auto"/>
              <w:bottom w:val="single" w:sz="4" w:space="0" w:color="auto"/>
            </w:tcBorders>
            <w:shd w:val="clear" w:color="auto" w:fill="AEAAAA" w:themeFill="background2" w:themeFillShade="BF"/>
          </w:tcPr>
          <w:p w14:paraId="166C9786" w14:textId="77777777" w:rsidR="00701448" w:rsidRPr="00EE22EA" w:rsidRDefault="00701448" w:rsidP="00657D28">
            <w:pPr>
              <w:rPr>
                <w:rFonts w:ascii="Times New Roman" w:hAnsi="Times New Roman" w:cs="Times New Roman"/>
                <w:b/>
                <w:sz w:val="24"/>
                <w:szCs w:val="24"/>
              </w:rPr>
            </w:pPr>
            <w:r w:rsidRPr="00DC45A2">
              <w:rPr>
                <w:rFonts w:ascii="Times New Roman" w:hAnsi="Times New Roman" w:cs="Times New Roman"/>
                <w:b/>
                <w:sz w:val="24"/>
                <w:szCs w:val="24"/>
              </w:rPr>
              <w:t>Sample size</w:t>
            </w:r>
          </w:p>
        </w:tc>
      </w:tr>
      <w:tr w:rsidR="00F43108" w:rsidRPr="003A3E08" w14:paraId="12C647FE" w14:textId="77777777" w:rsidTr="00E328A9">
        <w:tc>
          <w:tcPr>
            <w:tcW w:w="0" w:type="auto"/>
            <w:tcBorders>
              <w:top w:val="single" w:sz="4" w:space="0" w:color="auto"/>
            </w:tcBorders>
            <w:shd w:val="clear" w:color="auto" w:fill="D0CECE" w:themeFill="background2" w:themeFillShade="E6"/>
          </w:tcPr>
          <w:p w14:paraId="44A2591B" w14:textId="77777777" w:rsidR="00701448" w:rsidRPr="003A3E08" w:rsidRDefault="00701448" w:rsidP="00657D28">
            <w:pPr>
              <w:rPr>
                <w:rFonts w:ascii="Times New Roman" w:hAnsi="Times New Roman" w:cs="Times New Roman"/>
                <w:sz w:val="24"/>
                <w:szCs w:val="24"/>
              </w:rPr>
            </w:pPr>
            <w:r w:rsidRPr="00DC45A2">
              <w:rPr>
                <w:rFonts w:ascii="Times New Roman" w:hAnsi="Times New Roman" w:cs="Times New Roman"/>
                <w:sz w:val="24"/>
                <w:szCs w:val="24"/>
              </w:rPr>
              <w:t>GSE58144</w:t>
            </w:r>
          </w:p>
        </w:tc>
        <w:tc>
          <w:tcPr>
            <w:tcW w:w="0" w:type="auto"/>
            <w:tcBorders>
              <w:top w:val="single" w:sz="4" w:space="0" w:color="auto"/>
            </w:tcBorders>
            <w:shd w:val="clear" w:color="auto" w:fill="D0CECE" w:themeFill="background2" w:themeFillShade="E6"/>
          </w:tcPr>
          <w:p w14:paraId="2341455D" w14:textId="77777777" w:rsidR="00701448" w:rsidRPr="003A3E08" w:rsidRDefault="00701448" w:rsidP="00657D28">
            <w:pPr>
              <w:rPr>
                <w:rFonts w:ascii="Times New Roman" w:hAnsi="Times New Roman" w:cs="Times New Roman"/>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Borders>
              <w:top w:val="single" w:sz="4" w:space="0" w:color="auto"/>
            </w:tcBorders>
            <w:shd w:val="clear" w:color="auto" w:fill="D0CECE" w:themeFill="background2" w:themeFillShade="E6"/>
          </w:tcPr>
          <w:p w14:paraId="1A0ED17C" w14:textId="77777777" w:rsidR="00701448" w:rsidRPr="003A3E08" w:rsidRDefault="00701448" w:rsidP="00657D28">
            <w:pPr>
              <w:rPr>
                <w:rFonts w:ascii="Times New Roman" w:hAnsi="Times New Roman" w:cs="Times New Roman"/>
                <w:sz w:val="24"/>
                <w:szCs w:val="24"/>
              </w:rPr>
            </w:pPr>
            <w:r w:rsidRPr="00BF3D44">
              <w:rPr>
                <w:rFonts w:ascii="Times New Roman" w:hAnsi="Times New Roman" w:cs="Times New Roman"/>
                <w:bCs/>
                <w:sz w:val="24"/>
                <w:szCs w:val="24"/>
              </w:rPr>
              <w:t>GPL15789</w:t>
            </w:r>
          </w:p>
        </w:tc>
        <w:tc>
          <w:tcPr>
            <w:tcW w:w="0" w:type="auto"/>
            <w:tcBorders>
              <w:top w:val="single" w:sz="4" w:space="0" w:color="auto"/>
            </w:tcBorders>
            <w:shd w:val="clear" w:color="auto" w:fill="D0CECE" w:themeFill="background2" w:themeFillShade="E6"/>
          </w:tcPr>
          <w:p w14:paraId="45874D93" w14:textId="77777777" w:rsidR="00701448" w:rsidRPr="003A3E08" w:rsidRDefault="00701448" w:rsidP="00657D28">
            <w:pPr>
              <w:rPr>
                <w:rFonts w:ascii="Times New Roman" w:hAnsi="Times New Roman" w:cs="Times New Roman"/>
                <w:sz w:val="24"/>
                <w:szCs w:val="24"/>
              </w:rPr>
            </w:pPr>
            <w:r w:rsidRPr="008D1150">
              <w:rPr>
                <w:rFonts w:ascii="Times New Roman" w:hAnsi="Times New Roman" w:cs="Times New Roman"/>
                <w:bCs/>
                <w:sz w:val="24"/>
                <w:szCs w:val="24"/>
              </w:rPr>
              <w:t>Between 2006 and 2013, mid-luteal phase endometrial biopsies were taken in the natural cycle from two serial cohorts, each consisting of women with RIF, defined as ≥3 failed IVF/ICSI treatments or replacement ≥10 embryos without the occurrence of pregnancy and controls. All subjects had undergone IVF/ICSI treatment in two tertiary hospitals. The control group had all conceived within the first two cycles of ICSI</w:t>
            </w:r>
            <w:r>
              <w:rPr>
                <w:rFonts w:ascii="Times New Roman" w:hAnsi="Times New Roman" w:cs="Times New Roman"/>
                <w:bCs/>
                <w:sz w:val="24"/>
                <w:szCs w:val="24"/>
              </w:rPr>
              <w:t xml:space="preserve"> </w:t>
            </w:r>
            <w:r w:rsidRPr="008D1150">
              <w:rPr>
                <w:rFonts w:ascii="Times New Roman" w:hAnsi="Times New Roman" w:cs="Times New Roman"/>
                <w:bCs/>
                <w:sz w:val="24"/>
                <w:szCs w:val="24"/>
              </w:rPr>
              <w:t>or first three cycles of IVF treatment, and were therefore considered unlikely to have an endometrial factor. Microarray profiling and subsequent analysis sought to identify a gene expression signature predictive of RIF.</w:t>
            </w:r>
          </w:p>
        </w:tc>
        <w:tc>
          <w:tcPr>
            <w:tcW w:w="0" w:type="auto"/>
            <w:tcBorders>
              <w:top w:val="single" w:sz="4" w:space="0" w:color="auto"/>
            </w:tcBorders>
            <w:shd w:val="clear" w:color="auto" w:fill="D0CECE" w:themeFill="background2" w:themeFillShade="E6"/>
          </w:tcPr>
          <w:p w14:paraId="72B7DDD6" w14:textId="49082D9B" w:rsidR="00701448" w:rsidRPr="003A3E08" w:rsidRDefault="00701448" w:rsidP="00657D28">
            <w:pPr>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sz w:val="24"/>
                <w:szCs w:val="24"/>
              </w:rPr>
              <w:t>3(</w:t>
            </w:r>
            <w:r w:rsidR="00877DC9">
              <w:rPr>
                <w:rFonts w:ascii="Times New Roman" w:hAnsi="Times New Roman" w:cs="Times New Roman"/>
                <w:sz w:val="24"/>
                <w:szCs w:val="24"/>
              </w:rPr>
              <w:t>DER</w:t>
            </w:r>
            <w:r>
              <w:rPr>
                <w:rFonts w:ascii="Times New Roman" w:hAnsi="Times New Roman" w:cs="Times New Roman"/>
                <w:sz w:val="24"/>
                <w:szCs w:val="24"/>
              </w:rPr>
              <w:t>) vs. 72(CON)</w:t>
            </w:r>
          </w:p>
        </w:tc>
      </w:tr>
      <w:tr w:rsidR="00877DC9" w:rsidRPr="003A3E08" w14:paraId="40AE20F0" w14:textId="77777777" w:rsidTr="00657D28">
        <w:tc>
          <w:tcPr>
            <w:tcW w:w="0" w:type="auto"/>
            <w:tcBorders>
              <w:top w:val="single" w:sz="4" w:space="0" w:color="auto"/>
            </w:tcBorders>
          </w:tcPr>
          <w:p w14:paraId="0D3244F9" w14:textId="144F62D5" w:rsidR="00877DC9" w:rsidRPr="00DC45A2" w:rsidRDefault="00877DC9" w:rsidP="00877DC9">
            <w:pPr>
              <w:rPr>
                <w:rFonts w:ascii="Times New Roman" w:hAnsi="Times New Roman" w:cs="Times New Roman"/>
                <w:sz w:val="24"/>
                <w:szCs w:val="24"/>
              </w:rPr>
            </w:pPr>
            <w:r w:rsidRPr="00DC45A2">
              <w:rPr>
                <w:rFonts w:ascii="Times New Roman" w:hAnsi="Times New Roman" w:cs="Times New Roman"/>
                <w:sz w:val="24"/>
                <w:szCs w:val="24"/>
              </w:rPr>
              <w:t>GSE165004</w:t>
            </w:r>
          </w:p>
        </w:tc>
        <w:tc>
          <w:tcPr>
            <w:tcW w:w="0" w:type="auto"/>
            <w:tcBorders>
              <w:top w:val="single" w:sz="4" w:space="0" w:color="auto"/>
            </w:tcBorders>
          </w:tcPr>
          <w:p w14:paraId="5C8CCDE3" w14:textId="448F2EE4" w:rsidR="00877DC9" w:rsidRDefault="00877DC9" w:rsidP="00877DC9">
            <w:pPr>
              <w:rPr>
                <w:rFonts w:ascii="Times New Roman" w:hAnsi="Times New Roman" w:cs="Times New Roman"/>
                <w:bCs/>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Borders>
              <w:top w:val="single" w:sz="4" w:space="0" w:color="auto"/>
            </w:tcBorders>
          </w:tcPr>
          <w:p w14:paraId="20C3579B" w14:textId="4406AC6E" w:rsidR="00877DC9" w:rsidRPr="00BF3D44" w:rsidRDefault="00877DC9" w:rsidP="00877DC9">
            <w:pPr>
              <w:rPr>
                <w:rFonts w:ascii="Times New Roman" w:hAnsi="Times New Roman" w:cs="Times New Roman"/>
                <w:bCs/>
                <w:sz w:val="24"/>
                <w:szCs w:val="24"/>
              </w:rPr>
            </w:pPr>
            <w:r w:rsidRPr="00BF3D44">
              <w:rPr>
                <w:rFonts w:ascii="Times New Roman" w:hAnsi="Times New Roman" w:cs="Times New Roman"/>
                <w:sz w:val="24"/>
                <w:szCs w:val="24"/>
              </w:rPr>
              <w:t>GPL16699</w:t>
            </w:r>
          </w:p>
        </w:tc>
        <w:tc>
          <w:tcPr>
            <w:tcW w:w="0" w:type="auto"/>
            <w:tcBorders>
              <w:top w:val="single" w:sz="4" w:space="0" w:color="auto"/>
            </w:tcBorders>
          </w:tcPr>
          <w:p w14:paraId="01049C7F" w14:textId="4F11DC5D" w:rsidR="00877DC9" w:rsidRPr="008D1150" w:rsidRDefault="00877DC9" w:rsidP="00877DC9">
            <w:pPr>
              <w:rPr>
                <w:rFonts w:ascii="Times New Roman" w:hAnsi="Times New Roman" w:cs="Times New Roman"/>
                <w:bCs/>
                <w:sz w:val="24"/>
                <w:szCs w:val="24"/>
              </w:rPr>
            </w:pPr>
            <w:r w:rsidRPr="00F307A5">
              <w:rPr>
                <w:rFonts w:ascii="Times New Roman" w:hAnsi="Times New Roman" w:cs="Times New Roman"/>
                <w:sz w:val="24"/>
                <w:szCs w:val="24"/>
              </w:rPr>
              <w:t xml:space="preserve">All patients involved in this prospective cohort study were recruited from Istanbul University </w:t>
            </w:r>
            <w:r w:rsidRPr="00F307A5">
              <w:rPr>
                <w:rFonts w:ascii="Times New Roman" w:hAnsi="Times New Roman" w:cs="Times New Roman"/>
                <w:sz w:val="24"/>
                <w:szCs w:val="24"/>
              </w:rPr>
              <w:lastRenderedPageBreak/>
              <w:t xml:space="preserve">School of Medicine between August 2014 and August 2015. Three cohorts (fertile controls, patients with RPL and UI) were studied. None of the patients has received a prior infertility treatment and were not under a current treatment. The first cohort comprised fertile control patients who presented to our gynecology department for well woman examinations. The inclusion criteria were regularly cycling women aged under 35 years with at least one live birth, no history of infertility/treatment, no previous miscarriages and no associated gynecologic (endometriosis, fibroids, active or history of pelvic inflammatory disease) or other medical comorbidities (hyperprolactinemia, thyroid disease </w:t>
            </w:r>
            <w:proofErr w:type="spellStart"/>
            <w:r w:rsidRPr="00F307A5">
              <w:rPr>
                <w:rFonts w:ascii="Times New Roman" w:hAnsi="Times New Roman" w:cs="Times New Roman"/>
                <w:sz w:val="24"/>
                <w:szCs w:val="24"/>
              </w:rPr>
              <w:t>etc</w:t>
            </w:r>
            <w:proofErr w:type="spellEnd"/>
            <w:r w:rsidRPr="00F307A5">
              <w:rPr>
                <w:rFonts w:ascii="Times New Roman" w:hAnsi="Times New Roman" w:cs="Times New Roman"/>
                <w:sz w:val="24"/>
                <w:szCs w:val="24"/>
              </w:rPr>
              <w:t xml:space="preserve">). The remaining cohorts constituted patients who presented to our in vitro fertilization (IVF) unit. The second cohort included patients with RPL with no history of successful pregnancies. The inclusion </w:t>
            </w:r>
            <w:r w:rsidRPr="00F307A5">
              <w:rPr>
                <w:rFonts w:ascii="Times New Roman" w:hAnsi="Times New Roman" w:cs="Times New Roman"/>
                <w:sz w:val="24"/>
                <w:szCs w:val="24"/>
              </w:rPr>
              <w:lastRenderedPageBreak/>
              <w:t xml:space="preserve">criteria for this group were regularly cycling women aged under 35 years with at least two consecutive pregnancy losses of 20 weeks or less, normal follicle-stimulating hormone (FSH), luteinizing hormone (LH), estradiol (E2), prolactin (PRL), and thyroid-stimulating hormone (TSH) levels at day 2-3, normal uterine cavity shape and size, and bilateral tubal patency observed on hysterosalpingogram, no mutations detected in Factor V (Leiden) and prothrombin gene analysis, normal antithrombin III, protein C and S activity, negative results for lupus anticoagulant evaluation, cardiolipin antibody (IgM and IgG), and beta2-glycoprotein antibody (IgM and IgG) and normal karyotype. Their partners have normal </w:t>
            </w:r>
            <w:proofErr w:type="spellStart"/>
            <w:r w:rsidRPr="00F307A5">
              <w:rPr>
                <w:rFonts w:ascii="Times New Roman" w:hAnsi="Times New Roman" w:cs="Times New Roman"/>
                <w:sz w:val="24"/>
                <w:szCs w:val="24"/>
              </w:rPr>
              <w:t>spermiogram</w:t>
            </w:r>
            <w:proofErr w:type="spellEnd"/>
            <w:r w:rsidRPr="00F307A5">
              <w:rPr>
                <w:rFonts w:ascii="Times New Roman" w:hAnsi="Times New Roman" w:cs="Times New Roman"/>
                <w:sz w:val="24"/>
                <w:szCs w:val="24"/>
              </w:rPr>
              <w:t xml:space="preserve"> results and normal karyotype. </w:t>
            </w:r>
          </w:p>
        </w:tc>
        <w:tc>
          <w:tcPr>
            <w:tcW w:w="0" w:type="auto"/>
            <w:tcBorders>
              <w:top w:val="single" w:sz="4" w:space="0" w:color="auto"/>
            </w:tcBorders>
          </w:tcPr>
          <w:p w14:paraId="28F456AE" w14:textId="230040BB" w:rsidR="00877DC9" w:rsidRDefault="00877DC9" w:rsidP="00877DC9">
            <w:pPr>
              <w:rPr>
                <w:rFonts w:ascii="Times New Roman" w:hAnsi="Times New Roman" w:cs="Times New Roman" w:hint="eastAsia"/>
                <w:sz w:val="24"/>
                <w:szCs w:val="24"/>
              </w:rPr>
            </w:pPr>
            <w:r>
              <w:rPr>
                <w:rFonts w:ascii="Times New Roman" w:hAnsi="Times New Roman" w:cs="Times New Roman" w:hint="eastAsia"/>
                <w:sz w:val="24"/>
                <w:szCs w:val="24"/>
              </w:rPr>
              <w:lastRenderedPageBreak/>
              <w:t>4</w:t>
            </w:r>
            <w:r>
              <w:rPr>
                <w:rFonts w:ascii="Times New Roman" w:hAnsi="Times New Roman" w:cs="Times New Roman"/>
                <w:sz w:val="24"/>
                <w:szCs w:val="24"/>
              </w:rPr>
              <w:t>8(</w:t>
            </w:r>
            <w:r>
              <w:rPr>
                <w:rFonts w:ascii="Times New Roman" w:hAnsi="Times New Roman" w:cs="Times New Roman"/>
                <w:sz w:val="24"/>
                <w:szCs w:val="24"/>
              </w:rPr>
              <w:t>DER</w:t>
            </w:r>
            <w:r>
              <w:rPr>
                <w:rFonts w:ascii="Times New Roman" w:hAnsi="Times New Roman" w:cs="Times New Roman"/>
                <w:sz w:val="24"/>
                <w:szCs w:val="24"/>
              </w:rPr>
              <w:t>) vs. 24(CON)</w:t>
            </w:r>
          </w:p>
        </w:tc>
      </w:tr>
      <w:tr w:rsidR="00877DC9" w:rsidRPr="003A3E08" w14:paraId="55376398" w14:textId="77777777" w:rsidTr="00E328A9">
        <w:tc>
          <w:tcPr>
            <w:tcW w:w="0" w:type="auto"/>
            <w:tcBorders>
              <w:top w:val="single" w:sz="4" w:space="0" w:color="auto"/>
            </w:tcBorders>
            <w:shd w:val="clear" w:color="auto" w:fill="D0CECE" w:themeFill="background2" w:themeFillShade="E6"/>
          </w:tcPr>
          <w:p w14:paraId="7688931D" w14:textId="4B36B793" w:rsidR="00877DC9" w:rsidRPr="00DC45A2" w:rsidRDefault="00877DC9" w:rsidP="00877DC9">
            <w:pPr>
              <w:rPr>
                <w:rFonts w:ascii="Times New Roman" w:hAnsi="Times New Roman" w:cs="Times New Roman"/>
                <w:sz w:val="24"/>
                <w:szCs w:val="24"/>
              </w:rPr>
            </w:pPr>
            <w:r w:rsidRPr="00877DC9">
              <w:rPr>
                <w:rFonts w:ascii="Times New Roman" w:hAnsi="Times New Roman" w:cs="Times New Roman"/>
                <w:sz w:val="24"/>
                <w:szCs w:val="24"/>
              </w:rPr>
              <w:lastRenderedPageBreak/>
              <w:t>GSE71835</w:t>
            </w:r>
          </w:p>
        </w:tc>
        <w:tc>
          <w:tcPr>
            <w:tcW w:w="0" w:type="auto"/>
            <w:tcBorders>
              <w:top w:val="single" w:sz="4" w:space="0" w:color="auto"/>
            </w:tcBorders>
            <w:shd w:val="clear" w:color="auto" w:fill="D0CECE" w:themeFill="background2" w:themeFillShade="E6"/>
          </w:tcPr>
          <w:p w14:paraId="7080C5A7" w14:textId="17590280" w:rsidR="00877DC9" w:rsidRDefault="00085919" w:rsidP="00877DC9">
            <w:pPr>
              <w:rPr>
                <w:rFonts w:ascii="Times New Roman" w:hAnsi="Times New Roman" w:cs="Times New Roman"/>
                <w:bCs/>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Borders>
              <w:top w:val="single" w:sz="4" w:space="0" w:color="auto"/>
            </w:tcBorders>
            <w:shd w:val="clear" w:color="auto" w:fill="D0CECE" w:themeFill="background2" w:themeFillShade="E6"/>
          </w:tcPr>
          <w:p w14:paraId="172B9D45" w14:textId="3FC22A8F" w:rsidR="00877DC9" w:rsidRPr="00BF3D44" w:rsidRDefault="00085919" w:rsidP="00877DC9">
            <w:pPr>
              <w:rPr>
                <w:rFonts w:ascii="Times New Roman" w:hAnsi="Times New Roman" w:cs="Times New Roman"/>
                <w:sz w:val="24"/>
                <w:szCs w:val="24"/>
              </w:rPr>
            </w:pPr>
            <w:r w:rsidRPr="00085919">
              <w:rPr>
                <w:rFonts w:ascii="Times New Roman" w:hAnsi="Times New Roman" w:cs="Times New Roman"/>
                <w:bCs/>
                <w:sz w:val="24"/>
                <w:szCs w:val="24"/>
              </w:rPr>
              <w:t>GPL10558</w:t>
            </w:r>
          </w:p>
        </w:tc>
        <w:tc>
          <w:tcPr>
            <w:tcW w:w="0" w:type="auto"/>
            <w:tcBorders>
              <w:top w:val="single" w:sz="4" w:space="0" w:color="auto"/>
            </w:tcBorders>
            <w:shd w:val="clear" w:color="auto" w:fill="D0CECE" w:themeFill="background2" w:themeFillShade="E6"/>
          </w:tcPr>
          <w:p w14:paraId="7F3D0E72" w14:textId="0C16D25F" w:rsidR="00877DC9" w:rsidRPr="00085919" w:rsidRDefault="00E328A9" w:rsidP="00877DC9">
            <w:pPr>
              <w:rPr>
                <w:rFonts w:ascii="Times New Roman" w:hAnsi="Times New Roman" w:cs="Times New Roman"/>
                <w:sz w:val="24"/>
                <w:szCs w:val="24"/>
              </w:rPr>
            </w:pPr>
            <w:r>
              <w:rPr>
                <w:rFonts w:ascii="Times New Roman" w:hAnsi="Times New Roman" w:cs="Times New Roman"/>
                <w:sz w:val="24"/>
                <w:szCs w:val="24"/>
              </w:rPr>
              <w:t>I</w:t>
            </w:r>
            <w:r w:rsidR="00085919" w:rsidRPr="00085919">
              <w:rPr>
                <w:rFonts w:ascii="Times New Roman" w:hAnsi="Times New Roman" w:cs="Times New Roman"/>
                <w:sz w:val="24"/>
                <w:szCs w:val="24"/>
              </w:rPr>
              <w:t xml:space="preserve">mplantation failure cases with unexplained infertility (having normal hormones and endometrium with 8 mm and above, triple layered) were </w:t>
            </w:r>
            <w:r w:rsidR="00085919" w:rsidRPr="00085919">
              <w:rPr>
                <w:rFonts w:ascii="Times New Roman" w:hAnsi="Times New Roman" w:cs="Times New Roman"/>
                <w:sz w:val="24"/>
                <w:szCs w:val="24"/>
              </w:rPr>
              <w:lastRenderedPageBreak/>
              <w:t>compared with oocyte donors as healthy proven fertile controls under the influence of long protocol of ovarian stimulation during IVF.</w:t>
            </w:r>
          </w:p>
        </w:tc>
        <w:tc>
          <w:tcPr>
            <w:tcW w:w="0" w:type="auto"/>
            <w:tcBorders>
              <w:top w:val="single" w:sz="4" w:space="0" w:color="auto"/>
            </w:tcBorders>
            <w:shd w:val="clear" w:color="auto" w:fill="D0CECE" w:themeFill="background2" w:themeFillShade="E6"/>
          </w:tcPr>
          <w:p w14:paraId="646015F6" w14:textId="4B21F97D" w:rsidR="00877DC9" w:rsidRPr="00085919" w:rsidRDefault="00085919" w:rsidP="00877DC9">
            <w:pPr>
              <w:rPr>
                <w:rFonts w:ascii="Times New Roman" w:hAnsi="Times New Roman" w:cs="Times New Roman" w:hint="eastAsia"/>
                <w:sz w:val="24"/>
                <w:szCs w:val="24"/>
              </w:rPr>
            </w:pPr>
            <w:r>
              <w:rPr>
                <w:rFonts w:ascii="Times New Roman" w:hAnsi="Times New Roman" w:cs="Times New Roman"/>
                <w:sz w:val="24"/>
                <w:szCs w:val="24"/>
              </w:rPr>
              <w:lastRenderedPageBreak/>
              <w:t>6 (DER) vs. 6 (CON)</w:t>
            </w:r>
          </w:p>
        </w:tc>
      </w:tr>
      <w:tr w:rsidR="00085919" w:rsidRPr="003A3E08" w14:paraId="1DB8000D" w14:textId="77777777" w:rsidTr="00657D28">
        <w:tc>
          <w:tcPr>
            <w:tcW w:w="0" w:type="auto"/>
            <w:tcBorders>
              <w:top w:val="single" w:sz="4" w:space="0" w:color="auto"/>
            </w:tcBorders>
          </w:tcPr>
          <w:p w14:paraId="19C0CD0D" w14:textId="4C267BEB" w:rsidR="00085919" w:rsidRPr="00DC45A2" w:rsidRDefault="00085919" w:rsidP="00085919">
            <w:pPr>
              <w:rPr>
                <w:rFonts w:ascii="Times New Roman" w:hAnsi="Times New Roman" w:cs="Times New Roman"/>
                <w:sz w:val="24"/>
                <w:szCs w:val="24"/>
              </w:rPr>
            </w:pPr>
            <w:r w:rsidRPr="00877DC9">
              <w:rPr>
                <w:rFonts w:ascii="Times New Roman" w:hAnsi="Times New Roman" w:cs="Times New Roman"/>
                <w:sz w:val="24"/>
                <w:szCs w:val="24"/>
              </w:rPr>
              <w:t>GSE92324</w:t>
            </w:r>
          </w:p>
        </w:tc>
        <w:tc>
          <w:tcPr>
            <w:tcW w:w="0" w:type="auto"/>
            <w:tcBorders>
              <w:top w:val="single" w:sz="4" w:space="0" w:color="auto"/>
            </w:tcBorders>
          </w:tcPr>
          <w:p w14:paraId="148730CF" w14:textId="69EBA1F2" w:rsidR="00085919" w:rsidRDefault="00085919" w:rsidP="00085919">
            <w:pPr>
              <w:rPr>
                <w:rFonts w:ascii="Times New Roman" w:hAnsi="Times New Roman" w:cs="Times New Roman"/>
                <w:bCs/>
                <w:sz w:val="24"/>
                <w:szCs w:val="24"/>
              </w:rPr>
            </w:pPr>
            <w:r>
              <w:rPr>
                <w:rFonts w:ascii="Times New Roman" w:hAnsi="Times New Roman" w:cs="Times New Roman"/>
                <w:bCs/>
                <w:sz w:val="24"/>
                <w:szCs w:val="24"/>
              </w:rPr>
              <w:t>E</w:t>
            </w:r>
            <w:r w:rsidRPr="003A3E08">
              <w:rPr>
                <w:rFonts w:ascii="Times New Roman" w:hAnsi="Times New Roman" w:cs="Times New Roman"/>
                <w:bCs/>
                <w:sz w:val="24"/>
                <w:szCs w:val="24"/>
              </w:rPr>
              <w:t>ndometrium</w:t>
            </w:r>
          </w:p>
        </w:tc>
        <w:tc>
          <w:tcPr>
            <w:tcW w:w="0" w:type="auto"/>
            <w:tcBorders>
              <w:top w:val="single" w:sz="4" w:space="0" w:color="auto"/>
            </w:tcBorders>
          </w:tcPr>
          <w:p w14:paraId="21683ACF" w14:textId="6BC013AE" w:rsidR="00085919" w:rsidRPr="00BF3D44" w:rsidRDefault="00085919" w:rsidP="00085919">
            <w:pPr>
              <w:rPr>
                <w:rFonts w:ascii="Times New Roman" w:hAnsi="Times New Roman" w:cs="Times New Roman"/>
                <w:sz w:val="24"/>
                <w:szCs w:val="24"/>
              </w:rPr>
            </w:pPr>
            <w:r w:rsidRPr="00085919">
              <w:rPr>
                <w:rFonts w:ascii="Times New Roman" w:hAnsi="Times New Roman" w:cs="Times New Roman"/>
                <w:sz w:val="24"/>
                <w:szCs w:val="24"/>
              </w:rPr>
              <w:t>GPL10558</w:t>
            </w:r>
            <w:r w:rsidRPr="00085919">
              <w:rPr>
                <w:rFonts w:ascii="Times New Roman" w:hAnsi="Times New Roman" w:cs="Times New Roman"/>
                <w:sz w:val="24"/>
                <w:szCs w:val="24"/>
              </w:rPr>
              <w:tab/>
            </w:r>
          </w:p>
        </w:tc>
        <w:tc>
          <w:tcPr>
            <w:tcW w:w="0" w:type="auto"/>
            <w:tcBorders>
              <w:top w:val="single" w:sz="4" w:space="0" w:color="auto"/>
            </w:tcBorders>
          </w:tcPr>
          <w:p w14:paraId="36A4E739" w14:textId="3DD9CB28" w:rsidR="00085919" w:rsidRPr="00085919" w:rsidRDefault="00E328A9" w:rsidP="00085919">
            <w:pPr>
              <w:rPr>
                <w:rFonts w:ascii="Times New Roman" w:hAnsi="Times New Roman" w:cs="Times New Roman"/>
                <w:sz w:val="24"/>
                <w:szCs w:val="24"/>
              </w:rPr>
            </w:pPr>
            <w:r>
              <w:rPr>
                <w:rFonts w:ascii="Times New Roman" w:hAnsi="Times New Roman" w:cs="Times New Roman"/>
                <w:sz w:val="24"/>
                <w:szCs w:val="24"/>
              </w:rPr>
              <w:t>I</w:t>
            </w:r>
            <w:r w:rsidR="00085919" w:rsidRPr="00085919">
              <w:rPr>
                <w:rFonts w:ascii="Times New Roman" w:hAnsi="Times New Roman" w:cs="Times New Roman"/>
                <w:sz w:val="24"/>
                <w:szCs w:val="24"/>
              </w:rPr>
              <w:t>mplantation failure cases with unexplained infertility (having normal hormones and endometrium with 8mm and above, triple layered) were compared with oocyte donors as healthy proven fertile controls under the influence of long protocol of ovarian stimulation during IVF.</w:t>
            </w:r>
          </w:p>
        </w:tc>
        <w:tc>
          <w:tcPr>
            <w:tcW w:w="0" w:type="auto"/>
            <w:tcBorders>
              <w:top w:val="single" w:sz="4" w:space="0" w:color="auto"/>
            </w:tcBorders>
          </w:tcPr>
          <w:p w14:paraId="6F474F3E" w14:textId="4BDF3AD4" w:rsidR="00085919" w:rsidRDefault="00E328A9" w:rsidP="00085919">
            <w:pPr>
              <w:rPr>
                <w:rFonts w:ascii="Times New Roman" w:hAnsi="Times New Roman" w:cs="Times New Roman" w:hint="eastAsia"/>
                <w:sz w:val="24"/>
                <w:szCs w:val="24"/>
              </w:rPr>
            </w:pPr>
            <w:r>
              <w:rPr>
                <w:rFonts w:ascii="Times New Roman" w:hAnsi="Times New Roman" w:cs="Times New Roman" w:hint="eastAsia"/>
                <w:sz w:val="24"/>
                <w:szCs w:val="24"/>
              </w:rPr>
              <w:t>8</w:t>
            </w:r>
            <w:r>
              <w:rPr>
                <w:rFonts w:ascii="Times New Roman" w:hAnsi="Times New Roman" w:cs="Times New Roman"/>
                <w:sz w:val="24"/>
                <w:szCs w:val="24"/>
              </w:rPr>
              <w:t xml:space="preserve"> (CON) vs. 10 (DER)</w:t>
            </w:r>
          </w:p>
        </w:tc>
      </w:tr>
      <w:tr w:rsidR="00085919" w:rsidRPr="003A3E08" w14:paraId="301B289D" w14:textId="77777777" w:rsidTr="00657D28">
        <w:tc>
          <w:tcPr>
            <w:tcW w:w="0" w:type="auto"/>
            <w:shd w:val="clear" w:color="auto" w:fill="D0CECE" w:themeFill="background2" w:themeFillShade="E6"/>
          </w:tcPr>
          <w:p w14:paraId="5BC48874" w14:textId="64156676" w:rsidR="00085919" w:rsidRPr="008D2915" w:rsidRDefault="00085919" w:rsidP="00085919">
            <w:pPr>
              <w:rPr>
                <w:rFonts w:ascii="Times New Roman" w:hAnsi="Times New Roman" w:cs="Times New Roman"/>
                <w:sz w:val="24"/>
                <w:szCs w:val="24"/>
                <w:highlight w:val="yellow"/>
              </w:rPr>
            </w:pPr>
            <w:r w:rsidRPr="007768F4">
              <w:rPr>
                <w:rFonts w:ascii="Times New Roman" w:hAnsi="Times New Roman" w:cs="Times New Roman"/>
                <w:sz w:val="24"/>
                <w:szCs w:val="24"/>
              </w:rPr>
              <w:t>GSE19834</w:t>
            </w:r>
          </w:p>
        </w:tc>
        <w:tc>
          <w:tcPr>
            <w:tcW w:w="0" w:type="auto"/>
            <w:shd w:val="clear" w:color="auto" w:fill="D0CECE" w:themeFill="background2" w:themeFillShade="E6"/>
          </w:tcPr>
          <w:p w14:paraId="1DB3B84A" w14:textId="5CF3A7CE" w:rsidR="00085919" w:rsidRPr="008D2915" w:rsidRDefault="00085919" w:rsidP="00085919">
            <w:pPr>
              <w:rPr>
                <w:rFonts w:ascii="Times New Roman" w:hAnsi="Times New Roman" w:cs="Times New Roman"/>
                <w:sz w:val="24"/>
                <w:szCs w:val="24"/>
                <w:highlight w:val="yellow"/>
              </w:rPr>
            </w:pPr>
            <w:r>
              <w:rPr>
                <w:rFonts w:ascii="Times New Roman" w:hAnsi="Times New Roman" w:cs="Times New Roman" w:hint="eastAsia"/>
                <w:sz w:val="24"/>
                <w:szCs w:val="24"/>
              </w:rPr>
              <w:t>E</w:t>
            </w:r>
            <w:r w:rsidRPr="00F43108">
              <w:rPr>
                <w:rFonts w:ascii="Times New Roman" w:hAnsi="Times New Roman" w:cs="Times New Roman"/>
                <w:sz w:val="24"/>
                <w:szCs w:val="24"/>
              </w:rPr>
              <w:t>ndometrial stromal cells and macrophages</w:t>
            </w:r>
          </w:p>
        </w:tc>
        <w:tc>
          <w:tcPr>
            <w:tcW w:w="0" w:type="auto"/>
            <w:shd w:val="clear" w:color="auto" w:fill="D0CECE" w:themeFill="background2" w:themeFillShade="E6"/>
          </w:tcPr>
          <w:p w14:paraId="12B1A2D0" w14:textId="0730E9F5" w:rsidR="00085919" w:rsidRPr="008D2915" w:rsidRDefault="00085919" w:rsidP="00085919">
            <w:pPr>
              <w:rPr>
                <w:rFonts w:ascii="Times New Roman" w:hAnsi="Times New Roman" w:cs="Times New Roman"/>
                <w:sz w:val="24"/>
                <w:szCs w:val="24"/>
                <w:highlight w:val="yellow"/>
              </w:rPr>
            </w:pPr>
            <w:r w:rsidRPr="007768F4">
              <w:rPr>
                <w:rFonts w:ascii="Times New Roman" w:hAnsi="Times New Roman" w:cs="Times New Roman"/>
                <w:sz w:val="24"/>
                <w:szCs w:val="24"/>
              </w:rPr>
              <w:t>GPL2895</w:t>
            </w:r>
          </w:p>
        </w:tc>
        <w:tc>
          <w:tcPr>
            <w:tcW w:w="0" w:type="auto"/>
            <w:shd w:val="clear" w:color="auto" w:fill="D0CECE" w:themeFill="background2" w:themeFillShade="E6"/>
          </w:tcPr>
          <w:p w14:paraId="6348EDA2" w14:textId="5B582A3E" w:rsidR="00085919" w:rsidRPr="007768F4" w:rsidRDefault="00085919" w:rsidP="00085919">
            <w:pPr>
              <w:rPr>
                <w:rFonts w:ascii="Times New Roman" w:hAnsi="Times New Roman" w:cs="Times New Roman"/>
                <w:bCs/>
                <w:sz w:val="24"/>
                <w:szCs w:val="24"/>
              </w:rPr>
            </w:pPr>
            <w:r w:rsidRPr="007768F4">
              <w:rPr>
                <w:rFonts w:ascii="Times New Roman" w:hAnsi="Times New Roman" w:cs="Times New Roman"/>
                <w:bCs/>
                <w:sz w:val="24"/>
                <w:szCs w:val="24"/>
              </w:rPr>
              <w:t>Manipulations of biological samples and protocols used: THESC cells were grown in culture in phenol red-free DMEM/F12 medium supplemented with 1% ITS+, 2% charcoal/dextran treated fetal bovine serum, 1% penicillin/streptomycin, and 500 ng/ml puromycin. The cells were treated for 8 days with vehicle (0.1% ethanol), estradiol (10-8</w:t>
            </w:r>
            <w:r>
              <w:rPr>
                <w:rFonts w:ascii="Times New Roman" w:hAnsi="Times New Roman" w:cs="Times New Roman"/>
                <w:bCs/>
                <w:sz w:val="24"/>
                <w:szCs w:val="24"/>
              </w:rPr>
              <w:t xml:space="preserve"> </w:t>
            </w:r>
            <w:r w:rsidRPr="007768F4">
              <w:rPr>
                <w:rFonts w:ascii="Times New Roman" w:hAnsi="Times New Roman" w:cs="Times New Roman"/>
                <w:bCs/>
                <w:sz w:val="24"/>
                <w:szCs w:val="24"/>
              </w:rPr>
              <w:t>M) plus progesterone (10-7 M medroxyprogesterone acetate), vehicle + macrophage-conditioned medium, or estradiol (10-8</w:t>
            </w:r>
            <w:r>
              <w:rPr>
                <w:rFonts w:ascii="Times New Roman" w:hAnsi="Times New Roman" w:cs="Times New Roman"/>
                <w:bCs/>
                <w:sz w:val="24"/>
                <w:szCs w:val="24"/>
              </w:rPr>
              <w:t xml:space="preserve"> </w:t>
            </w:r>
            <w:r w:rsidRPr="007768F4">
              <w:rPr>
                <w:rFonts w:ascii="Times New Roman" w:hAnsi="Times New Roman" w:cs="Times New Roman"/>
                <w:bCs/>
                <w:sz w:val="24"/>
                <w:szCs w:val="24"/>
              </w:rPr>
              <w:t xml:space="preserve">M) + </w:t>
            </w:r>
            <w:r w:rsidRPr="007768F4">
              <w:rPr>
                <w:rFonts w:ascii="Times New Roman" w:hAnsi="Times New Roman" w:cs="Times New Roman"/>
                <w:bCs/>
                <w:sz w:val="24"/>
                <w:szCs w:val="24"/>
              </w:rPr>
              <w:lastRenderedPageBreak/>
              <w:t>progesterone (medroxyprogesterone acetate 10-7 M) + macrophage-conditioned medium. On day 6, serum was removed from the culture medium of all cells. On day 7, half of the cells were treated with macrophage-conditioned medium for 24 hours. The cells were harvested and RNA extracted on day 8.</w:t>
            </w:r>
          </w:p>
          <w:p w14:paraId="43BFB451" w14:textId="7FD14D65" w:rsidR="00085919" w:rsidRPr="008D2915" w:rsidRDefault="00085919" w:rsidP="00085919">
            <w:pPr>
              <w:rPr>
                <w:rFonts w:ascii="Times New Roman" w:hAnsi="Times New Roman" w:cs="Times New Roman"/>
                <w:sz w:val="24"/>
                <w:szCs w:val="24"/>
                <w:highlight w:val="yellow"/>
              </w:rPr>
            </w:pPr>
            <w:r w:rsidRPr="007768F4">
              <w:rPr>
                <w:rFonts w:ascii="Times New Roman" w:hAnsi="Times New Roman" w:cs="Times New Roman"/>
                <w:bCs/>
                <w:sz w:val="24"/>
                <w:szCs w:val="24"/>
              </w:rPr>
              <w:t>The experiment was repeated with three different passages of cells (passages 9, 11, and 13) to yield an experimental n of 3. The four groups of cells were vehicle-treated control, estradiol + progesterone, control + macrophage-conditioned medium, and estradiol + progesterone + macrophage-conditioned medium.</w:t>
            </w:r>
          </w:p>
        </w:tc>
        <w:tc>
          <w:tcPr>
            <w:tcW w:w="0" w:type="auto"/>
            <w:shd w:val="clear" w:color="auto" w:fill="D0CECE" w:themeFill="background2" w:themeFillShade="E6"/>
          </w:tcPr>
          <w:p w14:paraId="0C6F66C0" w14:textId="77777777" w:rsidR="00085919" w:rsidRDefault="00085919" w:rsidP="00085919">
            <w:pPr>
              <w:rPr>
                <w:rFonts w:ascii="Times New Roman" w:hAnsi="Times New Roman" w:cs="Times New Roman"/>
                <w:sz w:val="24"/>
                <w:szCs w:val="24"/>
              </w:rPr>
            </w:pPr>
            <w:r w:rsidRPr="00F43108">
              <w:rPr>
                <w:rFonts w:ascii="Times New Roman" w:hAnsi="Times New Roman" w:cs="Times New Roman"/>
                <w:sz w:val="24"/>
                <w:szCs w:val="24"/>
              </w:rPr>
              <w:lastRenderedPageBreak/>
              <w:t>THESC ENDOMETRIAL CELLS CONTROL</w:t>
            </w:r>
            <w:r>
              <w:rPr>
                <w:rFonts w:ascii="Times New Roman" w:hAnsi="Times New Roman" w:cs="Times New Roman" w:hint="eastAsia"/>
                <w:sz w:val="24"/>
                <w:szCs w:val="24"/>
              </w:rPr>
              <w:t>×</w:t>
            </w:r>
            <w:r>
              <w:rPr>
                <w:rFonts w:ascii="Times New Roman" w:hAnsi="Times New Roman" w:cs="Times New Roman"/>
                <w:sz w:val="24"/>
                <w:szCs w:val="24"/>
              </w:rPr>
              <w:t>3</w:t>
            </w:r>
          </w:p>
          <w:p w14:paraId="2340D1AF" w14:textId="77777777" w:rsidR="00085919" w:rsidRDefault="00085919" w:rsidP="00085919">
            <w:pPr>
              <w:rPr>
                <w:rFonts w:ascii="Times New Roman" w:hAnsi="Times New Roman" w:cs="Times New Roman"/>
                <w:sz w:val="24"/>
                <w:szCs w:val="24"/>
              </w:rPr>
            </w:pPr>
            <w:r w:rsidRPr="00F43108">
              <w:rPr>
                <w:rFonts w:ascii="Times New Roman" w:hAnsi="Times New Roman" w:cs="Times New Roman"/>
                <w:sz w:val="24"/>
                <w:szCs w:val="24"/>
              </w:rPr>
              <w:t>THESC ENDOMETRIAL CELLS ESTRADIOL+PROGESTERONE</w:t>
            </w:r>
            <w:r>
              <w:rPr>
                <w:rFonts w:ascii="Times New Roman" w:hAnsi="Times New Roman" w:cs="Times New Roman" w:hint="eastAsia"/>
                <w:sz w:val="24"/>
                <w:szCs w:val="24"/>
              </w:rPr>
              <w:t>×</w:t>
            </w:r>
            <w:r>
              <w:rPr>
                <w:rFonts w:ascii="Times New Roman" w:hAnsi="Times New Roman" w:cs="Times New Roman"/>
                <w:sz w:val="24"/>
                <w:szCs w:val="24"/>
              </w:rPr>
              <w:t>3</w:t>
            </w:r>
          </w:p>
          <w:p w14:paraId="2C2E5875" w14:textId="77777777" w:rsidR="00085919" w:rsidRDefault="00085919" w:rsidP="00085919">
            <w:pPr>
              <w:rPr>
                <w:rFonts w:ascii="Times New Roman" w:hAnsi="Times New Roman" w:cs="Times New Roman"/>
                <w:sz w:val="24"/>
                <w:szCs w:val="24"/>
              </w:rPr>
            </w:pPr>
            <w:r w:rsidRPr="00F43108">
              <w:rPr>
                <w:rFonts w:ascii="Times New Roman" w:hAnsi="Times New Roman" w:cs="Times New Roman"/>
                <w:sz w:val="24"/>
                <w:szCs w:val="24"/>
              </w:rPr>
              <w:t>THESC ENDOMETRIAL CELLS VEHICLE+MACROPHAGE-CONDITIONED MEDIUM</w:t>
            </w:r>
            <w:r>
              <w:rPr>
                <w:rFonts w:ascii="Times New Roman" w:hAnsi="Times New Roman" w:cs="Times New Roman" w:hint="eastAsia"/>
                <w:sz w:val="24"/>
                <w:szCs w:val="24"/>
              </w:rPr>
              <w:t>×</w:t>
            </w:r>
            <w:r>
              <w:rPr>
                <w:rFonts w:ascii="Times New Roman" w:hAnsi="Times New Roman" w:cs="Times New Roman"/>
                <w:sz w:val="24"/>
                <w:szCs w:val="24"/>
              </w:rPr>
              <w:t>3</w:t>
            </w:r>
          </w:p>
          <w:p w14:paraId="7427F87A" w14:textId="77777777" w:rsidR="00085919" w:rsidRDefault="00085919" w:rsidP="00085919">
            <w:pPr>
              <w:rPr>
                <w:rFonts w:ascii="Times New Roman" w:hAnsi="Times New Roman" w:cs="Times New Roman"/>
                <w:sz w:val="24"/>
                <w:szCs w:val="24"/>
              </w:rPr>
            </w:pPr>
            <w:r w:rsidRPr="00F43108">
              <w:rPr>
                <w:rFonts w:ascii="Times New Roman" w:hAnsi="Times New Roman" w:cs="Times New Roman"/>
                <w:sz w:val="24"/>
                <w:szCs w:val="24"/>
              </w:rPr>
              <w:t>THESC ENDOMETRIAL CELLS ESTRADIOL+PROGESTERONE+MACROPHAGE-CONDITIONED MEDIUM</w:t>
            </w:r>
            <w:r>
              <w:rPr>
                <w:rFonts w:ascii="Times New Roman" w:hAnsi="Times New Roman" w:cs="Times New Roman" w:hint="eastAsia"/>
                <w:sz w:val="24"/>
                <w:szCs w:val="24"/>
              </w:rPr>
              <w:t>×</w:t>
            </w:r>
            <w:r>
              <w:rPr>
                <w:rFonts w:ascii="Times New Roman" w:hAnsi="Times New Roman" w:cs="Times New Roman"/>
                <w:sz w:val="24"/>
                <w:szCs w:val="24"/>
              </w:rPr>
              <w:t>3</w:t>
            </w:r>
          </w:p>
          <w:p w14:paraId="0CFB7C70" w14:textId="77777777" w:rsidR="00085919" w:rsidRDefault="00085919" w:rsidP="00085919">
            <w:pPr>
              <w:rPr>
                <w:rFonts w:ascii="Times New Roman" w:hAnsi="Times New Roman" w:cs="Times New Roman"/>
                <w:sz w:val="24"/>
                <w:szCs w:val="24"/>
              </w:rPr>
            </w:pPr>
            <w:r w:rsidRPr="00F43108">
              <w:rPr>
                <w:rFonts w:ascii="Times New Roman" w:hAnsi="Times New Roman" w:cs="Times New Roman"/>
                <w:sz w:val="24"/>
                <w:szCs w:val="24"/>
              </w:rPr>
              <w:lastRenderedPageBreak/>
              <w:t>MACROPHAGES CONTROL</w:t>
            </w:r>
            <w:r>
              <w:rPr>
                <w:rFonts w:ascii="Times New Roman" w:hAnsi="Times New Roman" w:cs="Times New Roman" w:hint="eastAsia"/>
                <w:sz w:val="24"/>
                <w:szCs w:val="24"/>
              </w:rPr>
              <w:t>×</w:t>
            </w:r>
            <w:r>
              <w:rPr>
                <w:rFonts w:ascii="Times New Roman" w:hAnsi="Times New Roman" w:cs="Times New Roman"/>
                <w:sz w:val="24"/>
                <w:szCs w:val="24"/>
              </w:rPr>
              <w:t>3</w:t>
            </w:r>
          </w:p>
          <w:p w14:paraId="2C756E74" w14:textId="5A2D4DBE" w:rsidR="00085919" w:rsidRPr="003A3E08" w:rsidRDefault="00085919" w:rsidP="00085919">
            <w:pPr>
              <w:rPr>
                <w:rFonts w:ascii="Times New Roman" w:hAnsi="Times New Roman" w:cs="Times New Roman"/>
                <w:sz w:val="24"/>
                <w:szCs w:val="24"/>
              </w:rPr>
            </w:pPr>
            <w:r w:rsidRPr="00F43108">
              <w:rPr>
                <w:rFonts w:ascii="Times New Roman" w:hAnsi="Times New Roman" w:cs="Times New Roman"/>
                <w:sz w:val="24"/>
                <w:szCs w:val="24"/>
              </w:rPr>
              <w:t>MACROPHAGES+THESC-CONDITIONED MEDIUM</w:t>
            </w:r>
            <w:r>
              <w:rPr>
                <w:rFonts w:ascii="Times New Roman" w:hAnsi="Times New Roman" w:cs="Times New Roman" w:hint="eastAsia"/>
                <w:sz w:val="24"/>
                <w:szCs w:val="24"/>
              </w:rPr>
              <w:t>×</w:t>
            </w:r>
            <w:r>
              <w:rPr>
                <w:rFonts w:ascii="Times New Roman" w:hAnsi="Times New Roman" w:cs="Times New Roman"/>
                <w:sz w:val="24"/>
                <w:szCs w:val="24"/>
              </w:rPr>
              <w:t>3</w:t>
            </w:r>
          </w:p>
        </w:tc>
      </w:tr>
    </w:tbl>
    <w:p w14:paraId="3A704C9C" w14:textId="77777777" w:rsidR="00701448" w:rsidRPr="00877DC9" w:rsidRDefault="00701448" w:rsidP="00701448"/>
    <w:p w14:paraId="18A26627" w14:textId="77777777" w:rsidR="006A184D" w:rsidRDefault="006A184D">
      <w:pPr>
        <w:sectPr w:rsidR="006A184D" w:rsidSect="00701448">
          <w:pgSz w:w="16838" w:h="11906" w:orient="landscape"/>
          <w:pgMar w:top="1800" w:right="1440" w:bottom="1800" w:left="1440" w:header="851" w:footer="992" w:gutter="0"/>
          <w:cols w:space="425"/>
          <w:docGrid w:type="lines" w:linePitch="312"/>
        </w:sectPr>
      </w:pPr>
    </w:p>
    <w:p w14:paraId="0589D8BF" w14:textId="77777777" w:rsidR="006A184D" w:rsidRPr="00AD303A" w:rsidRDefault="006A184D" w:rsidP="006A184D">
      <w:pPr>
        <w:spacing w:line="360" w:lineRule="auto"/>
        <w:rPr>
          <w:rFonts w:ascii="Times New Roman" w:hAnsi="Times New Roman" w:cs="Times New Roman"/>
          <w:b/>
          <w:bCs/>
          <w:sz w:val="24"/>
          <w:szCs w:val="24"/>
        </w:rPr>
      </w:pPr>
      <w:r w:rsidRPr="00AD303A">
        <w:rPr>
          <w:rFonts w:ascii="Times New Roman" w:hAnsi="Times New Roman" w:cs="Times New Roman"/>
          <w:b/>
          <w:bCs/>
          <w:sz w:val="24"/>
          <w:szCs w:val="24"/>
        </w:rPr>
        <w:lastRenderedPageBreak/>
        <w:t>Supplementary Table 2. Overview of the demographics and other characteristics of the recruited patients</w:t>
      </w:r>
    </w:p>
    <w:tbl>
      <w:tblPr>
        <w:tblStyle w:val="211"/>
        <w:tblW w:w="5000" w:type="pct"/>
        <w:tblBorders>
          <w:top w:val="single" w:sz="4" w:space="0" w:color="auto"/>
          <w:bottom w:val="none" w:sz="0" w:space="0" w:color="auto"/>
        </w:tblBorders>
        <w:tblLook w:val="04A0" w:firstRow="1" w:lastRow="0" w:firstColumn="1" w:lastColumn="0" w:noHBand="0" w:noVBand="1"/>
      </w:tblPr>
      <w:tblGrid>
        <w:gridCol w:w="2076"/>
        <w:gridCol w:w="2076"/>
        <w:gridCol w:w="2077"/>
        <w:gridCol w:w="2077"/>
      </w:tblGrid>
      <w:tr w:rsidR="006A184D" w:rsidRPr="00AD303A" w14:paraId="11220B91" w14:textId="77777777" w:rsidTr="00B06367">
        <w:trPr>
          <w:cnfStyle w:val="100000000000" w:firstRow="1" w:lastRow="0" w:firstColumn="0" w:lastColumn="0" w:oddVBand="0" w:evenVBand="0" w:oddHBand="0"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single" w:sz="12" w:space="0" w:color="auto"/>
              <w:bottom w:val="single" w:sz="8" w:space="0" w:color="auto"/>
            </w:tcBorders>
          </w:tcPr>
          <w:p w14:paraId="144CBD27" w14:textId="77777777" w:rsidR="006A184D" w:rsidRPr="00AD303A" w:rsidRDefault="006A184D" w:rsidP="00B06367">
            <w:pPr>
              <w:spacing w:line="360" w:lineRule="auto"/>
              <w:jc w:val="center"/>
              <w:rPr>
                <w:rFonts w:ascii="Times New Roman" w:eastAsia="宋体" w:hAnsi="Times New Roman"/>
                <w:sz w:val="24"/>
                <w:szCs w:val="24"/>
              </w:rPr>
            </w:pPr>
            <w:r w:rsidRPr="00AD303A">
              <w:rPr>
                <w:rFonts w:ascii="Times New Roman" w:eastAsia="宋体" w:hAnsi="Times New Roman"/>
                <w:sz w:val="24"/>
                <w:szCs w:val="24"/>
              </w:rPr>
              <w:t>Parameter</w:t>
            </w:r>
          </w:p>
        </w:tc>
        <w:tc>
          <w:tcPr>
            <w:tcW w:w="1250" w:type="pct"/>
            <w:tcBorders>
              <w:top w:val="single" w:sz="12" w:space="0" w:color="auto"/>
              <w:bottom w:val="single" w:sz="8" w:space="0" w:color="auto"/>
            </w:tcBorders>
          </w:tcPr>
          <w:p w14:paraId="5F01499F" w14:textId="266FAB06" w:rsidR="006A184D" w:rsidRPr="00AD303A" w:rsidRDefault="00C25C07"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hint="eastAsia"/>
                <w:sz w:val="24"/>
                <w:szCs w:val="24"/>
              </w:rPr>
              <w:t>CO</w:t>
            </w:r>
            <w:r w:rsidR="00E328A9">
              <w:rPr>
                <w:rFonts w:ascii="Times New Roman" w:eastAsia="宋体" w:hAnsi="Times New Roman"/>
                <w:sz w:val="24"/>
                <w:szCs w:val="24"/>
              </w:rPr>
              <w:t>N</w:t>
            </w:r>
          </w:p>
          <w:p w14:paraId="4F724B67" w14:textId="53F1F45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N=</w:t>
            </w:r>
            <w:r w:rsidR="00E328A9">
              <w:rPr>
                <w:rFonts w:ascii="Times New Roman" w:eastAsia="宋体" w:hAnsi="Times New Roman"/>
                <w:sz w:val="24"/>
                <w:szCs w:val="24"/>
              </w:rPr>
              <w:t>15</w:t>
            </w:r>
          </w:p>
        </w:tc>
        <w:tc>
          <w:tcPr>
            <w:tcW w:w="1250" w:type="pct"/>
            <w:tcBorders>
              <w:top w:val="single" w:sz="12" w:space="0" w:color="auto"/>
              <w:bottom w:val="single" w:sz="8" w:space="0" w:color="auto"/>
            </w:tcBorders>
          </w:tcPr>
          <w:p w14:paraId="6EC384CF" w14:textId="453A94F8" w:rsidR="006A184D" w:rsidRPr="00AD303A" w:rsidRDefault="00E328A9"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hint="eastAsia"/>
                <w:sz w:val="24"/>
                <w:szCs w:val="24"/>
              </w:rPr>
              <w:t>D</w:t>
            </w:r>
            <w:r>
              <w:rPr>
                <w:rFonts w:ascii="Times New Roman" w:eastAsia="宋体" w:hAnsi="Times New Roman"/>
                <w:sz w:val="24"/>
                <w:szCs w:val="24"/>
              </w:rPr>
              <w:t>ER</w:t>
            </w:r>
          </w:p>
          <w:p w14:paraId="5DCAE399" w14:textId="64E04938"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N=</w:t>
            </w:r>
            <w:r w:rsidR="00F011F1">
              <w:rPr>
                <w:rFonts w:ascii="Times New Roman" w:eastAsia="宋体" w:hAnsi="Times New Roman"/>
                <w:sz w:val="24"/>
                <w:szCs w:val="24"/>
              </w:rPr>
              <w:t>2</w:t>
            </w:r>
            <w:r w:rsidR="00E328A9">
              <w:rPr>
                <w:rFonts w:ascii="Times New Roman" w:eastAsia="宋体" w:hAnsi="Times New Roman"/>
                <w:sz w:val="24"/>
                <w:szCs w:val="24"/>
              </w:rPr>
              <w:t>5</w:t>
            </w:r>
          </w:p>
        </w:tc>
        <w:tc>
          <w:tcPr>
            <w:tcW w:w="1250" w:type="pct"/>
            <w:tcBorders>
              <w:top w:val="single" w:sz="12" w:space="0" w:color="auto"/>
              <w:bottom w:val="single" w:sz="8" w:space="0" w:color="auto"/>
            </w:tcBorders>
          </w:tcPr>
          <w:p w14:paraId="4B8A3BB9" w14:textId="77777777" w:rsidR="006A184D" w:rsidRPr="00AD303A" w:rsidRDefault="006A184D" w:rsidP="00B06367">
            <w:pPr>
              <w:spacing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eastAsia="宋体" w:hAnsi="Times New Roman"/>
                <w:i/>
                <w:iCs/>
                <w:sz w:val="24"/>
                <w:szCs w:val="24"/>
              </w:rPr>
            </w:pPr>
            <w:r w:rsidRPr="00AD303A">
              <w:rPr>
                <w:rFonts w:ascii="Times New Roman" w:eastAsia="宋体" w:hAnsi="Times New Roman"/>
                <w:i/>
                <w:iCs/>
                <w:sz w:val="24"/>
                <w:szCs w:val="24"/>
              </w:rPr>
              <w:t>P</w:t>
            </w:r>
          </w:p>
        </w:tc>
      </w:tr>
      <w:tr w:rsidR="006A184D" w:rsidRPr="00AD303A" w14:paraId="0E3BDB3C"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single" w:sz="8" w:space="0" w:color="auto"/>
              <w:bottom w:val="nil"/>
            </w:tcBorders>
          </w:tcPr>
          <w:p w14:paraId="6222679B"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Age, mean (SD)</w:t>
            </w:r>
          </w:p>
        </w:tc>
        <w:tc>
          <w:tcPr>
            <w:tcW w:w="1250" w:type="pct"/>
            <w:tcBorders>
              <w:top w:val="single" w:sz="8" w:space="0" w:color="auto"/>
              <w:bottom w:val="nil"/>
            </w:tcBorders>
          </w:tcPr>
          <w:p w14:paraId="5CED8C69" w14:textId="417689D5" w:rsidR="006A184D" w:rsidRPr="00AD303A" w:rsidRDefault="005C714C"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5C714C">
              <w:rPr>
                <w:rFonts w:ascii="Times New Roman" w:eastAsia="宋体" w:hAnsi="Times New Roman"/>
                <w:sz w:val="24"/>
                <w:szCs w:val="24"/>
              </w:rPr>
              <w:t>34.0</w:t>
            </w:r>
            <w:r>
              <w:rPr>
                <w:rFonts w:ascii="Times New Roman" w:eastAsia="宋体" w:hAnsi="Times New Roman"/>
                <w:sz w:val="24"/>
                <w:szCs w:val="24"/>
              </w:rPr>
              <w:t>7</w:t>
            </w:r>
            <w:r w:rsidR="006A184D" w:rsidRPr="00AD303A">
              <w:rPr>
                <w:rFonts w:ascii="Times New Roman" w:eastAsia="宋体" w:hAnsi="Times New Roman"/>
                <w:sz w:val="24"/>
                <w:szCs w:val="24"/>
              </w:rPr>
              <w:t xml:space="preserve"> (</w:t>
            </w:r>
            <w:r w:rsidRPr="005C714C">
              <w:rPr>
                <w:rFonts w:ascii="Times New Roman" w:eastAsia="宋体" w:hAnsi="Times New Roman"/>
                <w:sz w:val="24"/>
                <w:szCs w:val="24"/>
              </w:rPr>
              <w:t>3.19</w:t>
            </w:r>
            <w:r w:rsidR="006A184D" w:rsidRPr="00AD303A">
              <w:rPr>
                <w:rFonts w:ascii="Times New Roman" w:eastAsia="宋体" w:hAnsi="Times New Roman"/>
                <w:sz w:val="24"/>
                <w:szCs w:val="24"/>
              </w:rPr>
              <w:t>)</w:t>
            </w:r>
          </w:p>
        </w:tc>
        <w:tc>
          <w:tcPr>
            <w:tcW w:w="1250" w:type="pct"/>
            <w:tcBorders>
              <w:top w:val="single" w:sz="8" w:space="0" w:color="auto"/>
              <w:bottom w:val="nil"/>
            </w:tcBorders>
          </w:tcPr>
          <w:p w14:paraId="20306F97" w14:textId="64CCDEBD" w:rsidR="006A184D" w:rsidRPr="00AD303A" w:rsidRDefault="006A184D"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sz w:val="24"/>
                <w:szCs w:val="24"/>
              </w:rPr>
              <w:t>3</w:t>
            </w:r>
            <w:r w:rsidR="00C25C07">
              <w:rPr>
                <w:rFonts w:ascii="Times New Roman" w:eastAsia="宋体" w:hAnsi="Times New Roman"/>
                <w:sz w:val="24"/>
                <w:szCs w:val="24"/>
              </w:rPr>
              <w:t>5.67</w:t>
            </w:r>
            <w:r w:rsidRPr="00AD303A">
              <w:rPr>
                <w:rFonts w:ascii="Times New Roman" w:eastAsia="宋体" w:hAnsi="Times New Roman"/>
                <w:sz w:val="24"/>
                <w:szCs w:val="24"/>
              </w:rPr>
              <w:t xml:space="preserve"> (</w:t>
            </w:r>
            <w:r w:rsidR="005C714C" w:rsidRPr="005C714C">
              <w:rPr>
                <w:rFonts w:ascii="Times New Roman" w:eastAsia="宋体" w:hAnsi="Times New Roman"/>
                <w:sz w:val="24"/>
                <w:szCs w:val="24"/>
              </w:rPr>
              <w:t>5.2</w:t>
            </w:r>
            <w:r w:rsidR="005C714C">
              <w:rPr>
                <w:rFonts w:ascii="Times New Roman" w:eastAsia="宋体" w:hAnsi="Times New Roman"/>
                <w:sz w:val="24"/>
                <w:szCs w:val="24"/>
              </w:rPr>
              <w:t>2</w:t>
            </w:r>
            <w:r w:rsidRPr="00AD303A">
              <w:rPr>
                <w:rFonts w:ascii="Times New Roman" w:eastAsia="宋体" w:hAnsi="Times New Roman"/>
                <w:sz w:val="24"/>
                <w:szCs w:val="24"/>
              </w:rPr>
              <w:t>)</w:t>
            </w:r>
          </w:p>
        </w:tc>
        <w:tc>
          <w:tcPr>
            <w:tcW w:w="1250" w:type="pct"/>
            <w:tcBorders>
              <w:top w:val="single" w:sz="8" w:space="0" w:color="auto"/>
              <w:bottom w:val="nil"/>
            </w:tcBorders>
          </w:tcPr>
          <w:p w14:paraId="7D35A65B" w14:textId="5C685834"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 xml:space="preserve">= </w:t>
            </w:r>
            <w:r w:rsidR="005C714C" w:rsidRPr="005C714C">
              <w:rPr>
                <w:rFonts w:ascii="Times New Roman" w:eastAsia="宋体" w:hAnsi="Times New Roman"/>
                <w:sz w:val="24"/>
                <w:szCs w:val="24"/>
              </w:rPr>
              <w:t>0.4</w:t>
            </w:r>
            <w:r w:rsidR="005C714C">
              <w:rPr>
                <w:rFonts w:ascii="Times New Roman" w:eastAsia="宋体" w:hAnsi="Times New Roman"/>
                <w:sz w:val="24"/>
                <w:szCs w:val="24"/>
              </w:rPr>
              <w:t>3</w:t>
            </w:r>
          </w:p>
        </w:tc>
      </w:tr>
      <w:tr w:rsidR="006A184D" w:rsidRPr="00AD303A" w14:paraId="5B487D58"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5C5B072D" w14:textId="63BD28E8" w:rsidR="006A184D" w:rsidRPr="003156CA" w:rsidRDefault="00725184" w:rsidP="00B06367">
            <w:pPr>
              <w:spacing w:line="360" w:lineRule="auto"/>
              <w:rPr>
                <w:rFonts w:ascii="Times New Roman" w:eastAsia="宋体" w:hAnsi="Times New Roman"/>
                <w:sz w:val="24"/>
                <w:szCs w:val="24"/>
              </w:rPr>
            </w:pPr>
            <w:r>
              <w:rPr>
                <w:rFonts w:ascii="Times New Roman" w:eastAsia="宋体" w:hAnsi="Times New Roman"/>
                <w:sz w:val="24"/>
                <w:szCs w:val="24"/>
              </w:rPr>
              <w:t>I</w:t>
            </w:r>
            <w:r w:rsidRPr="00725184">
              <w:rPr>
                <w:rFonts w:ascii="Times New Roman" w:eastAsia="宋体" w:hAnsi="Times New Roman"/>
                <w:sz w:val="24"/>
                <w:szCs w:val="24"/>
              </w:rPr>
              <w:t>rregular menstruation</w:t>
            </w:r>
            <w:r>
              <w:rPr>
                <w:rFonts w:ascii="Times New Roman" w:eastAsia="宋体" w:hAnsi="Times New Roman"/>
                <w:sz w:val="24"/>
                <w:szCs w:val="24"/>
              </w:rPr>
              <w:t>, n (%)</w:t>
            </w:r>
          </w:p>
        </w:tc>
        <w:tc>
          <w:tcPr>
            <w:tcW w:w="1250" w:type="pct"/>
            <w:tcBorders>
              <w:top w:val="nil"/>
              <w:bottom w:val="nil"/>
            </w:tcBorders>
          </w:tcPr>
          <w:p w14:paraId="2B2F1DF1" w14:textId="24D9C080" w:rsidR="006A184D" w:rsidRPr="003156CA" w:rsidRDefault="00725184"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hint="eastAsia"/>
                <w:sz w:val="24"/>
                <w:szCs w:val="24"/>
              </w:rPr>
              <w:t>1</w:t>
            </w:r>
            <w:r>
              <w:rPr>
                <w:rFonts w:ascii="Times New Roman" w:eastAsia="宋体" w:hAnsi="Times New Roman"/>
                <w:sz w:val="24"/>
                <w:szCs w:val="24"/>
              </w:rPr>
              <w:t xml:space="preserve"> (6.7)</w:t>
            </w:r>
          </w:p>
        </w:tc>
        <w:tc>
          <w:tcPr>
            <w:tcW w:w="1250" w:type="pct"/>
            <w:tcBorders>
              <w:top w:val="nil"/>
              <w:bottom w:val="nil"/>
            </w:tcBorders>
          </w:tcPr>
          <w:p w14:paraId="499C8329" w14:textId="0416779F" w:rsidR="006A184D" w:rsidRPr="003156CA" w:rsidRDefault="00725184"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1</w:t>
            </w:r>
            <w:r w:rsidR="006A184D" w:rsidRPr="003156CA">
              <w:rPr>
                <w:rFonts w:ascii="Times New Roman" w:eastAsia="宋体" w:hAnsi="Times New Roman"/>
                <w:sz w:val="24"/>
                <w:szCs w:val="24"/>
              </w:rPr>
              <w:t xml:space="preserve"> (</w:t>
            </w:r>
            <w:r>
              <w:rPr>
                <w:rFonts w:ascii="Times New Roman" w:eastAsia="宋体" w:hAnsi="Times New Roman"/>
                <w:sz w:val="24"/>
                <w:szCs w:val="24"/>
              </w:rPr>
              <w:t>4</w:t>
            </w:r>
            <w:r w:rsidR="006A184D" w:rsidRPr="003156CA">
              <w:rPr>
                <w:rFonts w:ascii="Times New Roman" w:eastAsia="宋体" w:hAnsi="Times New Roman"/>
                <w:sz w:val="24"/>
                <w:szCs w:val="24"/>
              </w:rPr>
              <w:t>)</w:t>
            </w:r>
          </w:p>
        </w:tc>
        <w:tc>
          <w:tcPr>
            <w:tcW w:w="1250" w:type="pct"/>
            <w:tcBorders>
              <w:top w:val="nil"/>
              <w:bottom w:val="nil"/>
            </w:tcBorders>
          </w:tcPr>
          <w:p w14:paraId="1460A938" w14:textId="7A5333C4" w:rsidR="006A184D" w:rsidRPr="003156C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3156CA">
              <w:rPr>
                <w:rFonts w:ascii="Times New Roman" w:eastAsia="宋体" w:hAnsi="Times New Roman"/>
                <w:i/>
                <w:iCs/>
                <w:sz w:val="24"/>
                <w:szCs w:val="24"/>
              </w:rPr>
              <w:t>P</w:t>
            </w:r>
            <w:r w:rsidR="003156CA" w:rsidRPr="003156CA">
              <w:rPr>
                <w:rFonts w:ascii="Times New Roman" w:eastAsia="宋体" w:hAnsi="Times New Roman"/>
                <w:sz w:val="24"/>
                <w:szCs w:val="24"/>
              </w:rPr>
              <w:t>=</w:t>
            </w:r>
            <w:r w:rsidR="00725184">
              <w:rPr>
                <w:rFonts w:ascii="Times New Roman" w:eastAsia="宋体" w:hAnsi="Times New Roman"/>
                <w:sz w:val="24"/>
                <w:szCs w:val="24"/>
              </w:rPr>
              <w:t>1</w:t>
            </w:r>
          </w:p>
        </w:tc>
      </w:tr>
      <w:tr w:rsidR="00A47AB7" w:rsidRPr="00AD303A" w14:paraId="3319F7AB"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5712859F" w14:textId="5AF7D93B" w:rsidR="00A47AB7" w:rsidRDefault="00A47AB7" w:rsidP="00B06367">
            <w:pPr>
              <w:spacing w:line="360" w:lineRule="auto"/>
              <w:rPr>
                <w:rFonts w:ascii="Times New Roman" w:eastAsia="宋体" w:hAnsi="Times New Roman"/>
                <w:sz w:val="24"/>
                <w:szCs w:val="24"/>
              </w:rPr>
            </w:pPr>
            <w:r>
              <w:rPr>
                <w:rFonts w:ascii="Times New Roman" w:eastAsia="宋体" w:hAnsi="Times New Roman" w:hint="eastAsia"/>
                <w:sz w:val="24"/>
                <w:szCs w:val="24"/>
              </w:rPr>
              <w:t>B</w:t>
            </w:r>
            <w:r>
              <w:rPr>
                <w:rFonts w:ascii="Times New Roman" w:eastAsia="宋体" w:hAnsi="Times New Roman"/>
                <w:sz w:val="24"/>
                <w:szCs w:val="24"/>
              </w:rPr>
              <w:t>MI, mean (SD)</w:t>
            </w:r>
          </w:p>
        </w:tc>
        <w:tc>
          <w:tcPr>
            <w:tcW w:w="1250" w:type="pct"/>
            <w:tcBorders>
              <w:top w:val="nil"/>
              <w:bottom w:val="nil"/>
            </w:tcBorders>
          </w:tcPr>
          <w:p w14:paraId="7C9D05A4" w14:textId="2F7655EC" w:rsidR="00A47AB7" w:rsidRDefault="00A47AB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hint="eastAsia"/>
                <w:sz w:val="24"/>
                <w:szCs w:val="24"/>
              </w:rPr>
            </w:pPr>
            <w:r w:rsidRPr="00A47AB7">
              <w:rPr>
                <w:rFonts w:ascii="Times New Roman" w:eastAsia="宋体" w:hAnsi="Times New Roman"/>
                <w:sz w:val="24"/>
                <w:szCs w:val="24"/>
              </w:rPr>
              <w:t>23.4</w:t>
            </w:r>
            <w:r>
              <w:rPr>
                <w:rFonts w:ascii="Times New Roman" w:eastAsia="宋体" w:hAnsi="Times New Roman"/>
                <w:sz w:val="24"/>
                <w:szCs w:val="24"/>
              </w:rPr>
              <w:t>8 (</w:t>
            </w:r>
            <w:r w:rsidRPr="00A47AB7">
              <w:rPr>
                <w:rFonts w:ascii="Times New Roman" w:eastAsia="宋体" w:hAnsi="Times New Roman"/>
                <w:sz w:val="24"/>
                <w:szCs w:val="24"/>
              </w:rPr>
              <w:t>3.75</w:t>
            </w:r>
            <w:r>
              <w:rPr>
                <w:rFonts w:ascii="Times New Roman" w:eastAsia="宋体" w:hAnsi="Times New Roman"/>
                <w:sz w:val="24"/>
                <w:szCs w:val="24"/>
              </w:rPr>
              <w:t>)</w:t>
            </w:r>
          </w:p>
        </w:tc>
        <w:tc>
          <w:tcPr>
            <w:tcW w:w="1250" w:type="pct"/>
            <w:tcBorders>
              <w:top w:val="nil"/>
              <w:bottom w:val="nil"/>
            </w:tcBorders>
          </w:tcPr>
          <w:p w14:paraId="2EEE5F76" w14:textId="125EF944" w:rsidR="00A47AB7" w:rsidRDefault="00A47AB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47AB7">
              <w:rPr>
                <w:rFonts w:ascii="Times New Roman" w:eastAsia="宋体" w:hAnsi="Times New Roman"/>
                <w:sz w:val="24"/>
                <w:szCs w:val="24"/>
              </w:rPr>
              <w:t>21.44</w:t>
            </w:r>
            <w:r>
              <w:rPr>
                <w:rFonts w:ascii="Times New Roman" w:eastAsia="宋体" w:hAnsi="Times New Roman"/>
                <w:sz w:val="24"/>
                <w:szCs w:val="24"/>
              </w:rPr>
              <w:t xml:space="preserve"> (</w:t>
            </w:r>
            <w:r w:rsidRPr="00A47AB7">
              <w:rPr>
                <w:rFonts w:ascii="Times New Roman" w:eastAsia="宋体" w:hAnsi="Times New Roman"/>
                <w:sz w:val="24"/>
                <w:szCs w:val="24"/>
              </w:rPr>
              <w:t>5.86</w:t>
            </w:r>
            <w:r>
              <w:rPr>
                <w:rFonts w:ascii="Times New Roman" w:eastAsia="宋体" w:hAnsi="Times New Roman"/>
                <w:sz w:val="24"/>
                <w:szCs w:val="24"/>
              </w:rPr>
              <w:t>)</w:t>
            </w:r>
          </w:p>
        </w:tc>
        <w:tc>
          <w:tcPr>
            <w:tcW w:w="1250" w:type="pct"/>
            <w:tcBorders>
              <w:top w:val="nil"/>
              <w:bottom w:val="nil"/>
            </w:tcBorders>
          </w:tcPr>
          <w:p w14:paraId="09D10784" w14:textId="390E2569" w:rsidR="00A47AB7" w:rsidRPr="00627053" w:rsidRDefault="00627053"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hint="eastAsia"/>
                <w:i/>
                <w:iCs/>
                <w:sz w:val="24"/>
                <w:szCs w:val="24"/>
              </w:rPr>
              <w:t>P</w:t>
            </w:r>
            <w:r w:rsidRPr="00627053">
              <w:rPr>
                <w:rFonts w:ascii="Times New Roman" w:eastAsia="宋体" w:hAnsi="Times New Roman"/>
                <w:sz w:val="24"/>
                <w:szCs w:val="24"/>
              </w:rPr>
              <w:t>=</w:t>
            </w:r>
            <w:r w:rsidRPr="00627053">
              <w:rPr>
                <w:rFonts w:ascii="Times New Roman" w:eastAsia="宋体" w:hAnsi="Times New Roman"/>
                <w:sz w:val="24"/>
                <w:szCs w:val="24"/>
              </w:rPr>
              <w:t>0.3</w:t>
            </w:r>
            <w:r>
              <w:rPr>
                <w:rFonts w:ascii="Times New Roman" w:eastAsia="宋体" w:hAnsi="Times New Roman"/>
                <w:sz w:val="24"/>
                <w:szCs w:val="24"/>
              </w:rPr>
              <w:t>7</w:t>
            </w:r>
          </w:p>
        </w:tc>
      </w:tr>
      <w:tr w:rsidR="006A184D" w:rsidRPr="00AD303A" w14:paraId="3EA98FC4"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6FD750F"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Gravidity, median (range)</w:t>
            </w:r>
          </w:p>
        </w:tc>
        <w:tc>
          <w:tcPr>
            <w:tcW w:w="1250" w:type="pct"/>
            <w:tcBorders>
              <w:top w:val="nil"/>
              <w:bottom w:val="nil"/>
            </w:tcBorders>
          </w:tcPr>
          <w:p w14:paraId="44807CFE" w14:textId="7FE52943" w:rsidR="006A184D" w:rsidRPr="00AD303A" w:rsidRDefault="00E57832"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 xml:space="preserve">1 </w:t>
            </w:r>
            <w:r w:rsidRPr="00AD303A">
              <w:rPr>
                <w:rFonts w:ascii="Times New Roman" w:eastAsia="宋体" w:hAnsi="Times New Roman"/>
                <w:sz w:val="24"/>
                <w:szCs w:val="24"/>
              </w:rPr>
              <w:t>(</w:t>
            </w:r>
            <w:r>
              <w:rPr>
                <w:rFonts w:ascii="Times New Roman" w:eastAsia="宋体" w:hAnsi="Times New Roman"/>
                <w:sz w:val="24"/>
                <w:szCs w:val="24"/>
              </w:rPr>
              <w:t>0</w:t>
            </w:r>
            <w:r w:rsidRPr="00AD303A">
              <w:rPr>
                <w:rFonts w:ascii="Times New Roman" w:eastAsia="宋体" w:hAnsi="Times New Roman"/>
                <w:sz w:val="24"/>
                <w:szCs w:val="24"/>
              </w:rPr>
              <w:t xml:space="preserve">, </w:t>
            </w:r>
            <w:r>
              <w:rPr>
                <w:rFonts w:ascii="Times New Roman" w:eastAsia="宋体" w:hAnsi="Times New Roman"/>
                <w:sz w:val="24"/>
                <w:szCs w:val="24"/>
              </w:rPr>
              <w:t>3</w:t>
            </w:r>
            <w:r w:rsidRPr="00AD303A">
              <w:rPr>
                <w:rFonts w:ascii="Times New Roman" w:eastAsia="宋体" w:hAnsi="Times New Roman"/>
                <w:sz w:val="24"/>
                <w:szCs w:val="24"/>
              </w:rPr>
              <w:t>)</w:t>
            </w:r>
          </w:p>
        </w:tc>
        <w:tc>
          <w:tcPr>
            <w:tcW w:w="1250" w:type="pct"/>
            <w:tcBorders>
              <w:top w:val="nil"/>
              <w:bottom w:val="nil"/>
            </w:tcBorders>
          </w:tcPr>
          <w:p w14:paraId="1047ED20" w14:textId="156CEA9A" w:rsidR="006A184D" w:rsidRPr="00AD303A" w:rsidRDefault="00E57832"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 xml:space="preserve">1 </w:t>
            </w:r>
            <w:r w:rsidRPr="00AD303A">
              <w:rPr>
                <w:rFonts w:ascii="Times New Roman" w:eastAsia="宋体" w:hAnsi="Times New Roman"/>
                <w:sz w:val="24"/>
                <w:szCs w:val="24"/>
              </w:rPr>
              <w:t>(</w:t>
            </w:r>
            <w:r>
              <w:rPr>
                <w:rFonts w:ascii="Times New Roman" w:eastAsia="宋体" w:hAnsi="Times New Roman"/>
                <w:sz w:val="24"/>
                <w:szCs w:val="24"/>
              </w:rPr>
              <w:t>0</w:t>
            </w:r>
            <w:r w:rsidRPr="00AD303A">
              <w:rPr>
                <w:rFonts w:ascii="Times New Roman" w:eastAsia="宋体" w:hAnsi="Times New Roman"/>
                <w:sz w:val="24"/>
                <w:szCs w:val="24"/>
              </w:rPr>
              <w:t xml:space="preserve">, </w:t>
            </w:r>
            <w:r>
              <w:rPr>
                <w:rFonts w:ascii="Times New Roman" w:eastAsia="宋体" w:hAnsi="Times New Roman"/>
                <w:sz w:val="24"/>
                <w:szCs w:val="24"/>
              </w:rPr>
              <w:t>7</w:t>
            </w:r>
            <w:r w:rsidRPr="00AD303A">
              <w:rPr>
                <w:rFonts w:ascii="Times New Roman" w:eastAsia="宋体" w:hAnsi="Times New Roman"/>
                <w:sz w:val="24"/>
                <w:szCs w:val="24"/>
              </w:rPr>
              <w:t>)</w:t>
            </w:r>
          </w:p>
        </w:tc>
        <w:tc>
          <w:tcPr>
            <w:tcW w:w="1250" w:type="pct"/>
            <w:tcBorders>
              <w:top w:val="nil"/>
              <w:bottom w:val="nil"/>
            </w:tcBorders>
          </w:tcPr>
          <w:p w14:paraId="326097BA" w14:textId="1C17A590"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FF0000"/>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w:t>
            </w:r>
            <w:r w:rsidR="00E57832">
              <w:t xml:space="preserve"> </w:t>
            </w:r>
            <w:r w:rsidR="00E57832" w:rsidRPr="00E57832">
              <w:rPr>
                <w:rFonts w:ascii="Times New Roman" w:eastAsia="宋体" w:hAnsi="Times New Roman"/>
                <w:sz w:val="24"/>
                <w:szCs w:val="24"/>
              </w:rPr>
              <w:t>0.68</w:t>
            </w:r>
          </w:p>
        </w:tc>
      </w:tr>
      <w:tr w:rsidR="006A184D" w:rsidRPr="00AD303A" w14:paraId="68F14216"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9FD19D7" w14:textId="77777777" w:rsidR="006A184D" w:rsidRPr="00AD303A" w:rsidRDefault="006A184D" w:rsidP="00B06367">
            <w:pPr>
              <w:spacing w:line="360" w:lineRule="auto"/>
              <w:rPr>
                <w:rFonts w:ascii="Times New Roman" w:eastAsia="宋体" w:hAnsi="Times New Roman"/>
                <w:sz w:val="24"/>
                <w:szCs w:val="24"/>
              </w:rPr>
            </w:pPr>
            <w:r w:rsidRPr="00AD303A">
              <w:rPr>
                <w:rFonts w:ascii="Times New Roman" w:eastAsia="宋体" w:hAnsi="Times New Roman"/>
                <w:sz w:val="24"/>
                <w:szCs w:val="24"/>
              </w:rPr>
              <w:t>Parity, median (range)</w:t>
            </w:r>
          </w:p>
        </w:tc>
        <w:tc>
          <w:tcPr>
            <w:tcW w:w="1250" w:type="pct"/>
            <w:tcBorders>
              <w:top w:val="nil"/>
              <w:bottom w:val="nil"/>
            </w:tcBorders>
          </w:tcPr>
          <w:p w14:paraId="4DD4F318" w14:textId="649D3DD2" w:rsidR="006A184D" w:rsidRPr="00AD303A" w:rsidRDefault="00C25C0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1</w:t>
            </w:r>
            <w:r w:rsidR="006A184D" w:rsidRPr="00AD303A">
              <w:rPr>
                <w:rFonts w:ascii="Times New Roman" w:eastAsia="宋体" w:hAnsi="Times New Roman"/>
                <w:sz w:val="24"/>
                <w:szCs w:val="24"/>
              </w:rPr>
              <w:t xml:space="preserve"> (</w:t>
            </w:r>
            <w:r w:rsidR="00E57832">
              <w:rPr>
                <w:rFonts w:ascii="Times New Roman" w:eastAsia="宋体" w:hAnsi="Times New Roman"/>
                <w:sz w:val="24"/>
                <w:szCs w:val="24"/>
              </w:rPr>
              <w:t>0</w:t>
            </w:r>
            <w:r w:rsidR="006A184D" w:rsidRPr="00AD303A">
              <w:rPr>
                <w:rFonts w:ascii="Times New Roman" w:eastAsia="宋体" w:hAnsi="Times New Roman"/>
                <w:sz w:val="24"/>
                <w:szCs w:val="24"/>
              </w:rPr>
              <w:t xml:space="preserve">, </w:t>
            </w:r>
            <w:r>
              <w:rPr>
                <w:rFonts w:ascii="Times New Roman" w:eastAsia="宋体" w:hAnsi="Times New Roman"/>
                <w:sz w:val="24"/>
                <w:szCs w:val="24"/>
              </w:rPr>
              <w:t>2</w:t>
            </w:r>
            <w:r w:rsidR="006A184D" w:rsidRPr="00AD303A">
              <w:rPr>
                <w:rFonts w:ascii="Times New Roman" w:eastAsia="宋体" w:hAnsi="Times New Roman"/>
                <w:sz w:val="24"/>
                <w:szCs w:val="24"/>
              </w:rPr>
              <w:t>)</w:t>
            </w:r>
          </w:p>
        </w:tc>
        <w:tc>
          <w:tcPr>
            <w:tcW w:w="1250" w:type="pct"/>
            <w:tcBorders>
              <w:top w:val="nil"/>
              <w:bottom w:val="nil"/>
            </w:tcBorders>
          </w:tcPr>
          <w:p w14:paraId="7D7EBD13" w14:textId="54242C45" w:rsidR="006A184D" w:rsidRPr="00AD303A" w:rsidRDefault="00C25C0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0</w:t>
            </w:r>
            <w:r w:rsidR="006A184D" w:rsidRPr="00AD303A">
              <w:rPr>
                <w:rFonts w:ascii="Times New Roman" w:eastAsia="宋体" w:hAnsi="Times New Roman"/>
                <w:sz w:val="24"/>
                <w:szCs w:val="24"/>
              </w:rPr>
              <w:t xml:space="preserve"> (</w:t>
            </w:r>
            <w:r>
              <w:rPr>
                <w:rFonts w:ascii="Times New Roman" w:eastAsia="宋体" w:hAnsi="Times New Roman"/>
                <w:sz w:val="24"/>
                <w:szCs w:val="24"/>
              </w:rPr>
              <w:t>0</w:t>
            </w:r>
            <w:r w:rsidR="006A184D" w:rsidRPr="00AD303A">
              <w:rPr>
                <w:rFonts w:ascii="Times New Roman" w:eastAsia="宋体" w:hAnsi="Times New Roman"/>
                <w:sz w:val="24"/>
                <w:szCs w:val="24"/>
              </w:rPr>
              <w:t>, 2)</w:t>
            </w:r>
          </w:p>
        </w:tc>
        <w:tc>
          <w:tcPr>
            <w:tcW w:w="1250" w:type="pct"/>
            <w:tcBorders>
              <w:top w:val="nil"/>
              <w:bottom w:val="nil"/>
            </w:tcBorders>
          </w:tcPr>
          <w:p w14:paraId="02288E8C" w14:textId="6358C3E8"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w:t>
            </w:r>
            <w:r w:rsidR="00E57832" w:rsidRPr="00E57832">
              <w:rPr>
                <w:rFonts w:ascii="Times New Roman" w:eastAsia="宋体" w:hAnsi="Times New Roman"/>
                <w:sz w:val="24"/>
                <w:szCs w:val="24"/>
              </w:rPr>
              <w:t>0.72</w:t>
            </w:r>
          </w:p>
        </w:tc>
      </w:tr>
      <w:tr w:rsidR="006A184D" w:rsidRPr="00AD303A" w14:paraId="73E3B7AD"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A812CCD" w14:textId="149756B3" w:rsidR="006A184D" w:rsidRPr="00AD303A" w:rsidRDefault="00F011F1" w:rsidP="00B06367">
            <w:pPr>
              <w:spacing w:line="360" w:lineRule="auto"/>
              <w:rPr>
                <w:rFonts w:ascii="Times New Roman" w:eastAsia="宋体" w:hAnsi="Times New Roman"/>
                <w:sz w:val="24"/>
                <w:szCs w:val="24"/>
              </w:rPr>
            </w:pPr>
            <w:r>
              <w:rPr>
                <w:rFonts w:ascii="Times New Roman" w:eastAsia="宋体" w:hAnsi="Times New Roman"/>
                <w:sz w:val="24"/>
                <w:szCs w:val="24"/>
              </w:rPr>
              <w:t>H</w:t>
            </w:r>
            <w:r w:rsidRPr="00F011F1">
              <w:rPr>
                <w:rFonts w:ascii="Times New Roman" w:eastAsia="宋体" w:hAnsi="Times New Roman"/>
                <w:sz w:val="24"/>
                <w:szCs w:val="24"/>
              </w:rPr>
              <w:t>emoglobin</w:t>
            </w:r>
            <w:r w:rsidRPr="00AD303A">
              <w:rPr>
                <w:rFonts w:ascii="Times New Roman" w:eastAsia="宋体" w:hAnsi="Times New Roman"/>
                <w:sz w:val="24"/>
                <w:szCs w:val="24"/>
              </w:rPr>
              <w:t>, mean (SD)</w:t>
            </w:r>
          </w:p>
        </w:tc>
        <w:tc>
          <w:tcPr>
            <w:tcW w:w="1250" w:type="pct"/>
            <w:tcBorders>
              <w:top w:val="nil"/>
              <w:bottom w:val="nil"/>
            </w:tcBorders>
          </w:tcPr>
          <w:p w14:paraId="18A060AF" w14:textId="3941720A" w:rsidR="006A184D" w:rsidRPr="00AD303A" w:rsidRDefault="00C52351"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vertAlign w:val="superscript"/>
              </w:rPr>
            </w:pPr>
            <w:r w:rsidRPr="00C52351">
              <w:rPr>
                <w:rFonts w:ascii="Times New Roman" w:eastAsia="宋体" w:hAnsi="Times New Roman"/>
                <w:sz w:val="24"/>
                <w:szCs w:val="24"/>
              </w:rPr>
              <w:t>125.53</w:t>
            </w:r>
            <w:r w:rsidR="006A184D" w:rsidRPr="00AD303A">
              <w:rPr>
                <w:rFonts w:ascii="Times New Roman" w:eastAsia="宋体" w:hAnsi="Times New Roman"/>
                <w:sz w:val="24"/>
                <w:szCs w:val="24"/>
              </w:rPr>
              <w:t xml:space="preserve"> (</w:t>
            </w:r>
            <w:r w:rsidRPr="00C52351">
              <w:rPr>
                <w:rFonts w:ascii="Times New Roman" w:eastAsia="宋体" w:hAnsi="Times New Roman"/>
                <w:sz w:val="24"/>
                <w:szCs w:val="24"/>
              </w:rPr>
              <w:t>8.63</w:t>
            </w:r>
            <w:r w:rsidR="006A184D" w:rsidRPr="00AD303A">
              <w:rPr>
                <w:rFonts w:ascii="Times New Roman" w:eastAsia="宋体" w:hAnsi="Times New Roman"/>
                <w:sz w:val="24"/>
                <w:szCs w:val="24"/>
              </w:rPr>
              <w:t>)</w:t>
            </w:r>
          </w:p>
        </w:tc>
        <w:tc>
          <w:tcPr>
            <w:tcW w:w="1250" w:type="pct"/>
            <w:tcBorders>
              <w:top w:val="nil"/>
              <w:bottom w:val="nil"/>
            </w:tcBorders>
          </w:tcPr>
          <w:p w14:paraId="5BA9D37E" w14:textId="0A590C4B" w:rsidR="006A184D" w:rsidRPr="00AD303A" w:rsidRDefault="00C52351"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vertAlign w:val="superscript"/>
              </w:rPr>
            </w:pPr>
            <w:r w:rsidRPr="00C52351">
              <w:rPr>
                <w:rFonts w:ascii="Times New Roman" w:eastAsia="宋体" w:hAnsi="Times New Roman"/>
                <w:sz w:val="24"/>
                <w:szCs w:val="24"/>
              </w:rPr>
              <w:t>125.08</w:t>
            </w:r>
            <w:r w:rsidR="006A184D" w:rsidRPr="00AD303A">
              <w:rPr>
                <w:rFonts w:ascii="Times New Roman" w:eastAsia="宋体" w:hAnsi="Times New Roman"/>
                <w:sz w:val="24"/>
                <w:szCs w:val="24"/>
              </w:rPr>
              <w:t xml:space="preserve"> (</w:t>
            </w:r>
            <w:r w:rsidRPr="00C52351">
              <w:rPr>
                <w:rFonts w:ascii="Times New Roman" w:eastAsia="宋体" w:hAnsi="Times New Roman"/>
                <w:sz w:val="24"/>
                <w:szCs w:val="24"/>
              </w:rPr>
              <w:t>14.9</w:t>
            </w:r>
            <w:r>
              <w:rPr>
                <w:rFonts w:ascii="Times New Roman" w:eastAsia="宋体" w:hAnsi="Times New Roman"/>
                <w:sz w:val="24"/>
                <w:szCs w:val="24"/>
              </w:rPr>
              <w:t>4</w:t>
            </w:r>
            <w:r w:rsidR="006A184D" w:rsidRPr="00AD303A">
              <w:rPr>
                <w:rFonts w:ascii="Times New Roman" w:eastAsia="宋体" w:hAnsi="Times New Roman"/>
                <w:sz w:val="24"/>
                <w:szCs w:val="24"/>
              </w:rPr>
              <w:t>)</w:t>
            </w:r>
          </w:p>
        </w:tc>
        <w:tc>
          <w:tcPr>
            <w:tcW w:w="1250" w:type="pct"/>
            <w:tcBorders>
              <w:top w:val="nil"/>
              <w:bottom w:val="nil"/>
            </w:tcBorders>
          </w:tcPr>
          <w:p w14:paraId="1D237246" w14:textId="6F7C375C"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w:t>
            </w:r>
            <w:r w:rsidR="00C52351" w:rsidRPr="00C52351">
              <w:rPr>
                <w:rFonts w:ascii="Times New Roman" w:eastAsia="宋体" w:hAnsi="Times New Roman"/>
                <w:sz w:val="24"/>
                <w:szCs w:val="24"/>
              </w:rPr>
              <w:t>0.91</w:t>
            </w:r>
          </w:p>
        </w:tc>
      </w:tr>
      <w:tr w:rsidR="006A184D" w:rsidRPr="00AD303A" w14:paraId="21F43290" w14:textId="77777777" w:rsidTr="00B06367">
        <w:trPr>
          <w:cnfStyle w:val="000000100000" w:firstRow="0" w:lastRow="0" w:firstColumn="0" w:lastColumn="0" w:oddVBand="0" w:evenVBand="0" w:oddHBand="1" w:evenHBand="0" w:firstRowFirstColumn="0" w:firstRowLastColumn="0" w:lastRowFirstColumn="0" w:lastRowLastColumn="0"/>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nil"/>
            </w:tcBorders>
          </w:tcPr>
          <w:p w14:paraId="020A564C" w14:textId="7F2AE8A0" w:rsidR="006A184D" w:rsidRPr="00AD303A" w:rsidRDefault="00F011F1" w:rsidP="00B06367">
            <w:pPr>
              <w:spacing w:line="360" w:lineRule="auto"/>
              <w:rPr>
                <w:rFonts w:ascii="Times New Roman" w:eastAsia="宋体" w:hAnsi="Times New Roman"/>
                <w:sz w:val="24"/>
                <w:szCs w:val="24"/>
              </w:rPr>
            </w:pPr>
            <w:r>
              <w:rPr>
                <w:rFonts w:ascii="Times New Roman" w:eastAsia="宋体" w:hAnsi="Times New Roman"/>
                <w:sz w:val="24"/>
                <w:szCs w:val="24"/>
              </w:rPr>
              <w:t>U</w:t>
            </w:r>
            <w:r w:rsidRPr="00F011F1">
              <w:rPr>
                <w:rFonts w:ascii="Times New Roman" w:eastAsia="宋体" w:hAnsi="Times New Roman"/>
                <w:sz w:val="24"/>
                <w:szCs w:val="24"/>
              </w:rPr>
              <w:t>terine</w:t>
            </w:r>
            <w:r>
              <w:rPr>
                <w:rFonts w:ascii="Times New Roman" w:eastAsia="宋体" w:hAnsi="Times New Roman"/>
                <w:sz w:val="24"/>
                <w:szCs w:val="24"/>
              </w:rPr>
              <w:t xml:space="preserve"> </w:t>
            </w:r>
            <w:r w:rsidRPr="00F011F1">
              <w:rPr>
                <w:rFonts w:ascii="Times New Roman" w:eastAsia="宋体" w:hAnsi="Times New Roman"/>
                <w:sz w:val="24"/>
                <w:szCs w:val="24"/>
              </w:rPr>
              <w:t>volume</w:t>
            </w:r>
            <w:r w:rsidRPr="00AD303A">
              <w:rPr>
                <w:rFonts w:ascii="Times New Roman" w:eastAsia="宋体" w:hAnsi="Times New Roman"/>
                <w:sz w:val="24"/>
                <w:szCs w:val="24"/>
              </w:rPr>
              <w:t>, mean (SD)</w:t>
            </w:r>
          </w:p>
        </w:tc>
        <w:tc>
          <w:tcPr>
            <w:tcW w:w="1250" w:type="pct"/>
            <w:tcBorders>
              <w:top w:val="nil"/>
              <w:bottom w:val="nil"/>
            </w:tcBorders>
          </w:tcPr>
          <w:p w14:paraId="619D4B31" w14:textId="534F3578" w:rsidR="006A184D" w:rsidRPr="00AD303A" w:rsidRDefault="00A47AB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47AB7">
              <w:rPr>
                <w:rFonts w:ascii="Times New Roman" w:eastAsia="宋体" w:hAnsi="Times New Roman"/>
                <w:sz w:val="24"/>
                <w:szCs w:val="24"/>
              </w:rPr>
              <w:t>63.49</w:t>
            </w:r>
            <w:r w:rsidR="006A184D" w:rsidRPr="00AD303A">
              <w:rPr>
                <w:rFonts w:ascii="Times New Roman" w:eastAsia="宋体" w:hAnsi="Times New Roman"/>
                <w:sz w:val="24"/>
                <w:szCs w:val="24"/>
              </w:rPr>
              <w:t xml:space="preserve"> (</w:t>
            </w:r>
            <w:r w:rsidRPr="00A47AB7">
              <w:rPr>
                <w:rFonts w:ascii="Times New Roman" w:eastAsia="宋体" w:hAnsi="Times New Roman"/>
                <w:sz w:val="24"/>
                <w:szCs w:val="24"/>
              </w:rPr>
              <w:t>18.2</w:t>
            </w:r>
            <w:r>
              <w:rPr>
                <w:rFonts w:ascii="Times New Roman" w:eastAsia="宋体" w:hAnsi="Times New Roman"/>
                <w:sz w:val="24"/>
                <w:szCs w:val="24"/>
              </w:rPr>
              <w:t>8</w:t>
            </w:r>
            <w:r w:rsidR="006A184D" w:rsidRPr="00AD303A">
              <w:rPr>
                <w:rFonts w:ascii="Times New Roman" w:eastAsia="宋体" w:hAnsi="Times New Roman"/>
                <w:sz w:val="24"/>
                <w:szCs w:val="24"/>
              </w:rPr>
              <w:t>)</w:t>
            </w:r>
          </w:p>
        </w:tc>
        <w:tc>
          <w:tcPr>
            <w:tcW w:w="1250" w:type="pct"/>
            <w:tcBorders>
              <w:top w:val="nil"/>
              <w:bottom w:val="nil"/>
            </w:tcBorders>
          </w:tcPr>
          <w:p w14:paraId="6A5A8FBC" w14:textId="4C422D28" w:rsidR="006A184D" w:rsidRPr="00AD303A" w:rsidRDefault="00A47AB7" w:rsidP="00B06367">
            <w:pPr>
              <w:spacing w:line="360" w:lineRule="auto"/>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47AB7">
              <w:rPr>
                <w:rFonts w:ascii="Times New Roman" w:eastAsia="宋体" w:hAnsi="Times New Roman"/>
                <w:sz w:val="24"/>
                <w:szCs w:val="24"/>
              </w:rPr>
              <w:t>64.4</w:t>
            </w:r>
            <w:r>
              <w:rPr>
                <w:rFonts w:ascii="Times New Roman" w:eastAsia="宋体" w:hAnsi="Times New Roman"/>
                <w:sz w:val="24"/>
                <w:szCs w:val="24"/>
              </w:rPr>
              <w:t>7</w:t>
            </w:r>
            <w:r w:rsidR="006A184D" w:rsidRPr="00AD303A">
              <w:rPr>
                <w:rFonts w:ascii="Times New Roman" w:eastAsia="宋体" w:hAnsi="Times New Roman"/>
                <w:sz w:val="24"/>
                <w:szCs w:val="24"/>
              </w:rPr>
              <w:t xml:space="preserve"> (</w:t>
            </w:r>
            <w:r w:rsidRPr="00A47AB7">
              <w:rPr>
                <w:rFonts w:ascii="Times New Roman" w:eastAsia="宋体" w:hAnsi="Times New Roman"/>
                <w:sz w:val="24"/>
                <w:szCs w:val="24"/>
              </w:rPr>
              <w:t>33.8</w:t>
            </w:r>
            <w:r>
              <w:rPr>
                <w:rFonts w:ascii="Times New Roman" w:eastAsia="宋体" w:hAnsi="Times New Roman"/>
                <w:sz w:val="24"/>
                <w:szCs w:val="24"/>
              </w:rPr>
              <w:t>3</w:t>
            </w:r>
            <w:r w:rsidR="006A184D" w:rsidRPr="00AD303A">
              <w:rPr>
                <w:rFonts w:ascii="Times New Roman" w:eastAsia="宋体" w:hAnsi="Times New Roman"/>
                <w:sz w:val="24"/>
                <w:szCs w:val="24"/>
              </w:rPr>
              <w:t>)</w:t>
            </w:r>
          </w:p>
        </w:tc>
        <w:tc>
          <w:tcPr>
            <w:tcW w:w="1250" w:type="pct"/>
            <w:tcBorders>
              <w:top w:val="nil"/>
              <w:bottom w:val="nil"/>
            </w:tcBorders>
          </w:tcPr>
          <w:p w14:paraId="2F491696" w14:textId="3ED73C73" w:rsidR="006A184D" w:rsidRPr="00AD303A" w:rsidRDefault="006A184D" w:rsidP="00B06367">
            <w:pPr>
              <w:spacing w:line="360" w:lineRule="auto"/>
              <w:jc w:val="center"/>
              <w:cnfStyle w:val="000000100000" w:firstRow="0" w:lastRow="0" w:firstColumn="0" w:lastColumn="0" w:oddVBand="0" w:evenVBand="0" w:oddHBand="1" w:evenHBand="0" w:firstRowFirstColumn="0" w:firstRowLastColumn="0" w:lastRowFirstColumn="0" w:lastRowLastColumn="0"/>
              <w:rPr>
                <w:rFonts w:ascii="Times New Roman" w:eastAsia="宋体" w:hAnsi="Times New Roman"/>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 xml:space="preserve"> =</w:t>
            </w:r>
            <w:r w:rsidR="00A47AB7" w:rsidRPr="00A47AB7">
              <w:rPr>
                <w:rFonts w:ascii="Times New Roman" w:eastAsia="宋体" w:hAnsi="Times New Roman"/>
                <w:sz w:val="24"/>
                <w:szCs w:val="24"/>
              </w:rPr>
              <w:t>0.5</w:t>
            </w:r>
            <w:r w:rsidR="00A47AB7">
              <w:rPr>
                <w:rFonts w:ascii="Times New Roman" w:eastAsia="宋体" w:hAnsi="Times New Roman"/>
                <w:sz w:val="24"/>
                <w:szCs w:val="24"/>
              </w:rPr>
              <w:t>7</w:t>
            </w:r>
          </w:p>
        </w:tc>
      </w:tr>
      <w:tr w:rsidR="006A184D" w:rsidRPr="00AD303A" w14:paraId="5A69C95D" w14:textId="77777777" w:rsidTr="00B06367">
        <w:trPr>
          <w:trHeight w:val="113"/>
        </w:trPr>
        <w:tc>
          <w:tcPr>
            <w:cnfStyle w:val="001000000000" w:firstRow="0" w:lastRow="0" w:firstColumn="1" w:lastColumn="0" w:oddVBand="0" w:evenVBand="0" w:oddHBand="0" w:evenHBand="0" w:firstRowFirstColumn="0" w:firstRowLastColumn="0" w:lastRowFirstColumn="0" w:lastRowLastColumn="0"/>
            <w:tcW w:w="1250" w:type="pct"/>
            <w:tcBorders>
              <w:top w:val="nil"/>
              <w:bottom w:val="single" w:sz="12" w:space="0" w:color="auto"/>
            </w:tcBorders>
          </w:tcPr>
          <w:p w14:paraId="30448F63" w14:textId="336882F3" w:rsidR="006A184D" w:rsidRPr="00AD303A" w:rsidRDefault="00F011F1" w:rsidP="00B06367">
            <w:pPr>
              <w:spacing w:line="360" w:lineRule="auto"/>
              <w:rPr>
                <w:rFonts w:ascii="Times New Roman" w:eastAsia="宋体" w:hAnsi="Times New Roman"/>
                <w:sz w:val="24"/>
                <w:szCs w:val="24"/>
              </w:rPr>
            </w:pPr>
            <w:r>
              <w:rPr>
                <w:rFonts w:ascii="Times New Roman" w:eastAsia="宋体" w:hAnsi="Times New Roman"/>
                <w:sz w:val="24"/>
                <w:szCs w:val="24"/>
              </w:rPr>
              <w:t>E</w:t>
            </w:r>
            <w:r w:rsidRPr="00F011F1">
              <w:rPr>
                <w:rFonts w:ascii="Times New Roman" w:eastAsia="宋体" w:hAnsi="Times New Roman"/>
                <w:sz w:val="24"/>
                <w:szCs w:val="24"/>
              </w:rPr>
              <w:t>ndometrial thickness</w:t>
            </w:r>
            <w:r w:rsidRPr="00AD303A">
              <w:rPr>
                <w:rFonts w:ascii="Times New Roman" w:eastAsia="宋体" w:hAnsi="Times New Roman"/>
                <w:sz w:val="24"/>
                <w:szCs w:val="24"/>
              </w:rPr>
              <w:t>, mean (SD)</w:t>
            </w:r>
          </w:p>
        </w:tc>
        <w:tc>
          <w:tcPr>
            <w:tcW w:w="1250" w:type="pct"/>
            <w:tcBorders>
              <w:top w:val="nil"/>
              <w:bottom w:val="single" w:sz="12" w:space="0" w:color="auto"/>
            </w:tcBorders>
          </w:tcPr>
          <w:p w14:paraId="513D90F8" w14:textId="3D435F57" w:rsidR="006A184D" w:rsidRPr="00AD303A" w:rsidRDefault="00627053"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Pr>
                <w:rFonts w:ascii="Times New Roman" w:eastAsia="宋体" w:hAnsi="Times New Roman"/>
                <w:sz w:val="24"/>
                <w:szCs w:val="24"/>
              </w:rPr>
              <w:t>11.2</w:t>
            </w:r>
            <w:r w:rsidR="006A184D" w:rsidRPr="00AD303A">
              <w:rPr>
                <w:rFonts w:ascii="Times New Roman" w:eastAsia="宋体" w:hAnsi="Times New Roman"/>
                <w:sz w:val="24"/>
                <w:szCs w:val="24"/>
              </w:rPr>
              <w:t xml:space="preserve"> (</w:t>
            </w:r>
            <w:r w:rsidRPr="00627053">
              <w:rPr>
                <w:rFonts w:ascii="Times New Roman" w:eastAsia="宋体" w:hAnsi="Times New Roman"/>
                <w:sz w:val="24"/>
                <w:szCs w:val="24"/>
              </w:rPr>
              <w:t>4.50</w:t>
            </w:r>
            <w:r w:rsidR="006A184D" w:rsidRPr="00AD303A">
              <w:rPr>
                <w:rFonts w:ascii="Times New Roman" w:eastAsia="宋体" w:hAnsi="Times New Roman"/>
                <w:sz w:val="24"/>
                <w:szCs w:val="24"/>
              </w:rPr>
              <w:t>)</w:t>
            </w:r>
          </w:p>
        </w:tc>
        <w:tc>
          <w:tcPr>
            <w:tcW w:w="1250" w:type="pct"/>
            <w:tcBorders>
              <w:top w:val="nil"/>
              <w:bottom w:val="single" w:sz="12" w:space="0" w:color="auto"/>
            </w:tcBorders>
          </w:tcPr>
          <w:p w14:paraId="41EF694A" w14:textId="5FFA9088" w:rsidR="006A184D" w:rsidRPr="00AD303A" w:rsidRDefault="00627053" w:rsidP="00B06367">
            <w:pPr>
              <w:spacing w:line="360" w:lineRule="auto"/>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sz w:val="24"/>
                <w:szCs w:val="24"/>
              </w:rPr>
            </w:pPr>
            <w:r w:rsidRPr="00627053">
              <w:rPr>
                <w:rFonts w:ascii="Times New Roman" w:eastAsia="宋体" w:hAnsi="Times New Roman"/>
                <w:sz w:val="24"/>
                <w:szCs w:val="24"/>
              </w:rPr>
              <w:t>9.8</w:t>
            </w:r>
            <w:r>
              <w:rPr>
                <w:rFonts w:ascii="Times New Roman" w:eastAsia="宋体" w:hAnsi="Times New Roman"/>
                <w:sz w:val="24"/>
                <w:szCs w:val="24"/>
              </w:rPr>
              <w:t>3</w:t>
            </w:r>
            <w:r w:rsidR="006A184D" w:rsidRPr="00AD303A">
              <w:rPr>
                <w:rFonts w:ascii="Times New Roman" w:eastAsia="宋体" w:hAnsi="Times New Roman"/>
                <w:sz w:val="24"/>
                <w:szCs w:val="24"/>
              </w:rPr>
              <w:t xml:space="preserve"> (</w:t>
            </w:r>
            <w:r w:rsidRPr="00627053">
              <w:rPr>
                <w:rFonts w:ascii="Times New Roman" w:eastAsia="宋体" w:hAnsi="Times New Roman"/>
                <w:sz w:val="24"/>
                <w:szCs w:val="24"/>
              </w:rPr>
              <w:t>4.76</w:t>
            </w:r>
            <w:r w:rsidR="006A184D" w:rsidRPr="00AD303A">
              <w:rPr>
                <w:rFonts w:ascii="Times New Roman" w:eastAsia="宋体" w:hAnsi="Times New Roman"/>
                <w:sz w:val="24"/>
                <w:szCs w:val="24"/>
              </w:rPr>
              <w:t>)</w:t>
            </w:r>
          </w:p>
        </w:tc>
        <w:tc>
          <w:tcPr>
            <w:tcW w:w="1250" w:type="pct"/>
            <w:tcBorders>
              <w:top w:val="nil"/>
              <w:bottom w:val="single" w:sz="12" w:space="0" w:color="auto"/>
            </w:tcBorders>
          </w:tcPr>
          <w:p w14:paraId="18A704A4" w14:textId="3CAFEFAB" w:rsidR="006A184D" w:rsidRPr="00AD303A" w:rsidRDefault="006A184D" w:rsidP="00B06367">
            <w:pPr>
              <w:spacing w:line="360" w:lineRule="auto"/>
              <w:jc w:val="center"/>
              <w:cnfStyle w:val="000000000000" w:firstRow="0" w:lastRow="0" w:firstColumn="0" w:lastColumn="0" w:oddVBand="0" w:evenVBand="0" w:oddHBand="0" w:evenHBand="0" w:firstRowFirstColumn="0" w:firstRowLastColumn="0" w:lastRowFirstColumn="0" w:lastRowLastColumn="0"/>
              <w:rPr>
                <w:rFonts w:ascii="Times New Roman" w:eastAsia="宋体" w:hAnsi="Times New Roman"/>
                <w:color w:val="FF0000"/>
                <w:sz w:val="24"/>
                <w:szCs w:val="24"/>
              </w:rPr>
            </w:pPr>
            <w:r w:rsidRPr="00AD303A">
              <w:rPr>
                <w:rFonts w:ascii="Times New Roman" w:eastAsia="宋体" w:hAnsi="Times New Roman"/>
                <w:i/>
                <w:iCs/>
                <w:sz w:val="24"/>
                <w:szCs w:val="24"/>
              </w:rPr>
              <w:t>P</w:t>
            </w:r>
            <w:r w:rsidRPr="00AD303A">
              <w:rPr>
                <w:rFonts w:ascii="Times New Roman" w:eastAsia="宋体" w:hAnsi="Times New Roman"/>
                <w:sz w:val="24"/>
                <w:szCs w:val="24"/>
              </w:rPr>
              <w:t>=</w:t>
            </w:r>
            <w:r w:rsidR="00627053" w:rsidRPr="00627053">
              <w:rPr>
                <w:rFonts w:ascii="Times New Roman" w:eastAsia="宋体" w:hAnsi="Times New Roman"/>
                <w:sz w:val="24"/>
                <w:szCs w:val="24"/>
              </w:rPr>
              <w:t>0.3</w:t>
            </w:r>
            <w:r w:rsidR="00627053">
              <w:rPr>
                <w:rFonts w:ascii="Times New Roman" w:eastAsia="宋体" w:hAnsi="Times New Roman"/>
                <w:sz w:val="24"/>
                <w:szCs w:val="24"/>
              </w:rPr>
              <w:t>4</w:t>
            </w:r>
          </w:p>
        </w:tc>
      </w:tr>
    </w:tbl>
    <w:p w14:paraId="7DECC1FB" w14:textId="77777777" w:rsidR="006A184D" w:rsidRPr="0068315B" w:rsidRDefault="006A184D" w:rsidP="006A184D"/>
    <w:p w14:paraId="25A956AF" w14:textId="77777777" w:rsidR="006A184D" w:rsidRDefault="006A184D">
      <w:pPr>
        <w:sectPr w:rsidR="006A184D">
          <w:pgSz w:w="11906" w:h="16838"/>
          <w:pgMar w:top="1440" w:right="1800" w:bottom="1440" w:left="1800" w:header="851" w:footer="992" w:gutter="0"/>
          <w:cols w:space="425"/>
          <w:docGrid w:type="lines" w:linePitch="312"/>
        </w:sectPr>
      </w:pPr>
    </w:p>
    <w:p w14:paraId="36532B47" w14:textId="77777777" w:rsidR="006A184D" w:rsidRPr="00923EDA" w:rsidRDefault="006A184D" w:rsidP="006A184D">
      <w:pPr>
        <w:pStyle w:val="2"/>
        <w:adjustRightInd w:val="0"/>
        <w:snapToGrid w:val="0"/>
        <w:spacing w:line="360" w:lineRule="auto"/>
        <w:ind w:leftChars="23" w:left="432" w:hangingChars="160"/>
        <w:jc w:val="center"/>
        <w:rPr>
          <w:rFonts w:ascii="Times New Roman" w:hAnsi="Times New Roman" w:cs="Times New Roman"/>
          <w:b/>
          <w:bCs/>
          <w:szCs w:val="24"/>
        </w:rPr>
      </w:pPr>
      <w:r w:rsidRPr="00923EDA">
        <w:rPr>
          <w:rFonts w:ascii="Times New Roman" w:hAnsi="Times New Roman" w:cs="Times New Roman"/>
          <w:b/>
          <w:bCs/>
          <w:szCs w:val="24"/>
        </w:rPr>
        <w:lastRenderedPageBreak/>
        <w:t>Supplementary Table 3</w:t>
      </w:r>
      <w:r w:rsidRPr="00923EDA">
        <w:rPr>
          <w:rFonts w:ascii="Times New Roman" w:hAnsi="Times New Roman" w:cs="Times New Roman"/>
          <w:b/>
          <w:bCs/>
          <w:szCs w:val="24"/>
          <w:lang w:eastAsia="zh-CN"/>
        </w:rPr>
        <w:t>.</w:t>
      </w:r>
      <w:r w:rsidRPr="00923EDA">
        <w:rPr>
          <w:rFonts w:ascii="Times New Roman" w:hAnsi="Times New Roman" w:cs="Times New Roman"/>
          <w:b/>
          <w:bCs/>
          <w:szCs w:val="24"/>
        </w:rPr>
        <w:t xml:space="preserve"> Specific primers used in </w:t>
      </w:r>
      <w:proofErr w:type="spellStart"/>
      <w:r w:rsidRPr="00923EDA">
        <w:rPr>
          <w:rFonts w:ascii="Times New Roman" w:hAnsi="Times New Roman" w:cs="Times New Roman"/>
          <w:b/>
          <w:bCs/>
          <w:szCs w:val="24"/>
        </w:rPr>
        <w:t>qRT</w:t>
      </w:r>
      <w:proofErr w:type="spellEnd"/>
      <w:r w:rsidRPr="00923EDA">
        <w:rPr>
          <w:rFonts w:ascii="Times New Roman" w:hAnsi="Times New Roman" w:cs="Times New Roman"/>
          <w:b/>
          <w:bCs/>
          <w:szCs w:val="24"/>
        </w:rPr>
        <w:t>-PCR analysis.</w:t>
      </w:r>
    </w:p>
    <w:tbl>
      <w:tblPr>
        <w:tblStyle w:val="a3"/>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3"/>
        <w:gridCol w:w="1272"/>
        <w:gridCol w:w="5551"/>
      </w:tblGrid>
      <w:tr w:rsidR="006A184D" w:rsidRPr="00923EDA" w14:paraId="707DCAC6" w14:textId="77777777" w:rsidTr="00B06367">
        <w:tc>
          <w:tcPr>
            <w:tcW w:w="1483" w:type="dxa"/>
            <w:tcBorders>
              <w:top w:val="single" w:sz="12" w:space="0" w:color="auto"/>
              <w:left w:val="nil"/>
              <w:bottom w:val="single" w:sz="8" w:space="0" w:color="auto"/>
              <w:right w:val="nil"/>
            </w:tcBorders>
          </w:tcPr>
          <w:p w14:paraId="2FB02301"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Gene</w:t>
            </w:r>
          </w:p>
        </w:tc>
        <w:tc>
          <w:tcPr>
            <w:tcW w:w="6823" w:type="dxa"/>
            <w:gridSpan w:val="2"/>
            <w:tcBorders>
              <w:top w:val="single" w:sz="12" w:space="0" w:color="auto"/>
              <w:left w:val="nil"/>
              <w:bottom w:val="single" w:sz="8" w:space="0" w:color="auto"/>
              <w:right w:val="nil"/>
            </w:tcBorders>
          </w:tcPr>
          <w:p w14:paraId="133B9989"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Sequence (5′-3′)</w:t>
            </w:r>
          </w:p>
        </w:tc>
      </w:tr>
      <w:tr w:rsidR="006A184D" w:rsidRPr="00923EDA" w14:paraId="2F9DAB16" w14:textId="77777777" w:rsidTr="00B06367">
        <w:tc>
          <w:tcPr>
            <w:tcW w:w="1483" w:type="dxa"/>
            <w:vMerge w:val="restart"/>
            <w:tcBorders>
              <w:top w:val="single" w:sz="8" w:space="0" w:color="auto"/>
              <w:left w:val="nil"/>
              <w:right w:val="nil"/>
            </w:tcBorders>
            <w:vAlign w:val="center"/>
          </w:tcPr>
          <w:p w14:paraId="24D8FC00"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DUT</w:t>
            </w:r>
          </w:p>
        </w:tc>
        <w:tc>
          <w:tcPr>
            <w:tcW w:w="1272" w:type="dxa"/>
            <w:tcBorders>
              <w:top w:val="single" w:sz="8" w:space="0" w:color="auto"/>
              <w:left w:val="nil"/>
              <w:bottom w:val="nil"/>
              <w:right w:val="nil"/>
            </w:tcBorders>
          </w:tcPr>
          <w:p w14:paraId="33485F6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Forward</w:t>
            </w:r>
          </w:p>
        </w:tc>
        <w:tc>
          <w:tcPr>
            <w:tcW w:w="5551" w:type="dxa"/>
            <w:tcBorders>
              <w:top w:val="single" w:sz="8" w:space="0" w:color="auto"/>
              <w:left w:val="nil"/>
              <w:bottom w:val="nil"/>
              <w:right w:val="nil"/>
            </w:tcBorders>
          </w:tcPr>
          <w:p w14:paraId="7A8085E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5′-GGTGATCGAATTGCACAGCTC-3′</w:t>
            </w:r>
          </w:p>
        </w:tc>
      </w:tr>
      <w:tr w:rsidR="006A184D" w:rsidRPr="00923EDA" w14:paraId="67AA6D29" w14:textId="77777777" w:rsidTr="00B06367">
        <w:tc>
          <w:tcPr>
            <w:tcW w:w="1483" w:type="dxa"/>
            <w:vMerge/>
            <w:tcBorders>
              <w:left w:val="nil"/>
              <w:bottom w:val="nil"/>
              <w:right w:val="nil"/>
            </w:tcBorders>
            <w:vAlign w:val="center"/>
          </w:tcPr>
          <w:p w14:paraId="4EB93F70"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rPr>
            </w:pPr>
          </w:p>
        </w:tc>
        <w:tc>
          <w:tcPr>
            <w:tcW w:w="1272" w:type="dxa"/>
            <w:tcBorders>
              <w:top w:val="nil"/>
              <w:left w:val="nil"/>
              <w:bottom w:val="nil"/>
              <w:right w:val="nil"/>
            </w:tcBorders>
          </w:tcPr>
          <w:p w14:paraId="33C37A5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6D3A10FB"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5′-TGAACCCCTTTCGGTGTCATC-3′</w:t>
            </w:r>
          </w:p>
        </w:tc>
      </w:tr>
      <w:tr w:rsidR="006A184D" w:rsidRPr="00923EDA" w14:paraId="6677EB6A" w14:textId="77777777" w:rsidTr="00B06367">
        <w:tc>
          <w:tcPr>
            <w:tcW w:w="1483" w:type="dxa"/>
            <w:vMerge w:val="restart"/>
            <w:tcBorders>
              <w:top w:val="nil"/>
              <w:left w:val="nil"/>
              <w:right w:val="nil"/>
            </w:tcBorders>
            <w:vAlign w:val="center"/>
          </w:tcPr>
          <w:p w14:paraId="102AA107"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RPS9</w:t>
            </w:r>
          </w:p>
        </w:tc>
        <w:tc>
          <w:tcPr>
            <w:tcW w:w="1272" w:type="dxa"/>
            <w:tcBorders>
              <w:top w:val="nil"/>
              <w:left w:val="nil"/>
              <w:bottom w:val="nil"/>
              <w:right w:val="nil"/>
            </w:tcBorders>
          </w:tcPr>
          <w:p w14:paraId="4E7048EF"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44AAC5E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5′-GAAATCTCGTCTCGACCAAGAG-3′</w:t>
            </w:r>
          </w:p>
        </w:tc>
      </w:tr>
      <w:tr w:rsidR="006A184D" w:rsidRPr="00923EDA" w14:paraId="27D9664B" w14:textId="77777777" w:rsidTr="00B06367">
        <w:tc>
          <w:tcPr>
            <w:tcW w:w="1483" w:type="dxa"/>
            <w:vMerge/>
            <w:tcBorders>
              <w:left w:val="nil"/>
              <w:bottom w:val="nil"/>
              <w:right w:val="nil"/>
            </w:tcBorders>
            <w:vAlign w:val="center"/>
          </w:tcPr>
          <w:p w14:paraId="218F24F1" w14:textId="77777777" w:rsidR="006A184D" w:rsidRPr="00923EDA" w:rsidRDefault="006A184D" w:rsidP="00B06367">
            <w:pPr>
              <w:adjustRightInd w:val="0"/>
              <w:snapToGrid w:val="0"/>
              <w:spacing w:line="360" w:lineRule="auto"/>
              <w:jc w:val="center"/>
              <w:rPr>
                <w:rFonts w:ascii="Times New Roman" w:hAnsi="Times New Roman" w:cs="Times New Roman"/>
                <w:b/>
                <w:bCs/>
                <w:sz w:val="24"/>
                <w:szCs w:val="24"/>
                <w:shd w:val="clear" w:color="auto" w:fill="FFFFFF"/>
              </w:rPr>
            </w:pPr>
          </w:p>
        </w:tc>
        <w:tc>
          <w:tcPr>
            <w:tcW w:w="1272" w:type="dxa"/>
            <w:tcBorders>
              <w:top w:val="nil"/>
              <w:left w:val="nil"/>
              <w:bottom w:val="nil"/>
              <w:right w:val="nil"/>
            </w:tcBorders>
          </w:tcPr>
          <w:p w14:paraId="0B88E674"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1DFDACC3"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rPr>
            </w:pPr>
            <w:r w:rsidRPr="00923EDA">
              <w:rPr>
                <w:rFonts w:ascii="Times New Roman" w:hAnsi="Times New Roman" w:cs="Times New Roman"/>
                <w:sz w:val="24"/>
                <w:szCs w:val="24"/>
                <w:shd w:val="clear" w:color="auto" w:fill="FFFFFF"/>
              </w:rPr>
              <w:t>5′-GGTCCTTCTCATCAAGCGTCA-3′</w:t>
            </w:r>
          </w:p>
        </w:tc>
      </w:tr>
      <w:tr w:rsidR="006A184D" w:rsidRPr="00923EDA" w14:paraId="3F81F585" w14:textId="77777777" w:rsidTr="00B06367">
        <w:tc>
          <w:tcPr>
            <w:tcW w:w="1483" w:type="dxa"/>
            <w:vMerge w:val="restart"/>
            <w:tcBorders>
              <w:top w:val="nil"/>
              <w:left w:val="nil"/>
              <w:bottom w:val="nil"/>
              <w:right w:val="nil"/>
            </w:tcBorders>
            <w:vAlign w:val="center"/>
          </w:tcPr>
          <w:p w14:paraId="5A362097" w14:textId="77777777" w:rsidR="006A184D" w:rsidRPr="00923EDA" w:rsidRDefault="006A184D" w:rsidP="00B06367">
            <w:pPr>
              <w:adjustRightInd w:val="0"/>
              <w:snapToGrid w:val="0"/>
              <w:spacing w:line="360" w:lineRule="auto"/>
              <w:jc w:val="left"/>
              <w:rPr>
                <w:rFonts w:ascii="Times New Roman" w:hAnsi="Times New Roman" w:cs="Times New Roman"/>
                <w:b/>
                <w:bCs/>
                <w:sz w:val="24"/>
                <w:szCs w:val="24"/>
                <w:shd w:val="clear" w:color="auto" w:fill="FFFFFF"/>
              </w:rPr>
            </w:pPr>
            <w:r w:rsidRPr="00923EDA">
              <w:rPr>
                <w:rFonts w:ascii="Times New Roman" w:hAnsi="Times New Roman" w:cs="Times New Roman"/>
                <w:b/>
                <w:bCs/>
                <w:sz w:val="24"/>
                <w:szCs w:val="24"/>
                <w:shd w:val="clear" w:color="auto" w:fill="FFFFFF"/>
              </w:rPr>
              <w:t>MARF1</w:t>
            </w:r>
          </w:p>
          <w:p w14:paraId="698D166C" w14:textId="6B9BF418" w:rsidR="006A184D" w:rsidRPr="00923EDA" w:rsidRDefault="006A184D" w:rsidP="00B06367">
            <w:pPr>
              <w:adjustRightInd w:val="0"/>
              <w:snapToGrid w:val="0"/>
              <w:spacing w:line="360" w:lineRule="auto"/>
              <w:jc w:val="left"/>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w:t>
            </w:r>
            <w:r w:rsidR="007768F4">
              <w:rPr>
                <w:rFonts w:ascii="Times New Roman" w:hAnsi="Times New Roman" w:cs="Times New Roman"/>
                <w:b/>
                <w:bCs/>
                <w:sz w:val="24"/>
                <w:szCs w:val="24"/>
                <w:shd w:val="clear" w:color="auto" w:fill="FFFFFF"/>
              </w:rPr>
              <w:t>LMKB</w:t>
            </w:r>
            <w:r w:rsidRPr="00923EDA">
              <w:rPr>
                <w:rFonts w:ascii="Times New Roman" w:hAnsi="Times New Roman" w:cs="Times New Roman"/>
                <w:b/>
                <w:bCs/>
                <w:sz w:val="24"/>
                <w:szCs w:val="24"/>
                <w:shd w:val="clear" w:color="auto" w:fill="FFFFFF"/>
              </w:rPr>
              <w:t>)</w:t>
            </w:r>
          </w:p>
        </w:tc>
        <w:tc>
          <w:tcPr>
            <w:tcW w:w="1272" w:type="dxa"/>
            <w:tcBorders>
              <w:top w:val="nil"/>
              <w:left w:val="nil"/>
              <w:bottom w:val="nil"/>
              <w:right w:val="nil"/>
            </w:tcBorders>
          </w:tcPr>
          <w:p w14:paraId="64A217B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397458DD"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bookmarkStart w:id="0" w:name="OLE_LINK116"/>
            <w:bookmarkStart w:id="1" w:name="OLE_LINK117"/>
            <w:r w:rsidRPr="00923EDA">
              <w:rPr>
                <w:rFonts w:ascii="Times New Roman" w:hAnsi="Times New Roman" w:cs="Times New Roman"/>
                <w:sz w:val="24"/>
                <w:szCs w:val="24"/>
                <w:shd w:val="clear" w:color="auto" w:fill="FFFFFF"/>
              </w:rPr>
              <w:t>5′-</w:t>
            </w:r>
            <w:bookmarkEnd w:id="0"/>
            <w:bookmarkEnd w:id="1"/>
            <w:r w:rsidRPr="00923EDA">
              <w:rPr>
                <w:rFonts w:ascii="Times New Roman" w:hAnsi="Times New Roman" w:cs="Times New Roman"/>
                <w:sz w:val="24"/>
                <w:szCs w:val="24"/>
                <w:shd w:val="clear" w:color="auto" w:fill="FFFFFF"/>
              </w:rPr>
              <w:t>ACCCTCCACTTCGCCAATG</w:t>
            </w:r>
            <w:bookmarkStart w:id="2" w:name="OLE_LINK114"/>
            <w:bookmarkStart w:id="3" w:name="OLE_LINK115"/>
            <w:r w:rsidRPr="00923EDA">
              <w:rPr>
                <w:rFonts w:ascii="Times New Roman" w:hAnsi="Times New Roman" w:cs="Times New Roman"/>
                <w:sz w:val="24"/>
                <w:szCs w:val="24"/>
                <w:shd w:val="clear" w:color="auto" w:fill="FFFFFF"/>
              </w:rPr>
              <w:t>-3′</w:t>
            </w:r>
            <w:bookmarkEnd w:id="2"/>
            <w:bookmarkEnd w:id="3"/>
          </w:p>
        </w:tc>
      </w:tr>
      <w:tr w:rsidR="006A184D" w:rsidRPr="00923EDA" w14:paraId="3245AB56" w14:textId="77777777" w:rsidTr="00B06367">
        <w:tc>
          <w:tcPr>
            <w:tcW w:w="0" w:type="auto"/>
            <w:vMerge/>
            <w:tcBorders>
              <w:top w:val="single" w:sz="4" w:space="0" w:color="auto"/>
              <w:left w:val="nil"/>
              <w:bottom w:val="nil"/>
              <w:right w:val="nil"/>
            </w:tcBorders>
            <w:vAlign w:val="center"/>
          </w:tcPr>
          <w:p w14:paraId="77B4C3FB" w14:textId="77777777" w:rsidR="006A184D" w:rsidRPr="00923EDA" w:rsidRDefault="006A184D" w:rsidP="00B06367">
            <w:pPr>
              <w:spacing w:line="360" w:lineRule="auto"/>
              <w:rPr>
                <w:rFonts w:ascii="Times New Roman" w:hAnsi="Times New Roman" w:cs="Times New Roman"/>
                <w:b/>
                <w:bCs/>
                <w:sz w:val="24"/>
                <w:szCs w:val="24"/>
                <w:shd w:val="clear" w:color="auto" w:fill="FFFFFF"/>
                <w:lang w:eastAsia="en-GB"/>
              </w:rPr>
            </w:pPr>
          </w:p>
        </w:tc>
        <w:tc>
          <w:tcPr>
            <w:tcW w:w="1272" w:type="dxa"/>
            <w:tcBorders>
              <w:top w:val="nil"/>
              <w:left w:val="nil"/>
              <w:bottom w:val="nil"/>
              <w:right w:val="nil"/>
            </w:tcBorders>
          </w:tcPr>
          <w:p w14:paraId="6CCF7E20"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Reverse</w:t>
            </w:r>
          </w:p>
        </w:tc>
        <w:tc>
          <w:tcPr>
            <w:tcW w:w="5551" w:type="dxa"/>
            <w:tcBorders>
              <w:top w:val="nil"/>
              <w:left w:val="nil"/>
              <w:bottom w:val="nil"/>
              <w:right w:val="nil"/>
            </w:tcBorders>
          </w:tcPr>
          <w:p w14:paraId="6F267AE6"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5'-CTTTGCGAGTCTAACAGTGCG-3′</w:t>
            </w:r>
          </w:p>
        </w:tc>
      </w:tr>
      <w:tr w:rsidR="006A184D" w:rsidRPr="00923EDA" w14:paraId="08F1D47A" w14:textId="77777777" w:rsidTr="00B06367">
        <w:tc>
          <w:tcPr>
            <w:tcW w:w="1483" w:type="dxa"/>
            <w:vMerge w:val="restart"/>
            <w:tcBorders>
              <w:top w:val="nil"/>
              <w:left w:val="nil"/>
              <w:bottom w:val="single" w:sz="4" w:space="0" w:color="auto"/>
              <w:right w:val="nil"/>
            </w:tcBorders>
            <w:vAlign w:val="center"/>
          </w:tcPr>
          <w:p w14:paraId="35CADDBB" w14:textId="77777777" w:rsidR="006A184D" w:rsidRPr="00923EDA" w:rsidRDefault="006A184D" w:rsidP="00B06367">
            <w:pPr>
              <w:adjustRightInd w:val="0"/>
              <w:snapToGrid w:val="0"/>
              <w:spacing w:line="360" w:lineRule="auto"/>
              <w:rPr>
                <w:rFonts w:ascii="Times New Roman" w:hAnsi="Times New Roman" w:cs="Times New Roman"/>
                <w:b/>
                <w:bCs/>
                <w:sz w:val="24"/>
                <w:szCs w:val="24"/>
                <w:shd w:val="clear" w:color="auto" w:fill="FFFFFF"/>
                <w:lang w:eastAsia="en-GB"/>
              </w:rPr>
            </w:pPr>
            <w:r w:rsidRPr="00923EDA">
              <w:rPr>
                <w:rFonts w:ascii="Times New Roman" w:hAnsi="Times New Roman" w:cs="Times New Roman"/>
                <w:b/>
                <w:bCs/>
                <w:sz w:val="24"/>
                <w:szCs w:val="24"/>
                <w:shd w:val="clear" w:color="auto" w:fill="FFFFFF"/>
              </w:rPr>
              <w:t>ACTB</w:t>
            </w:r>
          </w:p>
        </w:tc>
        <w:tc>
          <w:tcPr>
            <w:tcW w:w="1272" w:type="dxa"/>
            <w:tcBorders>
              <w:top w:val="nil"/>
              <w:left w:val="nil"/>
              <w:bottom w:val="nil"/>
              <w:right w:val="nil"/>
            </w:tcBorders>
          </w:tcPr>
          <w:p w14:paraId="42A92075"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Forward</w:t>
            </w:r>
          </w:p>
        </w:tc>
        <w:tc>
          <w:tcPr>
            <w:tcW w:w="5551" w:type="dxa"/>
            <w:tcBorders>
              <w:top w:val="nil"/>
              <w:left w:val="nil"/>
              <w:bottom w:val="nil"/>
              <w:right w:val="nil"/>
            </w:tcBorders>
          </w:tcPr>
          <w:p w14:paraId="6D4EF3F4"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5′-CATGTACGTTGCTATCCAGGC-3′</w:t>
            </w:r>
          </w:p>
        </w:tc>
      </w:tr>
      <w:tr w:rsidR="006A184D" w:rsidRPr="00923EDA" w14:paraId="3EF032D8" w14:textId="77777777" w:rsidTr="00B06367">
        <w:tc>
          <w:tcPr>
            <w:tcW w:w="0" w:type="auto"/>
            <w:vMerge/>
            <w:tcBorders>
              <w:top w:val="nil"/>
              <w:left w:val="nil"/>
              <w:bottom w:val="single" w:sz="12" w:space="0" w:color="auto"/>
              <w:right w:val="nil"/>
            </w:tcBorders>
            <w:vAlign w:val="center"/>
          </w:tcPr>
          <w:p w14:paraId="4070F11C" w14:textId="77777777" w:rsidR="006A184D" w:rsidRPr="00923EDA" w:rsidRDefault="006A184D" w:rsidP="00B06367">
            <w:pPr>
              <w:spacing w:line="360" w:lineRule="auto"/>
              <w:rPr>
                <w:rFonts w:ascii="Times New Roman" w:hAnsi="Times New Roman" w:cs="Times New Roman"/>
                <w:sz w:val="24"/>
                <w:szCs w:val="24"/>
                <w:shd w:val="clear" w:color="auto" w:fill="FFFFFF"/>
                <w:lang w:eastAsia="en-GB"/>
              </w:rPr>
            </w:pPr>
          </w:p>
        </w:tc>
        <w:tc>
          <w:tcPr>
            <w:tcW w:w="1272" w:type="dxa"/>
            <w:tcBorders>
              <w:top w:val="nil"/>
              <w:left w:val="nil"/>
              <w:bottom w:val="single" w:sz="12" w:space="0" w:color="auto"/>
              <w:right w:val="nil"/>
            </w:tcBorders>
          </w:tcPr>
          <w:p w14:paraId="47DEA021"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Reverse</w:t>
            </w:r>
          </w:p>
        </w:tc>
        <w:tc>
          <w:tcPr>
            <w:tcW w:w="5551" w:type="dxa"/>
            <w:tcBorders>
              <w:top w:val="nil"/>
              <w:left w:val="nil"/>
              <w:bottom w:val="single" w:sz="12" w:space="0" w:color="auto"/>
              <w:right w:val="nil"/>
            </w:tcBorders>
          </w:tcPr>
          <w:p w14:paraId="42B1ED7A" w14:textId="77777777" w:rsidR="006A184D" w:rsidRPr="00923EDA" w:rsidRDefault="006A184D" w:rsidP="00B06367">
            <w:pPr>
              <w:adjustRightInd w:val="0"/>
              <w:snapToGrid w:val="0"/>
              <w:spacing w:line="360" w:lineRule="auto"/>
              <w:jc w:val="center"/>
              <w:rPr>
                <w:rFonts w:ascii="Times New Roman" w:hAnsi="Times New Roman" w:cs="Times New Roman"/>
                <w:sz w:val="24"/>
                <w:szCs w:val="24"/>
                <w:shd w:val="clear" w:color="auto" w:fill="FFFFFF"/>
                <w:lang w:eastAsia="en-GB"/>
              </w:rPr>
            </w:pPr>
            <w:r w:rsidRPr="00923EDA">
              <w:rPr>
                <w:rFonts w:ascii="Times New Roman" w:hAnsi="Times New Roman" w:cs="Times New Roman"/>
                <w:sz w:val="24"/>
                <w:szCs w:val="24"/>
                <w:shd w:val="clear" w:color="auto" w:fill="FFFFFF"/>
              </w:rPr>
              <w:t>5′-CTCCTTAATGTCACGCACGAT-3′</w:t>
            </w:r>
          </w:p>
        </w:tc>
      </w:tr>
    </w:tbl>
    <w:p w14:paraId="4E48C9EB" w14:textId="7EDAA999" w:rsidR="00E55467" w:rsidRPr="006A184D" w:rsidRDefault="00E55467"/>
    <w:sectPr w:rsidR="00E55467" w:rsidRPr="006A184D" w:rsidSect="008A67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F9511" w14:textId="77777777" w:rsidR="003F1972" w:rsidRDefault="003F1972" w:rsidP="006A184D">
      <w:r>
        <w:separator/>
      </w:r>
    </w:p>
  </w:endnote>
  <w:endnote w:type="continuationSeparator" w:id="0">
    <w:p w14:paraId="51770935" w14:textId="77777777" w:rsidR="003F1972" w:rsidRDefault="003F1972" w:rsidP="006A1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ABD9B0" w14:textId="77777777" w:rsidR="003F1972" w:rsidRDefault="003F1972" w:rsidP="006A184D">
      <w:r>
        <w:separator/>
      </w:r>
    </w:p>
  </w:footnote>
  <w:footnote w:type="continuationSeparator" w:id="0">
    <w:p w14:paraId="1EF96C51" w14:textId="77777777" w:rsidR="003F1972" w:rsidRDefault="003F1972" w:rsidP="006A18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Y_MEDREF_DOCUID" w:val="{2A3A7475-CFFC-477D-A3F4-C38F32832C3D}"/>
    <w:docVar w:name="KY_MEDREF_VERSION" w:val="3"/>
  </w:docVars>
  <w:rsids>
    <w:rsidRoot w:val="00701448"/>
    <w:rsid w:val="000751B8"/>
    <w:rsid w:val="00085919"/>
    <w:rsid w:val="0010007D"/>
    <w:rsid w:val="00302D74"/>
    <w:rsid w:val="003156CA"/>
    <w:rsid w:val="003F1972"/>
    <w:rsid w:val="005A3E7C"/>
    <w:rsid w:val="005B27E1"/>
    <w:rsid w:val="005C714C"/>
    <w:rsid w:val="00627053"/>
    <w:rsid w:val="00666317"/>
    <w:rsid w:val="00691B90"/>
    <w:rsid w:val="006A184D"/>
    <w:rsid w:val="00701448"/>
    <w:rsid w:val="0070275F"/>
    <w:rsid w:val="00725184"/>
    <w:rsid w:val="007768F4"/>
    <w:rsid w:val="00810DA5"/>
    <w:rsid w:val="00877DC9"/>
    <w:rsid w:val="008D2915"/>
    <w:rsid w:val="009A2D03"/>
    <w:rsid w:val="00A47AB7"/>
    <w:rsid w:val="00C25C07"/>
    <w:rsid w:val="00C52351"/>
    <w:rsid w:val="00D44C7A"/>
    <w:rsid w:val="00E328A9"/>
    <w:rsid w:val="00E55467"/>
    <w:rsid w:val="00E57832"/>
    <w:rsid w:val="00F011F1"/>
    <w:rsid w:val="00F43108"/>
    <w:rsid w:val="00FA1937"/>
    <w:rsid w:val="00FE55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27EAE"/>
  <w15:chartTrackingRefBased/>
  <w15:docId w15:val="{394AAF91-3DCD-4BE5-90AD-32A37C4B6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014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rsid w:val="007014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184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6A184D"/>
    <w:rPr>
      <w:sz w:val="18"/>
      <w:szCs w:val="18"/>
    </w:rPr>
  </w:style>
  <w:style w:type="paragraph" w:styleId="a6">
    <w:name w:val="footer"/>
    <w:basedOn w:val="a"/>
    <w:link w:val="a7"/>
    <w:uiPriority w:val="99"/>
    <w:unhideWhenUsed/>
    <w:rsid w:val="006A184D"/>
    <w:pPr>
      <w:tabs>
        <w:tab w:val="center" w:pos="4153"/>
        <w:tab w:val="right" w:pos="8306"/>
      </w:tabs>
      <w:snapToGrid w:val="0"/>
      <w:jc w:val="left"/>
    </w:pPr>
    <w:rPr>
      <w:sz w:val="18"/>
      <w:szCs w:val="18"/>
    </w:rPr>
  </w:style>
  <w:style w:type="character" w:customStyle="1" w:styleId="a7">
    <w:name w:val="页脚 字符"/>
    <w:basedOn w:val="a0"/>
    <w:link w:val="a6"/>
    <w:uiPriority w:val="99"/>
    <w:rsid w:val="006A184D"/>
    <w:rPr>
      <w:sz w:val="18"/>
      <w:szCs w:val="18"/>
    </w:rPr>
  </w:style>
  <w:style w:type="table" w:customStyle="1" w:styleId="211">
    <w:name w:val="无格式表格 211"/>
    <w:basedOn w:val="a1"/>
    <w:uiPriority w:val="42"/>
    <w:rsid w:val="006A184D"/>
    <w:rPr>
      <w:rFonts w:ascii="等线" w:eastAsia="等线" w:hAnsi="等线" w:cs="Times New Roman"/>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content">
    <w:name w:val="content"/>
    <w:basedOn w:val="a"/>
    <w:link w:val="content0"/>
    <w:qFormat/>
    <w:rsid w:val="006A184D"/>
    <w:pPr>
      <w:spacing w:beforeLines="50" w:before="156" w:afterLines="50" w:after="156" w:line="360" w:lineRule="auto"/>
      <w:ind w:firstLineChars="200" w:firstLine="480"/>
    </w:pPr>
    <w:rPr>
      <w:rFonts w:ascii="Times New Roman" w:eastAsia="宋体" w:hAnsi="Times New Roman" w:cs="Times New Roman"/>
      <w:sz w:val="24"/>
      <w:szCs w:val="24"/>
      <w:lang w:val="en-GB"/>
    </w:rPr>
  </w:style>
  <w:style w:type="character" w:customStyle="1" w:styleId="content0">
    <w:name w:val="content 字符"/>
    <w:basedOn w:val="a0"/>
    <w:link w:val="content"/>
    <w:rsid w:val="006A184D"/>
    <w:rPr>
      <w:rFonts w:ascii="Times New Roman" w:eastAsia="宋体" w:hAnsi="Times New Roman" w:cs="Times New Roman"/>
      <w:sz w:val="24"/>
      <w:szCs w:val="24"/>
      <w:lang w:val="en-GB"/>
    </w:rPr>
  </w:style>
  <w:style w:type="character" w:customStyle="1" w:styleId="Bibliography1">
    <w:name w:val="Bibliography 字符1"/>
    <w:basedOn w:val="a0"/>
    <w:link w:val="2"/>
    <w:qFormat/>
    <w:locked/>
    <w:rsid w:val="006A184D"/>
    <w:rPr>
      <w:sz w:val="24"/>
      <w:shd w:val="clear" w:color="auto" w:fill="FFFFFF"/>
      <w:lang w:eastAsia="en-GB"/>
    </w:rPr>
  </w:style>
  <w:style w:type="paragraph" w:customStyle="1" w:styleId="2">
    <w:name w:val="书目2"/>
    <w:basedOn w:val="a"/>
    <w:link w:val="Bibliography1"/>
    <w:qFormat/>
    <w:rsid w:val="006A184D"/>
    <w:pPr>
      <w:widowControl/>
      <w:shd w:val="clear" w:color="auto" w:fill="FFFFFF"/>
      <w:tabs>
        <w:tab w:val="left" w:pos="380"/>
      </w:tabs>
      <w:ind w:left="384" w:firstLineChars="150" w:hanging="384"/>
      <w:jc w:val="left"/>
    </w:pPr>
    <w:rPr>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375730">
      <w:bodyDiv w:val="1"/>
      <w:marLeft w:val="0"/>
      <w:marRight w:val="0"/>
      <w:marTop w:val="0"/>
      <w:marBottom w:val="0"/>
      <w:divBdr>
        <w:top w:val="none" w:sz="0" w:space="0" w:color="auto"/>
        <w:left w:val="none" w:sz="0" w:space="0" w:color="auto"/>
        <w:bottom w:val="none" w:sz="0" w:space="0" w:color="auto"/>
        <w:right w:val="none" w:sz="0" w:space="0" w:color="auto"/>
      </w:divBdr>
    </w:div>
    <w:div w:id="382946688">
      <w:bodyDiv w:val="1"/>
      <w:marLeft w:val="0"/>
      <w:marRight w:val="0"/>
      <w:marTop w:val="0"/>
      <w:marBottom w:val="0"/>
      <w:divBdr>
        <w:top w:val="none" w:sz="0" w:space="0" w:color="auto"/>
        <w:left w:val="none" w:sz="0" w:space="0" w:color="auto"/>
        <w:bottom w:val="none" w:sz="0" w:space="0" w:color="auto"/>
        <w:right w:val="none" w:sz="0" w:space="0" w:color="auto"/>
      </w:divBdr>
    </w:div>
    <w:div w:id="428695848">
      <w:bodyDiv w:val="1"/>
      <w:marLeft w:val="0"/>
      <w:marRight w:val="0"/>
      <w:marTop w:val="0"/>
      <w:marBottom w:val="0"/>
      <w:divBdr>
        <w:top w:val="none" w:sz="0" w:space="0" w:color="auto"/>
        <w:left w:val="none" w:sz="0" w:space="0" w:color="auto"/>
        <w:bottom w:val="none" w:sz="0" w:space="0" w:color="auto"/>
        <w:right w:val="none" w:sz="0" w:space="0" w:color="auto"/>
      </w:divBdr>
    </w:div>
    <w:div w:id="460078566">
      <w:bodyDiv w:val="1"/>
      <w:marLeft w:val="0"/>
      <w:marRight w:val="0"/>
      <w:marTop w:val="0"/>
      <w:marBottom w:val="0"/>
      <w:divBdr>
        <w:top w:val="none" w:sz="0" w:space="0" w:color="auto"/>
        <w:left w:val="none" w:sz="0" w:space="0" w:color="auto"/>
        <w:bottom w:val="none" w:sz="0" w:space="0" w:color="auto"/>
        <w:right w:val="none" w:sz="0" w:space="0" w:color="auto"/>
      </w:divBdr>
    </w:div>
    <w:div w:id="854422226">
      <w:bodyDiv w:val="1"/>
      <w:marLeft w:val="0"/>
      <w:marRight w:val="0"/>
      <w:marTop w:val="0"/>
      <w:marBottom w:val="0"/>
      <w:divBdr>
        <w:top w:val="none" w:sz="0" w:space="0" w:color="auto"/>
        <w:left w:val="none" w:sz="0" w:space="0" w:color="auto"/>
        <w:bottom w:val="none" w:sz="0" w:space="0" w:color="auto"/>
        <w:right w:val="none" w:sz="0" w:space="0" w:color="auto"/>
      </w:divBdr>
    </w:div>
    <w:div w:id="854422520">
      <w:bodyDiv w:val="1"/>
      <w:marLeft w:val="0"/>
      <w:marRight w:val="0"/>
      <w:marTop w:val="0"/>
      <w:marBottom w:val="0"/>
      <w:divBdr>
        <w:top w:val="none" w:sz="0" w:space="0" w:color="auto"/>
        <w:left w:val="none" w:sz="0" w:space="0" w:color="auto"/>
        <w:bottom w:val="none" w:sz="0" w:space="0" w:color="auto"/>
        <w:right w:val="none" w:sz="0" w:space="0" w:color="auto"/>
      </w:divBdr>
    </w:div>
    <w:div w:id="885987362">
      <w:bodyDiv w:val="1"/>
      <w:marLeft w:val="0"/>
      <w:marRight w:val="0"/>
      <w:marTop w:val="0"/>
      <w:marBottom w:val="0"/>
      <w:divBdr>
        <w:top w:val="none" w:sz="0" w:space="0" w:color="auto"/>
        <w:left w:val="none" w:sz="0" w:space="0" w:color="auto"/>
        <w:bottom w:val="none" w:sz="0" w:space="0" w:color="auto"/>
        <w:right w:val="none" w:sz="0" w:space="0" w:color="auto"/>
      </w:divBdr>
    </w:div>
    <w:div w:id="1234271293">
      <w:bodyDiv w:val="1"/>
      <w:marLeft w:val="0"/>
      <w:marRight w:val="0"/>
      <w:marTop w:val="0"/>
      <w:marBottom w:val="0"/>
      <w:divBdr>
        <w:top w:val="none" w:sz="0" w:space="0" w:color="auto"/>
        <w:left w:val="none" w:sz="0" w:space="0" w:color="auto"/>
        <w:bottom w:val="none" w:sz="0" w:space="0" w:color="auto"/>
        <w:right w:val="none" w:sz="0" w:space="0" w:color="auto"/>
      </w:divBdr>
    </w:div>
    <w:div w:id="1416197930">
      <w:bodyDiv w:val="1"/>
      <w:marLeft w:val="0"/>
      <w:marRight w:val="0"/>
      <w:marTop w:val="0"/>
      <w:marBottom w:val="0"/>
      <w:divBdr>
        <w:top w:val="none" w:sz="0" w:space="0" w:color="auto"/>
        <w:left w:val="none" w:sz="0" w:space="0" w:color="auto"/>
        <w:bottom w:val="none" w:sz="0" w:space="0" w:color="auto"/>
        <w:right w:val="none" w:sz="0" w:space="0" w:color="auto"/>
      </w:divBdr>
    </w:div>
    <w:div w:id="1556164629">
      <w:bodyDiv w:val="1"/>
      <w:marLeft w:val="0"/>
      <w:marRight w:val="0"/>
      <w:marTop w:val="0"/>
      <w:marBottom w:val="0"/>
      <w:divBdr>
        <w:top w:val="none" w:sz="0" w:space="0" w:color="auto"/>
        <w:left w:val="none" w:sz="0" w:space="0" w:color="auto"/>
        <w:bottom w:val="none" w:sz="0" w:space="0" w:color="auto"/>
        <w:right w:val="none" w:sz="0" w:space="0" w:color="auto"/>
      </w:divBdr>
    </w:div>
    <w:div w:id="1613706998">
      <w:bodyDiv w:val="1"/>
      <w:marLeft w:val="0"/>
      <w:marRight w:val="0"/>
      <w:marTop w:val="0"/>
      <w:marBottom w:val="0"/>
      <w:divBdr>
        <w:top w:val="none" w:sz="0" w:space="0" w:color="auto"/>
        <w:left w:val="none" w:sz="0" w:space="0" w:color="auto"/>
        <w:bottom w:val="none" w:sz="0" w:space="0" w:color="auto"/>
        <w:right w:val="none" w:sz="0" w:space="0" w:color="auto"/>
      </w:divBdr>
    </w:div>
    <w:div w:id="1644196315">
      <w:bodyDiv w:val="1"/>
      <w:marLeft w:val="0"/>
      <w:marRight w:val="0"/>
      <w:marTop w:val="0"/>
      <w:marBottom w:val="0"/>
      <w:divBdr>
        <w:top w:val="none" w:sz="0" w:space="0" w:color="auto"/>
        <w:left w:val="none" w:sz="0" w:space="0" w:color="auto"/>
        <w:bottom w:val="none" w:sz="0" w:space="0" w:color="auto"/>
        <w:right w:val="none" w:sz="0" w:space="0" w:color="auto"/>
      </w:divBdr>
    </w:div>
    <w:div w:id="2108232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122</TotalTime>
  <Pages>7</Pages>
  <Words>843</Words>
  <Characters>4808</Characters>
  <Application>Microsoft Office Word</Application>
  <DocSecurity>0</DocSecurity>
  <Lines>40</Lines>
  <Paragraphs>11</Paragraphs>
  <ScaleCrop>false</ScaleCrop>
  <Company/>
  <LinksUpToDate>false</LinksUpToDate>
  <CharactersWithSpaces>5640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 博涵</dc:creator>
  <cp:keywords/>
  <dc:description/>
  <cp:lastModifiedBy>李 博涵</cp:lastModifiedBy>
  <cp:revision>11</cp:revision>
  <dcterms:created xsi:type="dcterms:W3CDTF">2021-07-14T07:29:00Z</dcterms:created>
  <dcterms:modified xsi:type="dcterms:W3CDTF">2021-12-23T20:17:00Z</dcterms:modified>
</cp:coreProperties>
</file>