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3D9" w:rsidRPr="00691F12" w:rsidRDefault="000223D9" w:rsidP="000223D9">
      <w:pPr>
        <w:spacing w:after="160"/>
        <w:rPr>
          <w:rFonts w:eastAsia="新細明體"/>
          <w:sz w:val="26"/>
          <w:szCs w:val="26"/>
        </w:rPr>
      </w:pPr>
      <w:r w:rsidRPr="00691F12">
        <w:rPr>
          <w:rFonts w:eastAsia="新細明體"/>
          <w:b/>
          <w:bCs/>
          <w:sz w:val="26"/>
          <w:szCs w:val="26"/>
        </w:rPr>
        <w:t>TABLE S1.</w:t>
      </w:r>
      <w:r w:rsidRPr="00691F12">
        <w:rPr>
          <w:rFonts w:eastAsia="新細明體"/>
          <w:i/>
          <w:iCs/>
          <w:sz w:val="26"/>
          <w:szCs w:val="26"/>
        </w:rPr>
        <w:t xml:space="preserve"> </w:t>
      </w:r>
      <w:r w:rsidRPr="00691F12">
        <w:rPr>
          <w:rFonts w:eastAsia="新細明體"/>
          <w:sz w:val="26"/>
          <w:szCs w:val="26"/>
        </w:rPr>
        <w:t xml:space="preserve">Characteristics of older men aged ≥80 years with high-risk prostate adenocarcinoma stratified by whether they underwent RP or IMRT+HT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4"/>
        <w:gridCol w:w="3203"/>
        <w:gridCol w:w="829"/>
        <w:gridCol w:w="1480"/>
        <w:gridCol w:w="1025"/>
        <w:gridCol w:w="1918"/>
        <w:gridCol w:w="1261"/>
      </w:tblGrid>
      <w:tr w:rsidR="000223D9" w:rsidRPr="00691F12" w:rsidTr="005F129E">
        <w:trPr>
          <w:cantSplit/>
          <w:tblHeader/>
          <w:jc w:val="center"/>
        </w:trPr>
        <w:tc>
          <w:tcPr>
            <w:tcW w:w="2738" w:type="pct"/>
            <w:gridSpan w:val="2"/>
            <w:tcBorders>
              <w:bottom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0223D9" w:rsidRPr="00691F12" w:rsidRDefault="000223D9" w:rsidP="005F129E">
            <w:pPr>
              <w:keepNext/>
              <w:adjustRightInd w:val="0"/>
              <w:spacing w:before="60" w:after="60" w:line="259" w:lineRule="auto"/>
              <w:jc w:val="center"/>
              <w:rPr>
                <w:rFonts w:eastAsia="DengXi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0223D9" w:rsidRPr="00691F12" w:rsidRDefault="000223D9" w:rsidP="005F129E">
            <w:pPr>
              <w:keepNext/>
              <w:adjustRightInd w:val="0"/>
              <w:spacing w:before="60" w:after="60" w:line="259" w:lineRule="auto"/>
              <w:jc w:val="center"/>
              <w:rPr>
                <w:rFonts w:eastAsia="DengXian"/>
                <w:bCs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bCs/>
                <w:sz w:val="26"/>
                <w:szCs w:val="26"/>
                <w:lang w:eastAsia="zh-CN"/>
              </w:rPr>
              <w:t>RP</w:t>
            </w:r>
            <w:r w:rsidRPr="00691F12">
              <w:rPr>
                <w:rFonts w:eastAsia="DengXian"/>
                <w:bCs/>
                <w:sz w:val="26"/>
                <w:szCs w:val="26"/>
                <w:lang w:eastAsia="zh-CN"/>
              </w:rPr>
              <w:br/>
              <w:t>N = 277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0223D9" w:rsidRPr="00691F12" w:rsidRDefault="000223D9" w:rsidP="005F129E">
            <w:pPr>
              <w:keepNext/>
              <w:adjustRightInd w:val="0"/>
              <w:spacing w:before="60" w:after="60" w:line="259" w:lineRule="auto"/>
              <w:jc w:val="center"/>
              <w:rPr>
                <w:rFonts w:eastAsia="DengXian"/>
                <w:bCs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bCs/>
                <w:sz w:val="26"/>
                <w:szCs w:val="26"/>
                <w:lang w:eastAsia="zh-CN"/>
              </w:rPr>
              <w:t>IMRT + long-term HT</w:t>
            </w:r>
            <w:r w:rsidRPr="00691F12">
              <w:rPr>
                <w:rFonts w:eastAsia="DengXian"/>
                <w:bCs/>
                <w:sz w:val="26"/>
                <w:szCs w:val="26"/>
                <w:lang w:eastAsia="zh-CN"/>
              </w:rPr>
              <w:br/>
              <w:t>N = 382</w:t>
            </w:r>
          </w:p>
        </w:tc>
        <w:tc>
          <w:tcPr>
            <w:tcW w:w="439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0223D9" w:rsidRPr="00691F12" w:rsidRDefault="000223D9" w:rsidP="005F129E">
            <w:pPr>
              <w:keepNext/>
              <w:adjustRightInd w:val="0"/>
              <w:spacing w:before="60" w:after="60" w:line="259" w:lineRule="auto"/>
              <w:jc w:val="center"/>
              <w:rPr>
                <w:rFonts w:eastAsia="DengXian"/>
                <w:bCs/>
                <w:sz w:val="26"/>
                <w:szCs w:val="26"/>
                <w:lang w:eastAsia="zh-CN"/>
              </w:rPr>
            </w:pPr>
          </w:p>
        </w:tc>
      </w:tr>
      <w:tr w:rsidR="000223D9" w:rsidRPr="00691F12" w:rsidTr="005F129E">
        <w:trPr>
          <w:cantSplit/>
          <w:tblHeader/>
          <w:jc w:val="center"/>
        </w:trPr>
        <w:tc>
          <w:tcPr>
            <w:tcW w:w="1626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0223D9" w:rsidRPr="00691F12" w:rsidRDefault="000223D9" w:rsidP="005F129E">
            <w:pPr>
              <w:keepNext/>
              <w:adjustRightInd w:val="0"/>
              <w:spacing w:before="60" w:after="60" w:line="259" w:lineRule="auto"/>
              <w:rPr>
                <w:rFonts w:eastAsia="DengXian"/>
                <w:bCs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bCs/>
                <w:sz w:val="26"/>
                <w:szCs w:val="26"/>
                <w:lang w:eastAsia="zh-CN"/>
              </w:rPr>
              <w:t xml:space="preserve">Covariates </w:t>
            </w:r>
          </w:p>
        </w:tc>
        <w:tc>
          <w:tcPr>
            <w:tcW w:w="11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0223D9" w:rsidRPr="00691F12" w:rsidRDefault="000223D9" w:rsidP="005F129E">
            <w:pPr>
              <w:keepNext/>
              <w:adjustRightInd w:val="0"/>
              <w:spacing w:before="60" w:after="60" w:line="259" w:lineRule="auto"/>
              <w:jc w:val="center"/>
              <w:rPr>
                <w:rFonts w:eastAsia="DengXi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0223D9" w:rsidRPr="00691F12" w:rsidRDefault="000223D9" w:rsidP="005F129E">
            <w:pPr>
              <w:keepNext/>
              <w:adjustRightInd w:val="0"/>
              <w:spacing w:before="60" w:after="60" w:line="259" w:lineRule="auto"/>
              <w:jc w:val="center"/>
              <w:rPr>
                <w:rFonts w:eastAsia="DengXian"/>
                <w:bCs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bCs/>
                <w:sz w:val="26"/>
                <w:szCs w:val="26"/>
                <w:lang w:eastAsia="zh-CN"/>
              </w:rPr>
              <w:t>n</w:t>
            </w:r>
          </w:p>
        </w:tc>
        <w:tc>
          <w:tcPr>
            <w:tcW w:w="51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0223D9" w:rsidRPr="00691F12" w:rsidRDefault="000223D9" w:rsidP="005F129E">
            <w:pPr>
              <w:keepNext/>
              <w:adjustRightInd w:val="0"/>
              <w:spacing w:before="60" w:after="60" w:line="259" w:lineRule="auto"/>
              <w:jc w:val="center"/>
              <w:rPr>
                <w:rFonts w:eastAsia="DengXian"/>
                <w:bCs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bCs/>
                <w:sz w:val="26"/>
                <w:szCs w:val="26"/>
                <w:lang w:eastAsia="zh-CN"/>
              </w:rPr>
              <w:t>(%)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0223D9" w:rsidRPr="00691F12" w:rsidRDefault="000223D9" w:rsidP="005F129E">
            <w:pPr>
              <w:keepNext/>
              <w:adjustRightInd w:val="0"/>
              <w:spacing w:before="60" w:after="60" w:line="259" w:lineRule="auto"/>
              <w:jc w:val="center"/>
              <w:rPr>
                <w:rFonts w:eastAsia="DengXian"/>
                <w:bCs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bCs/>
                <w:sz w:val="26"/>
                <w:szCs w:val="26"/>
                <w:lang w:eastAsia="zh-CN"/>
              </w:rPr>
              <w:t>n</w:t>
            </w:r>
          </w:p>
        </w:tc>
        <w:tc>
          <w:tcPr>
            <w:tcW w:w="666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0223D9" w:rsidRPr="00691F12" w:rsidRDefault="000223D9" w:rsidP="005F129E">
            <w:pPr>
              <w:keepNext/>
              <w:adjustRightInd w:val="0"/>
              <w:spacing w:before="60" w:after="60" w:line="259" w:lineRule="auto"/>
              <w:jc w:val="center"/>
              <w:rPr>
                <w:rFonts w:eastAsia="DengXian"/>
                <w:bCs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bCs/>
                <w:sz w:val="26"/>
                <w:szCs w:val="26"/>
                <w:lang w:eastAsia="zh-CN"/>
              </w:rPr>
              <w:t>(%)</w:t>
            </w:r>
          </w:p>
        </w:tc>
        <w:tc>
          <w:tcPr>
            <w:tcW w:w="439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0223D9" w:rsidRPr="00691F12" w:rsidRDefault="000223D9" w:rsidP="005F129E">
            <w:pPr>
              <w:keepNext/>
              <w:adjustRightInd w:val="0"/>
              <w:spacing w:before="60" w:after="60" w:line="259" w:lineRule="auto"/>
              <w:jc w:val="center"/>
              <w:rPr>
                <w:rFonts w:eastAsia="DengXian"/>
                <w:bCs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bCs/>
                <w:i/>
                <w:iCs/>
                <w:sz w:val="26"/>
                <w:szCs w:val="26"/>
                <w:lang w:eastAsia="zh-CN"/>
              </w:rPr>
              <w:t>P</w:t>
            </w:r>
            <w:r w:rsidRPr="00691F12">
              <w:rPr>
                <w:rFonts w:eastAsia="DengXian"/>
                <w:bCs/>
                <w:sz w:val="26"/>
                <w:szCs w:val="26"/>
                <w:lang w:eastAsia="zh-CN"/>
              </w:rPr>
              <w:t xml:space="preserve"> value</w:t>
            </w: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Age</w:t>
            </w:r>
          </w:p>
        </w:tc>
        <w:tc>
          <w:tcPr>
            <w:tcW w:w="1112" w:type="pct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Mean (SD)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84.6</w:t>
            </w:r>
          </w:p>
        </w:tc>
        <w:tc>
          <w:tcPr>
            <w:tcW w:w="513" w:type="pct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(3.2)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85.1</w:t>
            </w:r>
          </w:p>
        </w:tc>
        <w:tc>
          <w:tcPr>
            <w:tcW w:w="666" w:type="pct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(3.5)</w:t>
            </w:r>
          </w:p>
        </w:tc>
        <w:tc>
          <w:tcPr>
            <w:tcW w:w="439" w:type="pct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.1098</w:t>
            </w: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Median (Q1–Q3)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84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(82–86)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85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(82–87)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80–89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256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(92.4)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340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(89.0)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.9090</w:t>
            </w: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90+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21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(7.6)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42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(11.0)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Year of diagnosis</w:t>
            </w: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2011–2012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47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(17.0)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60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(15.7)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.9837</w:t>
            </w: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2013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49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(17.7)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72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(18.8)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2014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57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(20.6)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82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(21.5)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2015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62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(22.4)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83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(21.7)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2016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62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(22.4)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85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(22.3)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CCI scores</w:t>
            </w: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102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(36.8)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145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(38.0)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.7626</w:t>
            </w: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77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(27.8)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104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(27.2)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2+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98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(35.4)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133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(34.8)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Myocardial infarction</w:t>
            </w: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(1.4)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(1.8)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.8348</w:t>
            </w: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Congestive heart failure</w:t>
            </w: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(3.6)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13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(3.4)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.7740</w:t>
            </w: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Peripheral vascular disease</w:t>
            </w: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(3.6)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(2.6)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.4913</w:t>
            </w: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Cerebrovascular disease</w:t>
            </w: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31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(11.2)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48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(12.6)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.8997</w:t>
            </w: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Chronic pulmonary disease</w:t>
            </w: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41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(14.8)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57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(14.9)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.7090</w:t>
            </w: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Diabetes</w:t>
            </w: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73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(26.4)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94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(24.6)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.6732</w:t>
            </w: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lastRenderedPageBreak/>
              <w:t>Hypertension</w:t>
            </w: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166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(59.9)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233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(61.0)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.9782</w:t>
            </w: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Income</w:t>
            </w: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&lt;NTD 21,000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92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(33.2)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119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(31.2)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.8053</w:t>
            </w: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NTD 21,000–30,000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124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(44.8)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170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(44.5)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NTD 30,000–45,000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29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(10.5)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41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(10.7)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NTD 45,000+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32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(11.6)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52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(13.6)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Hospital area</w:t>
            </w: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North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128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(46.2)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169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(44.2)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.9637</w:t>
            </w: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Central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82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(29.6)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115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(30.1)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South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61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(22.0)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89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(23.3)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East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(2.2)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9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(2.4)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Hospital level</w:t>
            </w: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Medical center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178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(64.3)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244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(63.9)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.5094</w:t>
            </w: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others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99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(35.7)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138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(36.1)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Clinical T stage</w:t>
            </w: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T1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96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(34.7)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128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(33.5)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.9366</w:t>
            </w: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T2a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57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(20.6)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77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(20.2)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T2b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26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(9.4)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44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(11.5)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T2c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89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(32.1)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120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(31.4)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T3a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9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(3.2)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13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(3.4)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Gleason score</w:t>
            </w: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≤5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.9570</w:t>
            </w: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19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(6.9)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33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(8.6)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187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(67.5)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253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(66.2)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44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(15.9)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64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(16.8)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9+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22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(7.9)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23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(6.0)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Missing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(1.8)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9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(2.4)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Grade (max Gleason grade)</w:t>
            </w: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1-2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(1.8)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9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(2.4)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.9624</w:t>
            </w: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19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(6.9)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32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(8.4)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223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(80.5)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304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(79.6)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30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(10.8)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37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(9.7)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Preoperative PSA, ng/mL</w:t>
            </w: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Mean (SD)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11.7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(7.6)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12.7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(11.6)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.1942</w:t>
            </w: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Median (IQR)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10.3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(6.8–15.1)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10.5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(7.2–14.9)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0–5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22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(7.9)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34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(8.9)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.9770</w:t>
            </w: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5–10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95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(34.3)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116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(30.4)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10–20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109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(39.4)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158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(41.4)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20+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15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(5.4)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28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(7.3)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Missing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36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(13.0)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46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(12.0)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D’Amico risk classification</w:t>
            </w: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Localized intermediate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125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(45.1)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171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(44.8)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.8449</w:t>
            </w: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</w:p>
        </w:tc>
        <w:tc>
          <w:tcPr>
            <w:tcW w:w="1112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Localized high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140</w:t>
            </w:r>
          </w:p>
        </w:tc>
        <w:tc>
          <w:tcPr>
            <w:tcW w:w="513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(50.5)</w:t>
            </w:r>
          </w:p>
        </w:tc>
        <w:tc>
          <w:tcPr>
            <w:tcW w:w="35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194</w:t>
            </w:r>
          </w:p>
        </w:tc>
        <w:tc>
          <w:tcPr>
            <w:tcW w:w="666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(50.8)</w:t>
            </w:r>
          </w:p>
        </w:tc>
        <w:tc>
          <w:tcPr>
            <w:tcW w:w="439" w:type="pct"/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  <w:tc>
          <w:tcPr>
            <w:tcW w:w="1112" w:type="pct"/>
            <w:tcBorders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Localized advanced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12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(4.3)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17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(4.5)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</w:p>
        </w:tc>
      </w:tr>
      <w:tr w:rsidR="000223D9" w:rsidRPr="00691F12" w:rsidTr="005F129E">
        <w:trPr>
          <w:cantSplit/>
          <w:jc w:val="center"/>
        </w:trPr>
        <w:tc>
          <w:tcPr>
            <w:tcW w:w="1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Follow-up time, months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Mean (SD)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61.7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(18.4)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58.4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(18.9)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0223D9" w:rsidRPr="00691F12" w:rsidRDefault="000223D9" w:rsidP="005F129E">
            <w:pPr>
              <w:adjustRightInd w:val="0"/>
              <w:spacing w:before="60" w:after="60" w:line="259" w:lineRule="auto"/>
              <w:jc w:val="center"/>
              <w:rPr>
                <w:rFonts w:eastAsia="DengXian"/>
                <w:sz w:val="26"/>
                <w:szCs w:val="26"/>
                <w:lang w:eastAsia="zh-CN"/>
              </w:rPr>
            </w:pPr>
            <w:r w:rsidRPr="00691F12">
              <w:rPr>
                <w:rFonts w:eastAsia="DengXian"/>
                <w:sz w:val="26"/>
                <w:szCs w:val="26"/>
                <w:lang w:eastAsia="zh-CN"/>
              </w:rPr>
              <w:t>.8742</w:t>
            </w:r>
          </w:p>
        </w:tc>
      </w:tr>
    </w:tbl>
    <w:p w:rsidR="000223D9" w:rsidRPr="00691F12" w:rsidRDefault="000223D9" w:rsidP="000223D9">
      <w:pPr>
        <w:spacing w:after="160" w:line="259" w:lineRule="auto"/>
        <w:rPr>
          <w:rFonts w:eastAsia="新細明體"/>
          <w:sz w:val="26"/>
          <w:szCs w:val="26"/>
        </w:rPr>
      </w:pPr>
      <w:r w:rsidRPr="00691F12">
        <w:rPr>
          <w:rFonts w:eastAsia="新細明體"/>
          <w:sz w:val="26"/>
          <w:szCs w:val="26"/>
        </w:rPr>
        <w:t>RP, radical prostatectomy; IMRT, intensity-modulated radiation therapy; IQR, interquartile range; SD, standard deviation; T, tumor; PSA, prostate-specific antigen; N, number; HT, hormone therapy; NTD, new Taiwan dollars</w:t>
      </w:r>
    </w:p>
    <w:p w:rsidR="000223D9" w:rsidRPr="00691F12" w:rsidRDefault="000223D9" w:rsidP="000223D9">
      <w:pPr>
        <w:widowControl w:val="0"/>
        <w:spacing w:line="240" w:lineRule="auto"/>
        <w:rPr>
          <w:rFonts w:ascii="Calibri" w:eastAsia="新細明體" w:hAnsi="Calibri"/>
          <w:kern w:val="2"/>
          <w:szCs w:val="22"/>
          <w:lang w:eastAsia="zh-TW"/>
        </w:rPr>
      </w:pPr>
    </w:p>
    <w:p w:rsidR="000223D9" w:rsidRPr="00691F12" w:rsidRDefault="000223D9" w:rsidP="000223D9">
      <w:pPr>
        <w:widowControl w:val="0"/>
        <w:spacing w:line="240" w:lineRule="auto"/>
        <w:rPr>
          <w:rFonts w:ascii="Calibri" w:eastAsia="新細明體" w:hAnsi="Calibri"/>
          <w:kern w:val="2"/>
          <w:szCs w:val="22"/>
          <w:lang w:eastAsia="zh-TW"/>
        </w:rPr>
      </w:pPr>
    </w:p>
    <w:p w:rsidR="000223D9" w:rsidRDefault="000223D9" w:rsidP="000223D9"/>
    <w:p w:rsidR="000223D9" w:rsidRDefault="000223D9" w:rsidP="000223D9"/>
    <w:p w:rsidR="000223D9" w:rsidRDefault="000223D9" w:rsidP="000223D9"/>
    <w:p w:rsidR="000223D9" w:rsidRDefault="000223D9" w:rsidP="000223D9"/>
    <w:p w:rsidR="000223D9" w:rsidRDefault="000223D9" w:rsidP="000223D9"/>
    <w:p w:rsidR="000223D9" w:rsidRDefault="000223D9" w:rsidP="000223D9"/>
    <w:p w:rsidR="000223D9" w:rsidRPr="005C0A68" w:rsidRDefault="000223D9" w:rsidP="000223D9"/>
    <w:p w:rsidR="000766C1" w:rsidRDefault="000766C1">
      <w:bookmarkStart w:id="0" w:name="_GoBack"/>
      <w:bookmarkEnd w:id="0"/>
    </w:p>
    <w:sectPr w:rsidR="000766C1" w:rsidSect="00691F1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Meiryo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D9"/>
    <w:rsid w:val="000223D9"/>
    <w:rsid w:val="0007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833C6-670B-4E7F-9167-F05191BB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3D9"/>
    <w:pPr>
      <w:spacing w:line="480" w:lineRule="auto"/>
    </w:pPr>
    <w:rPr>
      <w:rFonts w:ascii="Times New Roman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2022-04-25T15:50:00Z</dcterms:created>
  <dcterms:modified xsi:type="dcterms:W3CDTF">2022-04-25T15:51:00Z</dcterms:modified>
</cp:coreProperties>
</file>