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7EEE6" w14:textId="606C2B86" w:rsidR="00654E8F" w:rsidRDefault="00654E8F" w:rsidP="0001436A">
      <w:pPr>
        <w:pStyle w:val="SupplementaryMaterial"/>
      </w:pPr>
      <w:r w:rsidRPr="001549D3">
        <w:t>Supplementary Material</w:t>
      </w:r>
    </w:p>
    <w:p w14:paraId="58BD404C" w14:textId="4C16EBC6" w:rsidR="00194887" w:rsidRDefault="00194887" w:rsidP="00444A04">
      <w:pPr>
        <w:pStyle w:val="AuthorList"/>
        <w:jc w:val="center"/>
        <w:rPr>
          <w:sz w:val="32"/>
          <w:szCs w:val="32"/>
        </w:rPr>
      </w:pPr>
      <w:r w:rsidRPr="00194887">
        <w:rPr>
          <w:sz w:val="32"/>
          <w:szCs w:val="32"/>
        </w:rPr>
        <w:t xml:space="preserve">A Code of Conduct </w:t>
      </w:r>
      <w:r w:rsidR="0008227D">
        <w:rPr>
          <w:sz w:val="32"/>
          <w:szCs w:val="32"/>
        </w:rPr>
        <w:t>I</w:t>
      </w:r>
      <w:r w:rsidRPr="00194887">
        <w:rPr>
          <w:sz w:val="32"/>
          <w:szCs w:val="32"/>
        </w:rPr>
        <w:t>s Imperative for Ocean Carbon Dioxide Removal Research</w:t>
      </w:r>
    </w:p>
    <w:p w14:paraId="04C832CB" w14:textId="77777777" w:rsidR="00194887" w:rsidRPr="00376CC5" w:rsidRDefault="00194887" w:rsidP="00194887">
      <w:pPr>
        <w:pStyle w:val="AuthorList"/>
      </w:pPr>
      <w:r w:rsidRPr="00216493">
        <w:t>Rebecca Loomis</w:t>
      </w:r>
      <w:r w:rsidRPr="00216493">
        <w:rPr>
          <w:vertAlign w:val="superscript"/>
        </w:rPr>
        <w:t>1</w:t>
      </w:r>
      <w:r>
        <w:t>*</w:t>
      </w:r>
      <w:r w:rsidRPr="00376CC5">
        <w:t xml:space="preserve">, </w:t>
      </w:r>
      <w:r w:rsidRPr="00216493">
        <w:t>Sarah R. Cooley</w:t>
      </w:r>
      <w:r w:rsidRPr="00A545C6">
        <w:rPr>
          <w:vertAlign w:val="superscript"/>
        </w:rPr>
        <w:t>2</w:t>
      </w:r>
      <w:r w:rsidRPr="00376CC5">
        <w:t xml:space="preserve">, </w:t>
      </w:r>
      <w:r w:rsidRPr="00216493">
        <w:t>James R. Collins</w:t>
      </w:r>
      <w:r w:rsidRPr="00216493">
        <w:rPr>
          <w:vertAlign w:val="superscript"/>
        </w:rPr>
        <w:t>3</w:t>
      </w:r>
      <w:r>
        <w:rPr>
          <w:vertAlign w:val="superscript"/>
        </w:rPr>
        <w:t>,4</w:t>
      </w:r>
      <w:r w:rsidRPr="00216493">
        <w:t>, Simon Engler</w:t>
      </w:r>
      <w:r w:rsidRPr="00216493">
        <w:rPr>
          <w:vertAlign w:val="superscript"/>
        </w:rPr>
        <w:t>1</w:t>
      </w:r>
      <w:r w:rsidRPr="00216493">
        <w:t>, Lisa Suatoni</w:t>
      </w:r>
      <w:r>
        <w:rPr>
          <w:vertAlign w:val="superscript"/>
        </w:rPr>
        <w:t>5</w:t>
      </w:r>
    </w:p>
    <w:p w14:paraId="0F514840" w14:textId="7FBB736A" w:rsidR="00194887" w:rsidRDefault="00194887" w:rsidP="00194887">
      <w:pPr>
        <w:spacing w:before="240" w:after="0"/>
      </w:pPr>
      <w:r w:rsidRPr="00376CC5">
        <w:rPr>
          <w:rFonts w:cs="Times New Roman"/>
          <w:szCs w:val="24"/>
          <w:vertAlign w:val="superscript"/>
        </w:rPr>
        <w:t>1</w:t>
      </w:r>
      <w:r>
        <w:rPr>
          <w:bCs/>
          <w:color w:val="000000"/>
        </w:rPr>
        <w:t>Yale Law School,</w:t>
      </w:r>
      <w:r w:rsidRPr="00216493">
        <w:rPr>
          <w:bCs/>
          <w:color w:val="000000"/>
        </w:rPr>
        <w:t xml:space="preserve"> </w:t>
      </w:r>
      <w:r>
        <w:rPr>
          <w:color w:val="202124"/>
          <w:shd w:val="clear" w:color="auto" w:fill="FFFFFF"/>
        </w:rPr>
        <w:t xml:space="preserve">New Haven, CT, </w:t>
      </w:r>
      <w:r w:rsidR="002833E6">
        <w:rPr>
          <w:color w:val="202124"/>
          <w:shd w:val="clear" w:color="auto" w:fill="FFFFFF"/>
        </w:rPr>
        <w:t>United States</w:t>
      </w:r>
    </w:p>
    <w:p w14:paraId="3C4D8310" w14:textId="54EEACFE" w:rsidR="00194887" w:rsidRDefault="00194887" w:rsidP="00194887">
      <w:pPr>
        <w:spacing w:after="0"/>
      </w:pPr>
      <w:r w:rsidRPr="00376CC5">
        <w:rPr>
          <w:rFonts w:cs="Times New Roman"/>
          <w:szCs w:val="24"/>
          <w:vertAlign w:val="superscript"/>
        </w:rPr>
        <w:t>2</w:t>
      </w:r>
      <w:r>
        <w:rPr>
          <w:bCs/>
        </w:rPr>
        <w:t xml:space="preserve">Ocean Conservancy, </w:t>
      </w:r>
      <w:r>
        <w:t xml:space="preserve">Washington DC, </w:t>
      </w:r>
      <w:r w:rsidR="002833E6">
        <w:t>United States</w:t>
      </w:r>
    </w:p>
    <w:p w14:paraId="04A9BF0E" w14:textId="41F6F9C5" w:rsidR="00194887" w:rsidRDefault="00194887" w:rsidP="00194887">
      <w:pPr>
        <w:spacing w:after="0"/>
        <w:rPr>
          <w:bCs/>
        </w:rPr>
      </w:pPr>
      <w:r>
        <w:rPr>
          <w:rFonts w:cs="Times New Roman"/>
          <w:szCs w:val="24"/>
          <w:vertAlign w:val="superscript"/>
        </w:rPr>
        <w:t>3</w:t>
      </w:r>
      <w:r>
        <w:rPr>
          <w:bCs/>
        </w:rPr>
        <w:t xml:space="preserve">Environmental </w:t>
      </w:r>
      <w:r>
        <w:t>Defense Fund,</w:t>
      </w:r>
      <w:r w:rsidRPr="00216493">
        <w:t xml:space="preserve"> </w:t>
      </w:r>
      <w:r>
        <w:t xml:space="preserve">New York, NY, </w:t>
      </w:r>
      <w:r w:rsidR="002833E6">
        <w:t>United States</w:t>
      </w:r>
      <w:r>
        <w:t xml:space="preserve"> </w:t>
      </w:r>
    </w:p>
    <w:p w14:paraId="7F131F13" w14:textId="6219088E" w:rsidR="00194887" w:rsidRDefault="00194887" w:rsidP="00194887">
      <w:pPr>
        <w:spacing w:after="0"/>
        <w:rPr>
          <w:bCs/>
        </w:rPr>
      </w:pPr>
      <w:r>
        <w:rPr>
          <w:rFonts w:cs="Times New Roman"/>
          <w:szCs w:val="24"/>
          <w:vertAlign w:val="superscript"/>
        </w:rPr>
        <w:t>4</w:t>
      </w:r>
      <w:r>
        <w:t>D</w:t>
      </w:r>
      <w:r w:rsidRPr="0001498C">
        <w:t xml:space="preserve">epartment of Marine Chemistry &amp; Geochemistry, Woods </w:t>
      </w:r>
      <w:r>
        <w:t xml:space="preserve">Hole Oceanographic Institution, Woods Hole, MA, </w:t>
      </w:r>
      <w:r w:rsidR="002833E6">
        <w:t>United States</w:t>
      </w:r>
      <w:r w:rsidDel="00E24902">
        <w:rPr>
          <w:bCs/>
        </w:rPr>
        <w:t xml:space="preserve"> </w:t>
      </w:r>
    </w:p>
    <w:p w14:paraId="1B9C1570" w14:textId="24D1D5C2" w:rsidR="00194887" w:rsidRPr="00376CC5" w:rsidRDefault="00194887" w:rsidP="00194887">
      <w:pPr>
        <w:spacing w:after="0"/>
        <w:rPr>
          <w:rFonts w:cs="Times New Roman"/>
          <w:b/>
          <w:szCs w:val="24"/>
        </w:rPr>
      </w:pPr>
      <w:r>
        <w:rPr>
          <w:rFonts w:cs="Times New Roman"/>
          <w:szCs w:val="24"/>
          <w:vertAlign w:val="superscript"/>
        </w:rPr>
        <w:t>5</w:t>
      </w:r>
      <w:r>
        <w:rPr>
          <w:bCs/>
        </w:rPr>
        <w:t xml:space="preserve">Natural </w:t>
      </w:r>
      <w:r>
        <w:t>Resources Defense Council,</w:t>
      </w:r>
      <w:r w:rsidRPr="00216493">
        <w:t xml:space="preserve"> </w:t>
      </w:r>
      <w:r>
        <w:t xml:space="preserve">New York, NY, </w:t>
      </w:r>
      <w:r w:rsidR="002833E6">
        <w:t>United States</w:t>
      </w:r>
    </w:p>
    <w:p w14:paraId="4DEF3524" w14:textId="6097AAE0" w:rsidR="00194887" w:rsidRPr="00376CC5" w:rsidRDefault="00194887" w:rsidP="00194887">
      <w:pPr>
        <w:spacing w:before="240" w:after="0"/>
        <w:rPr>
          <w:rFonts w:cs="Times New Roman"/>
          <w:b/>
          <w:szCs w:val="24"/>
        </w:rPr>
      </w:pPr>
      <w:r w:rsidRPr="00376CC5">
        <w:rPr>
          <w:rFonts w:cs="Times New Roman"/>
          <w:b/>
          <w:szCs w:val="24"/>
        </w:rPr>
        <w:t>* Correspondence:</w:t>
      </w:r>
      <w:r w:rsidR="00964C40">
        <w:rPr>
          <w:rFonts w:cs="Times New Roman"/>
          <w:b/>
          <w:szCs w:val="24"/>
        </w:rPr>
        <w:br/>
      </w:r>
      <w:r>
        <w:rPr>
          <w:rFonts w:cs="Times New Roman"/>
          <w:szCs w:val="24"/>
        </w:rPr>
        <w:t xml:space="preserve">Rebecca Loomis, </w:t>
      </w:r>
      <w:r w:rsidRPr="00216493">
        <w:t>rebecca.loomis@yale.edu</w:t>
      </w:r>
    </w:p>
    <w:p w14:paraId="6D0B1A96" w14:textId="77777777" w:rsidR="00C45CD9" w:rsidRPr="00C45CD9" w:rsidRDefault="00C45CD9" w:rsidP="00444A04"/>
    <w:p w14:paraId="1C3F83E4" w14:textId="77777777" w:rsidR="00C45CD9" w:rsidRDefault="00C45CD9">
      <w:pPr>
        <w:spacing w:before="0" w:after="200" w:line="276" w:lineRule="auto"/>
        <w:rPr>
          <w:rFonts w:cs="Times New Roman"/>
          <w:szCs w:val="24"/>
        </w:rPr>
      </w:pPr>
      <w:r>
        <w:rPr>
          <w:rFonts w:cs="Times New Roman"/>
          <w:szCs w:val="24"/>
        </w:rPr>
        <w:br w:type="page"/>
      </w:r>
    </w:p>
    <w:p w14:paraId="265A6D29" w14:textId="1AAAA46F" w:rsidR="00C725E7" w:rsidRDefault="00C725E7" w:rsidP="00C725E7">
      <w:pPr>
        <w:rPr>
          <w:rFonts w:eastAsia="Times New Roman" w:cs="Times New Roman"/>
          <w:color w:val="000000"/>
          <w:szCs w:val="24"/>
        </w:rPr>
      </w:pPr>
      <w:r w:rsidRPr="00444A04">
        <w:rPr>
          <w:rFonts w:cs="Times New Roman"/>
          <w:b/>
          <w:bCs/>
          <w:szCs w:val="24"/>
        </w:rPr>
        <w:lastRenderedPageBreak/>
        <w:t>Table 1.</w:t>
      </w:r>
      <w:r w:rsidRPr="00E36A51">
        <w:rPr>
          <w:rFonts w:cs="Times New Roman"/>
          <w:szCs w:val="24"/>
        </w:rPr>
        <w:t xml:space="preserve"> </w:t>
      </w:r>
      <w:r>
        <w:rPr>
          <w:rFonts w:eastAsia="Times New Roman" w:cs="Times New Roman"/>
          <w:color w:val="000000"/>
          <w:szCs w:val="24"/>
        </w:rPr>
        <w:t>Core principles for a research code of conduct</w:t>
      </w:r>
      <w:r w:rsidR="00C45CD9">
        <w:rPr>
          <w:rFonts w:eastAsia="Times New Roman" w:cs="Times New Roman"/>
          <w:color w:val="000000"/>
          <w:szCs w:val="24"/>
        </w:rPr>
        <w:t>.</w:t>
      </w:r>
      <w:r>
        <w:rPr>
          <w:rFonts w:eastAsia="Times New Roman" w:cs="Times New Roman"/>
          <w:szCs w:val="24"/>
        </w:rPr>
        <w:t xml:space="preserve"> </w:t>
      </w:r>
      <w:r w:rsidR="00C45CD9">
        <w:rPr>
          <w:rFonts w:cs="Times New Roman"/>
          <w:szCs w:val="24"/>
        </w:rPr>
        <w:t>E</w:t>
      </w:r>
      <w:r w:rsidR="00BD505D" w:rsidRPr="00E36A51">
        <w:rPr>
          <w:rFonts w:eastAsia="Times New Roman" w:cs="Times New Roman"/>
          <w:color w:val="000000"/>
          <w:szCs w:val="24"/>
        </w:rPr>
        <w:t>xample language</w:t>
      </w:r>
      <w:r w:rsidR="00BD505D">
        <w:rPr>
          <w:rFonts w:eastAsia="Times New Roman" w:cs="Times New Roman"/>
          <w:color w:val="000000"/>
          <w:szCs w:val="24"/>
        </w:rPr>
        <w:t xml:space="preserve"> from the codes of conduct reviewed for each of</w:t>
      </w:r>
      <w:r w:rsidR="00BD505D">
        <w:rPr>
          <w:rFonts w:cs="Times New Roman"/>
          <w:szCs w:val="24"/>
        </w:rPr>
        <w:t xml:space="preserve"> the </w:t>
      </w:r>
      <w:r>
        <w:rPr>
          <w:rFonts w:eastAsia="Times New Roman" w:cs="Times New Roman"/>
          <w:color w:val="000000"/>
          <w:szCs w:val="24"/>
        </w:rPr>
        <w:t>e</w:t>
      </w:r>
      <w:r w:rsidRPr="00E36A51">
        <w:rPr>
          <w:rFonts w:eastAsia="Times New Roman" w:cs="Times New Roman"/>
          <w:color w:val="000000"/>
          <w:szCs w:val="24"/>
        </w:rPr>
        <w:t xml:space="preserve">lements </w:t>
      </w:r>
      <w:r w:rsidRPr="00E36A51">
        <w:rPr>
          <w:rFonts w:eastAsia="Times New Roman" w:cs="Times New Roman"/>
          <w:szCs w:val="24"/>
        </w:rPr>
        <w:t>for code implementation</w:t>
      </w:r>
      <w:r w:rsidR="00BD505D">
        <w:rPr>
          <w:rFonts w:eastAsia="Times New Roman" w:cs="Times New Roman"/>
          <w:color w:val="000000"/>
          <w:szCs w:val="24"/>
        </w:rPr>
        <w:t xml:space="preserve">, </w:t>
      </w:r>
      <w:r>
        <w:rPr>
          <w:rFonts w:eastAsia="Times New Roman" w:cs="Times New Roman"/>
          <w:color w:val="000000"/>
          <w:szCs w:val="24"/>
        </w:rPr>
        <w:t>principles for responsible research</w:t>
      </w:r>
      <w:r w:rsidR="00BD505D">
        <w:rPr>
          <w:rFonts w:eastAsia="Times New Roman" w:cs="Times New Roman"/>
          <w:color w:val="000000"/>
          <w:szCs w:val="24"/>
        </w:rPr>
        <w:t>, and provisions for equity and fairness listed in Figure 1.</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665"/>
      </w:tblGrid>
      <w:tr w:rsidR="00C725E7" w:rsidRPr="00E36A51" w14:paraId="4591FB0C" w14:textId="77777777" w:rsidTr="00444A04">
        <w:trPr>
          <w:trHeight w:val="315"/>
        </w:trPr>
        <w:tc>
          <w:tcPr>
            <w:tcW w:w="4695" w:type="dxa"/>
            <w:tcBorders>
              <w:top w:val="single" w:sz="12" w:space="0" w:color="auto"/>
              <w:left w:val="nil"/>
              <w:bottom w:val="single" w:sz="6" w:space="0" w:color="000000"/>
              <w:right w:val="single" w:sz="6" w:space="0" w:color="000000"/>
            </w:tcBorders>
          </w:tcPr>
          <w:p w14:paraId="714AE65C" w14:textId="77777777" w:rsidR="00C725E7" w:rsidRPr="00E36A51" w:rsidRDefault="00C725E7" w:rsidP="00CD42E2">
            <w:pPr>
              <w:spacing w:after="0"/>
              <w:rPr>
                <w:rFonts w:eastAsia="Times New Roman" w:cs="Times New Roman"/>
                <w:b/>
                <w:szCs w:val="24"/>
              </w:rPr>
            </w:pPr>
            <w:r w:rsidRPr="00E36A51">
              <w:rPr>
                <w:rFonts w:eastAsia="Times New Roman" w:cs="Times New Roman"/>
                <w:b/>
                <w:szCs w:val="24"/>
              </w:rPr>
              <w:t>Elements for code implementation</w:t>
            </w:r>
          </w:p>
        </w:tc>
        <w:tc>
          <w:tcPr>
            <w:tcW w:w="4665" w:type="dxa"/>
            <w:tcBorders>
              <w:top w:val="single" w:sz="12" w:space="0" w:color="auto"/>
              <w:left w:val="single" w:sz="6" w:space="0" w:color="CCCCCC"/>
              <w:bottom w:val="single" w:sz="6" w:space="0" w:color="000000"/>
              <w:right w:val="nil"/>
            </w:tcBorders>
          </w:tcPr>
          <w:p w14:paraId="61744BEF" w14:textId="7E7DD95C" w:rsidR="00C725E7" w:rsidRPr="00E36A51" w:rsidRDefault="00C725E7" w:rsidP="00CD42E2">
            <w:pPr>
              <w:spacing w:after="0"/>
              <w:rPr>
                <w:rFonts w:eastAsia="Times New Roman" w:cs="Times New Roman"/>
                <w:b/>
                <w:szCs w:val="24"/>
              </w:rPr>
            </w:pPr>
            <w:r w:rsidRPr="00E36A51">
              <w:rPr>
                <w:rFonts w:eastAsia="Times New Roman" w:cs="Times New Roman"/>
                <w:b/>
                <w:szCs w:val="24"/>
              </w:rPr>
              <w:t>Example</w:t>
            </w:r>
            <w:r w:rsidR="00906F9D">
              <w:rPr>
                <w:rFonts w:eastAsia="Times New Roman" w:cs="Times New Roman"/>
                <w:b/>
                <w:szCs w:val="24"/>
              </w:rPr>
              <w:t>s</w:t>
            </w:r>
          </w:p>
        </w:tc>
      </w:tr>
      <w:tr w:rsidR="00C725E7" w:rsidRPr="00E36A51" w14:paraId="3CDA4AF6" w14:textId="77777777" w:rsidTr="00444A04">
        <w:trPr>
          <w:trHeight w:val="315"/>
        </w:trPr>
        <w:tc>
          <w:tcPr>
            <w:tcW w:w="4695" w:type="dxa"/>
            <w:tcBorders>
              <w:top w:val="single" w:sz="6" w:space="0" w:color="CCCCCC"/>
              <w:left w:val="nil"/>
              <w:bottom w:val="single" w:sz="6" w:space="0" w:color="000000"/>
              <w:right w:val="single" w:sz="6" w:space="0" w:color="000000"/>
            </w:tcBorders>
          </w:tcPr>
          <w:p w14:paraId="0C58D26E"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Definition of purpose of code</w:t>
            </w:r>
          </w:p>
        </w:tc>
        <w:tc>
          <w:tcPr>
            <w:tcW w:w="4665" w:type="dxa"/>
            <w:tcBorders>
              <w:top w:val="single" w:sz="6" w:space="0" w:color="000000"/>
              <w:left w:val="single" w:sz="6" w:space="0" w:color="CCCCCC"/>
              <w:bottom w:val="single" w:sz="12" w:space="0" w:color="auto"/>
              <w:right w:val="nil"/>
            </w:tcBorders>
            <w:vAlign w:val="bottom"/>
          </w:tcPr>
          <w:p w14:paraId="468D7BFC" w14:textId="21D5F631" w:rsidR="00C725E7" w:rsidRPr="00E36A51" w:rsidRDefault="00C725E7" w:rsidP="00CD42E2">
            <w:pPr>
              <w:spacing w:after="0"/>
              <w:rPr>
                <w:rFonts w:eastAsia="Times New Roman" w:cs="Times New Roman"/>
                <w:szCs w:val="24"/>
              </w:rPr>
            </w:pPr>
            <w:r w:rsidRPr="00E36A51">
              <w:rPr>
                <w:rFonts w:eastAsia="Times New Roman" w:cs="Times New Roman"/>
                <w:szCs w:val="24"/>
              </w:rPr>
              <w:t xml:space="preserve">“The </w:t>
            </w:r>
            <w:proofErr w:type="gramStart"/>
            <w:r w:rsidRPr="00E36A51">
              <w:rPr>
                <w:rFonts w:eastAsia="Times New Roman" w:cs="Times New Roman"/>
                <w:szCs w:val="24"/>
              </w:rPr>
              <w:t>Principles</w:t>
            </w:r>
            <w:proofErr w:type="gramEnd"/>
            <w:r w:rsidRPr="00E36A51">
              <w:rPr>
                <w:rFonts w:eastAsia="Times New Roman" w:cs="Times New Roman"/>
                <w:szCs w:val="24"/>
              </w:rPr>
              <w:t xml:space="preserve"> are intended to guide the development of geoengineering techniques from early research to the point where they may be availab</w:t>
            </w:r>
            <w:r>
              <w:rPr>
                <w:rFonts w:eastAsia="Times New Roman" w:cs="Times New Roman"/>
                <w:szCs w:val="24"/>
              </w:rPr>
              <w:t>le for eventual deployment.” (</w:t>
            </w:r>
            <w:r w:rsidRPr="00E36A51">
              <w:rPr>
                <w:rFonts w:eastAsia="Times New Roman" w:cs="Times New Roman"/>
                <w:szCs w:val="24"/>
              </w:rPr>
              <w:t xml:space="preserve">Oxford Geoengineering </w:t>
            </w:r>
            <w:proofErr w:type="spellStart"/>
            <w:r w:rsidRPr="00E36A51">
              <w:rPr>
                <w:rFonts w:eastAsia="Times New Roman" w:cs="Times New Roman"/>
                <w:szCs w:val="24"/>
              </w:rPr>
              <w:t>Programme</w:t>
            </w:r>
            <w:proofErr w:type="spellEnd"/>
            <w:r w:rsidR="009967CF">
              <w:rPr>
                <w:rFonts w:eastAsia="Times New Roman" w:cs="Times New Roman"/>
                <w:szCs w:val="24"/>
              </w:rPr>
              <w:t>,</w:t>
            </w:r>
            <w:r>
              <w:rPr>
                <w:rFonts w:eastAsia="Times New Roman" w:cs="Times New Roman"/>
                <w:szCs w:val="24"/>
              </w:rPr>
              <w:t xml:space="preserve"> 2009)</w:t>
            </w:r>
          </w:p>
        </w:tc>
      </w:tr>
      <w:tr w:rsidR="00C725E7" w:rsidRPr="00E36A51" w14:paraId="6D0D1DAE" w14:textId="77777777" w:rsidTr="00444A04">
        <w:trPr>
          <w:trHeight w:val="315"/>
        </w:trPr>
        <w:tc>
          <w:tcPr>
            <w:tcW w:w="4695" w:type="dxa"/>
            <w:tcBorders>
              <w:top w:val="single" w:sz="6" w:space="0" w:color="CCCCCC"/>
              <w:left w:val="nil"/>
              <w:bottom w:val="single" w:sz="6" w:space="0" w:color="000000"/>
              <w:right w:val="single" w:sz="6" w:space="0" w:color="000000"/>
            </w:tcBorders>
          </w:tcPr>
          <w:p w14:paraId="1D7AA619"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Definition of scope of code</w:t>
            </w:r>
          </w:p>
        </w:tc>
        <w:tc>
          <w:tcPr>
            <w:tcW w:w="4665" w:type="dxa"/>
            <w:tcBorders>
              <w:top w:val="single" w:sz="12" w:space="0" w:color="auto"/>
              <w:left w:val="single" w:sz="6" w:space="0" w:color="CCCCCC"/>
              <w:bottom w:val="single" w:sz="6" w:space="0" w:color="000000"/>
              <w:right w:val="nil"/>
            </w:tcBorders>
            <w:vAlign w:val="bottom"/>
          </w:tcPr>
          <w:p w14:paraId="0542C1B0" w14:textId="622054E6" w:rsidR="00C725E7" w:rsidRPr="00E36A51" w:rsidRDefault="00C725E7" w:rsidP="00CD42E2">
            <w:pPr>
              <w:spacing w:after="0"/>
              <w:rPr>
                <w:rFonts w:eastAsia="Times New Roman" w:cs="Times New Roman"/>
                <w:szCs w:val="24"/>
              </w:rPr>
            </w:pPr>
            <w:r w:rsidRPr="00E36A51">
              <w:rPr>
                <w:rFonts w:eastAsia="Times New Roman" w:cs="Times New Roman"/>
                <w:szCs w:val="24"/>
              </w:rPr>
              <w:t>“This code calls for implementation and compliance of awareness, accountability and oversight and targets all those engaged in life sciences activities: laboratory workers, manag</w:t>
            </w:r>
            <w:r>
              <w:rPr>
                <w:rFonts w:eastAsia="Times New Roman" w:cs="Times New Roman"/>
                <w:szCs w:val="24"/>
              </w:rPr>
              <w:t xml:space="preserve">ers, stakeholders and others.” (Rohde </w:t>
            </w:r>
            <w:r w:rsidRPr="009967CF">
              <w:rPr>
                <w:rFonts w:eastAsia="Times New Roman" w:cs="Times New Roman"/>
                <w:szCs w:val="24"/>
              </w:rPr>
              <w:t>et al.</w:t>
            </w:r>
            <w:r w:rsidR="009967CF">
              <w:rPr>
                <w:rFonts w:eastAsia="Times New Roman" w:cs="Times New Roman"/>
                <w:szCs w:val="24"/>
              </w:rPr>
              <w:t>,</w:t>
            </w:r>
            <w:r>
              <w:rPr>
                <w:rFonts w:eastAsia="Times New Roman" w:cs="Times New Roman"/>
                <w:szCs w:val="24"/>
              </w:rPr>
              <w:t xml:space="preserve"> 2013)</w:t>
            </w:r>
          </w:p>
        </w:tc>
      </w:tr>
      <w:tr w:rsidR="00C725E7" w:rsidRPr="00E36A51" w14:paraId="6C19AAFA" w14:textId="77777777" w:rsidTr="00444A04">
        <w:trPr>
          <w:trHeight w:val="315"/>
        </w:trPr>
        <w:tc>
          <w:tcPr>
            <w:tcW w:w="4695" w:type="dxa"/>
            <w:tcBorders>
              <w:top w:val="single" w:sz="6" w:space="0" w:color="CCCCCC"/>
              <w:left w:val="nil"/>
              <w:bottom w:val="single" w:sz="6" w:space="0" w:color="000000"/>
              <w:right w:val="single" w:sz="6" w:space="0" w:color="000000"/>
            </w:tcBorders>
          </w:tcPr>
          <w:p w14:paraId="2B388483"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Guiding or interpretative principles</w:t>
            </w:r>
          </w:p>
        </w:tc>
        <w:tc>
          <w:tcPr>
            <w:tcW w:w="4665" w:type="dxa"/>
            <w:tcBorders>
              <w:top w:val="single" w:sz="6" w:space="0" w:color="CCCCCC"/>
              <w:left w:val="single" w:sz="6" w:space="0" w:color="CCCCCC"/>
              <w:bottom w:val="single" w:sz="6" w:space="0" w:color="000000"/>
              <w:right w:val="nil"/>
            </w:tcBorders>
          </w:tcPr>
          <w:p w14:paraId="32406970" w14:textId="61F8B851" w:rsidR="00C725E7" w:rsidRPr="00E36A51" w:rsidRDefault="00C725E7" w:rsidP="00CD42E2">
            <w:pPr>
              <w:spacing w:after="0"/>
              <w:rPr>
                <w:rFonts w:eastAsia="Times New Roman" w:cs="Times New Roman"/>
                <w:szCs w:val="24"/>
              </w:rPr>
            </w:pPr>
            <w:r w:rsidRPr="00E36A51">
              <w:rPr>
                <w:rFonts w:eastAsia="Times New Roman" w:cs="Times New Roman"/>
                <w:szCs w:val="24"/>
              </w:rPr>
              <w:t>“[</w:t>
            </w:r>
            <w:proofErr w:type="spellStart"/>
            <w:r w:rsidRPr="00E36A51">
              <w:rPr>
                <w:rFonts w:eastAsia="Times New Roman" w:cs="Times New Roman"/>
                <w:szCs w:val="24"/>
              </w:rPr>
              <w:t>Nanosciences</w:t>
            </w:r>
            <w:proofErr w:type="spellEnd"/>
            <w:r w:rsidRPr="00E36A51">
              <w:rPr>
                <w:rFonts w:eastAsia="Times New Roman" w:cs="Times New Roman"/>
                <w:szCs w:val="24"/>
              </w:rPr>
              <w:t xml:space="preserve"> and nanotechnologies] research activities should be conducted in accordance with the</w:t>
            </w:r>
            <w:r>
              <w:rPr>
                <w:rFonts w:eastAsia="Times New Roman" w:cs="Times New Roman"/>
                <w:szCs w:val="24"/>
              </w:rPr>
              <w:t xml:space="preserve"> precautionary principle...”</w:t>
            </w:r>
            <w:r>
              <w:rPr>
                <w:rFonts w:eastAsia="Times New Roman" w:cs="Times New Roman"/>
                <w:szCs w:val="24"/>
                <w:vertAlign w:val="superscript"/>
              </w:rPr>
              <w:t xml:space="preserve"> </w:t>
            </w:r>
            <w:r>
              <w:rPr>
                <w:rFonts w:eastAsia="Times New Roman" w:cs="Times New Roman"/>
                <w:szCs w:val="24"/>
              </w:rPr>
              <w:t>(E</w:t>
            </w:r>
            <w:r w:rsidRPr="00E36A51">
              <w:rPr>
                <w:rFonts w:eastAsia="Times New Roman" w:cs="Times New Roman"/>
                <w:szCs w:val="24"/>
              </w:rPr>
              <w:t>uropean Commission</w:t>
            </w:r>
            <w:r w:rsidR="001D020A">
              <w:rPr>
                <w:rFonts w:eastAsia="Times New Roman" w:cs="Times New Roman"/>
                <w:szCs w:val="24"/>
              </w:rPr>
              <w:t>,</w:t>
            </w:r>
            <w:r>
              <w:rPr>
                <w:rFonts w:eastAsia="Times New Roman" w:cs="Times New Roman"/>
                <w:szCs w:val="24"/>
              </w:rPr>
              <w:t xml:space="preserve"> 2009)</w:t>
            </w:r>
          </w:p>
        </w:tc>
      </w:tr>
      <w:tr w:rsidR="00C725E7" w:rsidRPr="00E36A51" w14:paraId="76441BDA" w14:textId="77777777" w:rsidTr="00444A04">
        <w:trPr>
          <w:trHeight w:val="315"/>
        </w:trPr>
        <w:tc>
          <w:tcPr>
            <w:tcW w:w="4695" w:type="dxa"/>
            <w:tcBorders>
              <w:top w:val="single" w:sz="6" w:space="0" w:color="CCCCCC"/>
              <w:left w:val="nil"/>
              <w:bottom w:val="single" w:sz="6" w:space="0" w:color="000000"/>
              <w:right w:val="single" w:sz="6" w:space="0" w:color="000000"/>
            </w:tcBorders>
          </w:tcPr>
          <w:p w14:paraId="2FC128FD"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Definitions of key terms</w:t>
            </w:r>
          </w:p>
        </w:tc>
        <w:tc>
          <w:tcPr>
            <w:tcW w:w="4665" w:type="dxa"/>
            <w:tcBorders>
              <w:top w:val="single" w:sz="6" w:space="0" w:color="CCCCCC"/>
              <w:left w:val="single" w:sz="6" w:space="0" w:color="CCCCCC"/>
              <w:bottom w:val="single" w:sz="6" w:space="0" w:color="000000"/>
              <w:right w:val="nil"/>
            </w:tcBorders>
            <w:shd w:val="clear" w:color="auto" w:fill="auto"/>
          </w:tcPr>
          <w:p w14:paraId="204E489B" w14:textId="6B2E4C19" w:rsidR="00C725E7" w:rsidRPr="007E2A7B" w:rsidRDefault="00C725E7" w:rsidP="00CD42E2">
            <w:pPr>
              <w:spacing w:after="0"/>
              <w:rPr>
                <w:rFonts w:eastAsia="Times New Roman" w:cs="Times New Roman"/>
                <w:szCs w:val="24"/>
              </w:rPr>
            </w:pPr>
            <w:r w:rsidRPr="007E2A7B">
              <w:rPr>
                <w:rFonts w:eastAsia="Times New Roman" w:cs="Times New Roman"/>
                <w:szCs w:val="24"/>
              </w:rPr>
              <w:t xml:space="preserve">“Transparency means having study information accessible to those having an interest in the study results, either as individuals or representatives of a group” (Kurz </w:t>
            </w:r>
            <w:r w:rsidRPr="001D020A">
              <w:rPr>
                <w:rFonts w:eastAsia="Times New Roman" w:cs="Times New Roman"/>
                <w:szCs w:val="24"/>
              </w:rPr>
              <w:t>et al.</w:t>
            </w:r>
            <w:r w:rsidR="001D020A">
              <w:rPr>
                <w:rFonts w:eastAsia="Times New Roman" w:cs="Times New Roman"/>
                <w:szCs w:val="24"/>
              </w:rPr>
              <w:t>,</w:t>
            </w:r>
            <w:r w:rsidRPr="007E2A7B">
              <w:rPr>
                <w:rFonts w:eastAsia="Times New Roman" w:cs="Times New Roman"/>
                <w:szCs w:val="24"/>
              </w:rPr>
              <w:t xml:space="preserve"> 2017)</w:t>
            </w:r>
          </w:p>
        </w:tc>
      </w:tr>
      <w:tr w:rsidR="00C725E7" w:rsidRPr="00E36A51" w14:paraId="0F788594" w14:textId="77777777" w:rsidTr="00444A04">
        <w:trPr>
          <w:trHeight w:val="315"/>
        </w:trPr>
        <w:tc>
          <w:tcPr>
            <w:tcW w:w="4695" w:type="dxa"/>
            <w:tcBorders>
              <w:top w:val="single" w:sz="6" w:space="0" w:color="CCCCCC"/>
              <w:left w:val="nil"/>
              <w:bottom w:val="single" w:sz="12" w:space="0" w:color="auto"/>
              <w:right w:val="single" w:sz="6" w:space="0" w:color="000000"/>
            </w:tcBorders>
          </w:tcPr>
          <w:p w14:paraId="2DED6738"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Flexibility or adaptability provisions for code</w:t>
            </w:r>
          </w:p>
        </w:tc>
        <w:tc>
          <w:tcPr>
            <w:tcW w:w="4665" w:type="dxa"/>
            <w:tcBorders>
              <w:top w:val="single" w:sz="6" w:space="0" w:color="CCCCCC"/>
              <w:left w:val="single" w:sz="6" w:space="0" w:color="CCCCCC"/>
              <w:bottom w:val="single" w:sz="12" w:space="0" w:color="auto"/>
              <w:right w:val="nil"/>
            </w:tcBorders>
          </w:tcPr>
          <w:p w14:paraId="079D8DEA" w14:textId="1B0AD43E" w:rsidR="00C725E7" w:rsidRDefault="00C725E7" w:rsidP="00CD42E2">
            <w:pPr>
              <w:spacing w:after="0"/>
              <w:rPr>
                <w:rFonts w:eastAsia="Times New Roman" w:cs="Times New Roman"/>
                <w:szCs w:val="24"/>
              </w:rPr>
            </w:pPr>
            <w:r w:rsidRPr="00E36A51">
              <w:rPr>
                <w:rFonts w:eastAsia="Times New Roman" w:cs="Times New Roman"/>
                <w:szCs w:val="24"/>
              </w:rPr>
              <w:t>“This Code of Conduct should be applied taking a flexible and adaptive approach in t</w:t>
            </w:r>
            <w:r>
              <w:rPr>
                <w:rFonts w:eastAsia="Times New Roman" w:cs="Times New Roman"/>
                <w:szCs w:val="24"/>
              </w:rPr>
              <w:t>he light of new information...” (Hubert</w:t>
            </w:r>
            <w:r w:rsidR="001D020A">
              <w:rPr>
                <w:rFonts w:eastAsia="Times New Roman" w:cs="Times New Roman"/>
                <w:szCs w:val="24"/>
              </w:rPr>
              <w:t>,</w:t>
            </w:r>
            <w:r>
              <w:rPr>
                <w:rFonts w:eastAsia="Times New Roman" w:cs="Times New Roman"/>
                <w:szCs w:val="24"/>
              </w:rPr>
              <w:t xml:space="preserve"> 2017)</w:t>
            </w:r>
          </w:p>
          <w:p w14:paraId="4259F0D2" w14:textId="77777777" w:rsidR="00C725E7" w:rsidRPr="00E36A51" w:rsidRDefault="00C725E7" w:rsidP="00CD42E2">
            <w:pPr>
              <w:spacing w:after="0"/>
              <w:rPr>
                <w:rFonts w:eastAsia="Times New Roman" w:cs="Times New Roman"/>
                <w:szCs w:val="24"/>
              </w:rPr>
            </w:pPr>
          </w:p>
        </w:tc>
      </w:tr>
      <w:tr w:rsidR="00E81F96" w:rsidRPr="00E36A51" w14:paraId="53115499" w14:textId="77777777" w:rsidTr="00444A04">
        <w:trPr>
          <w:trHeight w:val="315"/>
        </w:trPr>
        <w:tc>
          <w:tcPr>
            <w:tcW w:w="4695" w:type="dxa"/>
            <w:tcBorders>
              <w:top w:val="single" w:sz="12" w:space="0" w:color="auto"/>
              <w:left w:val="nil"/>
              <w:bottom w:val="single" w:sz="12" w:space="0" w:color="auto"/>
              <w:right w:val="nil"/>
            </w:tcBorders>
          </w:tcPr>
          <w:p w14:paraId="0922B4DB" w14:textId="77777777" w:rsidR="00E81F96" w:rsidRPr="00E36A51" w:rsidRDefault="00E81F96" w:rsidP="00CD42E2">
            <w:pPr>
              <w:spacing w:after="0"/>
              <w:rPr>
                <w:rFonts w:eastAsia="Times New Roman" w:cs="Times New Roman"/>
                <w:b/>
                <w:szCs w:val="24"/>
              </w:rPr>
            </w:pPr>
          </w:p>
        </w:tc>
        <w:tc>
          <w:tcPr>
            <w:tcW w:w="4665" w:type="dxa"/>
            <w:tcBorders>
              <w:top w:val="single" w:sz="12" w:space="0" w:color="auto"/>
              <w:left w:val="nil"/>
              <w:bottom w:val="single" w:sz="12" w:space="0" w:color="auto"/>
              <w:right w:val="nil"/>
            </w:tcBorders>
          </w:tcPr>
          <w:p w14:paraId="1380E657" w14:textId="77777777" w:rsidR="00E81F96" w:rsidRPr="00E36A51" w:rsidRDefault="00E81F96" w:rsidP="00CD42E2">
            <w:pPr>
              <w:spacing w:after="0"/>
              <w:rPr>
                <w:rFonts w:eastAsia="Times New Roman" w:cs="Times New Roman"/>
                <w:b/>
                <w:szCs w:val="24"/>
              </w:rPr>
            </w:pPr>
          </w:p>
        </w:tc>
      </w:tr>
      <w:tr w:rsidR="00C725E7" w:rsidRPr="00E36A51" w14:paraId="2E1AF793" w14:textId="77777777" w:rsidTr="00444A04">
        <w:trPr>
          <w:trHeight w:val="315"/>
        </w:trPr>
        <w:tc>
          <w:tcPr>
            <w:tcW w:w="4695" w:type="dxa"/>
            <w:tcBorders>
              <w:top w:val="single" w:sz="12" w:space="0" w:color="auto"/>
              <w:left w:val="nil"/>
              <w:bottom w:val="single" w:sz="8" w:space="0" w:color="auto"/>
              <w:right w:val="single" w:sz="6" w:space="0" w:color="000000"/>
            </w:tcBorders>
          </w:tcPr>
          <w:p w14:paraId="1DA937B7" w14:textId="212523B9" w:rsidR="00C725E7" w:rsidRPr="00E36A51" w:rsidRDefault="00C725E7" w:rsidP="00CD42E2">
            <w:pPr>
              <w:spacing w:after="0"/>
              <w:rPr>
                <w:rFonts w:eastAsia="Times New Roman" w:cs="Times New Roman"/>
                <w:szCs w:val="24"/>
              </w:rPr>
            </w:pPr>
            <w:r w:rsidRPr="00E36A51">
              <w:rPr>
                <w:rFonts w:eastAsia="Times New Roman" w:cs="Times New Roman"/>
                <w:b/>
                <w:szCs w:val="24"/>
              </w:rPr>
              <w:t>Principles for responsible research</w:t>
            </w:r>
          </w:p>
        </w:tc>
        <w:tc>
          <w:tcPr>
            <w:tcW w:w="4665" w:type="dxa"/>
            <w:tcBorders>
              <w:top w:val="single" w:sz="12" w:space="0" w:color="auto"/>
              <w:left w:val="single" w:sz="6" w:space="0" w:color="CCCCCC"/>
              <w:bottom w:val="single" w:sz="8" w:space="0" w:color="auto"/>
              <w:right w:val="nil"/>
            </w:tcBorders>
          </w:tcPr>
          <w:p w14:paraId="7FCB1CC0" w14:textId="61A7D397" w:rsidR="00C725E7" w:rsidRPr="00E36A51" w:rsidRDefault="00C725E7" w:rsidP="00CD42E2">
            <w:pPr>
              <w:spacing w:after="0"/>
              <w:rPr>
                <w:rFonts w:eastAsia="Times New Roman" w:cs="Times New Roman"/>
                <w:szCs w:val="24"/>
              </w:rPr>
            </w:pPr>
            <w:r w:rsidRPr="00E36A51">
              <w:rPr>
                <w:rFonts w:eastAsia="Times New Roman" w:cs="Times New Roman"/>
                <w:b/>
                <w:szCs w:val="24"/>
              </w:rPr>
              <w:t>Example</w:t>
            </w:r>
            <w:r w:rsidR="00686C14">
              <w:rPr>
                <w:rFonts w:eastAsia="Times New Roman" w:cs="Times New Roman"/>
                <w:b/>
                <w:szCs w:val="24"/>
              </w:rPr>
              <w:t>s</w:t>
            </w:r>
          </w:p>
        </w:tc>
      </w:tr>
      <w:tr w:rsidR="00C725E7" w:rsidRPr="00E36A51" w14:paraId="79BEE85A" w14:textId="77777777" w:rsidTr="00444A04">
        <w:trPr>
          <w:trHeight w:val="315"/>
        </w:trPr>
        <w:tc>
          <w:tcPr>
            <w:tcW w:w="4695" w:type="dxa"/>
            <w:tcBorders>
              <w:top w:val="single" w:sz="8" w:space="0" w:color="auto"/>
              <w:left w:val="nil"/>
              <w:bottom w:val="single" w:sz="4" w:space="0" w:color="auto"/>
              <w:right w:val="single" w:sz="6" w:space="0" w:color="000000"/>
            </w:tcBorders>
          </w:tcPr>
          <w:p w14:paraId="5B9885C3" w14:textId="77777777" w:rsidR="00C725E7" w:rsidRPr="00E36A51" w:rsidRDefault="00C725E7" w:rsidP="00CD42E2">
            <w:pPr>
              <w:spacing w:after="0"/>
              <w:rPr>
                <w:rFonts w:eastAsia="Times New Roman" w:cs="Times New Roman"/>
                <w:b/>
                <w:szCs w:val="24"/>
              </w:rPr>
            </w:pPr>
            <w:r w:rsidRPr="00E36A51">
              <w:rPr>
                <w:rFonts w:eastAsia="Times New Roman" w:cs="Times New Roman"/>
                <w:szCs w:val="24"/>
              </w:rPr>
              <w:t>Scientific integrity</w:t>
            </w:r>
          </w:p>
        </w:tc>
        <w:tc>
          <w:tcPr>
            <w:tcW w:w="4665" w:type="dxa"/>
            <w:tcBorders>
              <w:top w:val="single" w:sz="8" w:space="0" w:color="auto"/>
              <w:left w:val="single" w:sz="6" w:space="0" w:color="CCCCCC"/>
              <w:bottom w:val="single" w:sz="4" w:space="0" w:color="auto"/>
              <w:right w:val="nil"/>
            </w:tcBorders>
          </w:tcPr>
          <w:p w14:paraId="05506EFF" w14:textId="2B279C90" w:rsidR="00C725E7" w:rsidRPr="00E36A51" w:rsidRDefault="00C725E7" w:rsidP="00CD42E2">
            <w:pPr>
              <w:spacing w:after="0"/>
              <w:rPr>
                <w:rFonts w:eastAsia="Times New Roman" w:cs="Times New Roman"/>
                <w:b/>
                <w:szCs w:val="24"/>
              </w:rPr>
            </w:pPr>
            <w:r w:rsidRPr="00E36A51">
              <w:rPr>
                <w:rFonts w:eastAsia="Times New Roman" w:cs="Times New Roman"/>
                <w:szCs w:val="24"/>
              </w:rPr>
              <w:t>“Scientific integrity means acting in accordance with the values of science, such as truthfulness, h</w:t>
            </w:r>
            <w:r>
              <w:rPr>
                <w:rFonts w:eastAsia="Times New Roman" w:cs="Times New Roman"/>
                <w:szCs w:val="24"/>
              </w:rPr>
              <w:t xml:space="preserve">onesty and open reporting.” (Kurz </w:t>
            </w:r>
            <w:r w:rsidRPr="001D020A">
              <w:rPr>
                <w:rFonts w:eastAsia="Times New Roman" w:cs="Times New Roman"/>
                <w:szCs w:val="24"/>
              </w:rPr>
              <w:t>et al.</w:t>
            </w:r>
            <w:r w:rsidR="001D020A">
              <w:rPr>
                <w:rFonts w:eastAsia="Times New Roman" w:cs="Times New Roman"/>
                <w:szCs w:val="24"/>
              </w:rPr>
              <w:t>,</w:t>
            </w:r>
            <w:r>
              <w:rPr>
                <w:rFonts w:eastAsia="Times New Roman" w:cs="Times New Roman"/>
                <w:szCs w:val="24"/>
              </w:rPr>
              <w:t xml:space="preserve"> 2017)</w:t>
            </w:r>
          </w:p>
        </w:tc>
      </w:tr>
      <w:tr w:rsidR="00C725E7" w:rsidRPr="00E36A51" w14:paraId="54AFBA78" w14:textId="77777777" w:rsidTr="00444A04">
        <w:trPr>
          <w:trHeight w:val="315"/>
        </w:trPr>
        <w:tc>
          <w:tcPr>
            <w:tcW w:w="4695" w:type="dxa"/>
            <w:tcBorders>
              <w:top w:val="single" w:sz="4" w:space="0" w:color="auto"/>
              <w:left w:val="nil"/>
              <w:bottom w:val="single" w:sz="4" w:space="0" w:color="auto"/>
              <w:right w:val="single" w:sz="6" w:space="0" w:color="000000"/>
            </w:tcBorders>
          </w:tcPr>
          <w:p w14:paraId="2BE4BBFC"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 xml:space="preserve">Provision that </w:t>
            </w:r>
            <w:proofErr w:type="gramStart"/>
            <w:r w:rsidRPr="00E36A51">
              <w:rPr>
                <w:rFonts w:eastAsia="Times New Roman" w:cs="Times New Roman"/>
                <w:szCs w:val="24"/>
              </w:rPr>
              <w:t>research</w:t>
            </w:r>
            <w:proofErr w:type="gramEnd"/>
            <w:r w:rsidRPr="00E36A51">
              <w:rPr>
                <w:rFonts w:eastAsia="Times New Roman" w:cs="Times New Roman"/>
                <w:szCs w:val="24"/>
              </w:rPr>
              <w:t xml:space="preserve"> be justified by a potential benefit</w:t>
            </w:r>
          </w:p>
        </w:tc>
        <w:tc>
          <w:tcPr>
            <w:tcW w:w="4665" w:type="dxa"/>
            <w:tcBorders>
              <w:top w:val="single" w:sz="4" w:space="0" w:color="auto"/>
              <w:left w:val="single" w:sz="6" w:space="0" w:color="CCCCCC"/>
              <w:bottom w:val="single" w:sz="4" w:space="0" w:color="auto"/>
              <w:right w:val="nil"/>
            </w:tcBorders>
          </w:tcPr>
          <w:p w14:paraId="010C6C9F" w14:textId="300353C1" w:rsidR="00C725E7" w:rsidRPr="00E36A51" w:rsidRDefault="00C725E7" w:rsidP="00CD42E2">
            <w:pPr>
              <w:spacing w:after="0"/>
              <w:rPr>
                <w:rFonts w:eastAsia="Times New Roman" w:cs="Times New Roman"/>
                <w:szCs w:val="24"/>
              </w:rPr>
            </w:pPr>
            <w:r w:rsidRPr="00E36A51">
              <w:rPr>
                <w:rFonts w:eastAsia="Times New Roman" w:cs="Times New Roman"/>
                <w:szCs w:val="24"/>
              </w:rPr>
              <w:t>“Promoting the collective benefit of humankind and the environment must be the primary purpose of research conducted to develop and evaluate the potential for climate engineering technologies to moderate or reverse hu</w:t>
            </w:r>
            <w:r>
              <w:rPr>
                <w:rFonts w:eastAsia="Times New Roman" w:cs="Times New Roman"/>
                <w:szCs w:val="24"/>
              </w:rPr>
              <w:t xml:space="preserve">man-induced climate change.” </w:t>
            </w:r>
            <w:r>
              <w:rPr>
                <w:rFonts w:eastAsia="Times New Roman" w:cs="Times New Roman"/>
                <w:szCs w:val="24"/>
              </w:rPr>
              <w:lastRenderedPageBreak/>
              <w:t>(</w:t>
            </w:r>
            <w:r w:rsidRPr="00E36A51">
              <w:rPr>
                <w:rFonts w:eastAsia="Times New Roman" w:cs="Times New Roman"/>
                <w:szCs w:val="24"/>
              </w:rPr>
              <w:t>Asilomar Scientific Orga</w:t>
            </w:r>
            <w:r>
              <w:rPr>
                <w:rFonts w:eastAsia="Times New Roman" w:cs="Times New Roman"/>
                <w:szCs w:val="24"/>
              </w:rPr>
              <w:t>nizing Committee</w:t>
            </w:r>
            <w:r w:rsidR="006A0648">
              <w:rPr>
                <w:rFonts w:eastAsia="Times New Roman" w:cs="Times New Roman"/>
                <w:szCs w:val="24"/>
              </w:rPr>
              <w:t>,</w:t>
            </w:r>
            <w:r>
              <w:rPr>
                <w:rFonts w:eastAsia="Times New Roman" w:cs="Times New Roman"/>
                <w:szCs w:val="24"/>
              </w:rPr>
              <w:t xml:space="preserve"> 2010)</w:t>
            </w:r>
          </w:p>
        </w:tc>
      </w:tr>
      <w:tr w:rsidR="00C725E7" w:rsidRPr="00E36A51" w14:paraId="1541D85C" w14:textId="77777777" w:rsidTr="00444A04">
        <w:trPr>
          <w:trHeight w:val="315"/>
        </w:trPr>
        <w:tc>
          <w:tcPr>
            <w:tcW w:w="4695" w:type="dxa"/>
            <w:tcBorders>
              <w:top w:val="single" w:sz="4" w:space="0" w:color="auto"/>
              <w:left w:val="nil"/>
              <w:bottom w:val="single" w:sz="4" w:space="0" w:color="auto"/>
              <w:right w:val="single" w:sz="6" w:space="0" w:color="000000"/>
            </w:tcBorders>
          </w:tcPr>
          <w:p w14:paraId="74917BF6"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lastRenderedPageBreak/>
              <w:t>Assessment of potential adverse impacts from research</w:t>
            </w:r>
          </w:p>
        </w:tc>
        <w:tc>
          <w:tcPr>
            <w:tcW w:w="4665" w:type="dxa"/>
            <w:tcBorders>
              <w:top w:val="single" w:sz="4" w:space="0" w:color="auto"/>
              <w:left w:val="single" w:sz="6" w:space="0" w:color="CCCCCC"/>
              <w:bottom w:val="single" w:sz="4" w:space="0" w:color="auto"/>
              <w:right w:val="nil"/>
            </w:tcBorders>
          </w:tcPr>
          <w:p w14:paraId="0C4D8707" w14:textId="7FFCC4E6" w:rsidR="00C725E7" w:rsidRPr="00E36A51" w:rsidRDefault="00C725E7" w:rsidP="00CD42E2">
            <w:pPr>
              <w:spacing w:after="0"/>
              <w:rPr>
                <w:rFonts w:eastAsia="Times New Roman" w:cs="Times New Roman"/>
                <w:szCs w:val="24"/>
              </w:rPr>
            </w:pPr>
            <w:r w:rsidRPr="00E36A51">
              <w:rPr>
                <w:rFonts w:eastAsia="Times New Roman" w:cs="Times New Roman"/>
                <w:szCs w:val="24"/>
              </w:rPr>
              <w:t>“An assessment of the impacts of geoengineering research should be conducted by a body independent of those undertaking the research; ... assessments should address both the environmental and socio-eco</w:t>
            </w:r>
            <w:r>
              <w:rPr>
                <w:rFonts w:eastAsia="Times New Roman" w:cs="Times New Roman"/>
                <w:szCs w:val="24"/>
              </w:rPr>
              <w:t>nomic impacts of research.” (</w:t>
            </w:r>
            <w:r w:rsidRPr="00E36A51">
              <w:rPr>
                <w:rFonts w:eastAsia="Times New Roman" w:cs="Times New Roman"/>
                <w:szCs w:val="24"/>
              </w:rPr>
              <w:t xml:space="preserve">Oxford Geoengineering </w:t>
            </w:r>
            <w:proofErr w:type="spellStart"/>
            <w:r w:rsidRPr="00E36A51">
              <w:rPr>
                <w:rFonts w:eastAsia="Times New Roman" w:cs="Times New Roman"/>
                <w:szCs w:val="24"/>
              </w:rPr>
              <w:t>Programme</w:t>
            </w:r>
            <w:proofErr w:type="spellEnd"/>
            <w:r w:rsidR="006A0648">
              <w:rPr>
                <w:rFonts w:eastAsia="Times New Roman" w:cs="Times New Roman"/>
                <w:szCs w:val="24"/>
              </w:rPr>
              <w:t>,</w:t>
            </w:r>
            <w:r>
              <w:rPr>
                <w:rFonts w:eastAsia="Times New Roman" w:cs="Times New Roman"/>
                <w:szCs w:val="24"/>
              </w:rPr>
              <w:t xml:space="preserve"> 2009)</w:t>
            </w:r>
          </w:p>
        </w:tc>
      </w:tr>
      <w:tr w:rsidR="00C725E7" w:rsidRPr="00E36A51" w14:paraId="0340DECB" w14:textId="77777777" w:rsidTr="00444A04">
        <w:trPr>
          <w:trHeight w:val="315"/>
        </w:trPr>
        <w:tc>
          <w:tcPr>
            <w:tcW w:w="4695" w:type="dxa"/>
            <w:tcBorders>
              <w:top w:val="single" w:sz="4" w:space="0" w:color="auto"/>
              <w:left w:val="nil"/>
              <w:bottom w:val="single" w:sz="4" w:space="0" w:color="auto"/>
              <w:right w:val="single" w:sz="6" w:space="0" w:color="000000"/>
            </w:tcBorders>
          </w:tcPr>
          <w:p w14:paraId="1A15F979"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Minimization of potential harms from research</w:t>
            </w:r>
          </w:p>
        </w:tc>
        <w:tc>
          <w:tcPr>
            <w:tcW w:w="4665" w:type="dxa"/>
            <w:tcBorders>
              <w:top w:val="single" w:sz="4" w:space="0" w:color="auto"/>
              <w:left w:val="single" w:sz="6" w:space="0" w:color="CCCCCC"/>
              <w:bottom w:val="single" w:sz="4" w:space="0" w:color="auto"/>
              <w:right w:val="nil"/>
            </w:tcBorders>
          </w:tcPr>
          <w:p w14:paraId="58104556" w14:textId="10429158" w:rsidR="00C725E7" w:rsidRPr="00E36A51" w:rsidRDefault="00C725E7" w:rsidP="00CD42E2">
            <w:pPr>
              <w:spacing w:after="0"/>
              <w:rPr>
                <w:rFonts w:eastAsia="Times New Roman" w:cs="Times New Roman"/>
                <w:szCs w:val="24"/>
              </w:rPr>
            </w:pPr>
            <w:r w:rsidRPr="00E36A51">
              <w:rPr>
                <w:rFonts w:eastAsia="Times New Roman" w:cs="Times New Roman"/>
                <w:szCs w:val="24"/>
              </w:rPr>
              <w:t>“Data should be collected ... in such manner as to create the minimum disturbance to the marine ecosystem... All marine research activities are subject to the basic principle that the design of the study should provide for protection of the marine life, habitats and ecosystems a</w:t>
            </w:r>
            <w:r>
              <w:rPr>
                <w:rFonts w:eastAsia="Times New Roman" w:cs="Times New Roman"/>
                <w:szCs w:val="24"/>
              </w:rPr>
              <w:t>nd the services they provide.” (OECS</w:t>
            </w:r>
            <w:r w:rsidR="006A0648">
              <w:rPr>
                <w:rFonts w:eastAsia="Times New Roman" w:cs="Times New Roman"/>
                <w:szCs w:val="24"/>
              </w:rPr>
              <w:t>,</w:t>
            </w:r>
            <w:r>
              <w:rPr>
                <w:rFonts w:eastAsia="Times New Roman" w:cs="Times New Roman"/>
                <w:szCs w:val="24"/>
              </w:rPr>
              <w:t xml:space="preserve"> 2016)</w:t>
            </w:r>
          </w:p>
        </w:tc>
      </w:tr>
      <w:tr w:rsidR="00C725E7" w:rsidRPr="00E36A51" w14:paraId="3E3A9E3B" w14:textId="77777777" w:rsidTr="00444A04">
        <w:trPr>
          <w:trHeight w:val="315"/>
        </w:trPr>
        <w:tc>
          <w:tcPr>
            <w:tcW w:w="4695" w:type="dxa"/>
            <w:tcBorders>
              <w:top w:val="single" w:sz="4" w:space="0" w:color="auto"/>
              <w:left w:val="nil"/>
              <w:bottom w:val="single" w:sz="4" w:space="0" w:color="auto"/>
              <w:right w:val="single" w:sz="6" w:space="0" w:color="000000"/>
            </w:tcBorders>
          </w:tcPr>
          <w:p w14:paraId="6AAFD075"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Assignment of responsibility for adverse impacts from research</w:t>
            </w:r>
          </w:p>
        </w:tc>
        <w:tc>
          <w:tcPr>
            <w:tcW w:w="4665" w:type="dxa"/>
            <w:tcBorders>
              <w:top w:val="single" w:sz="4" w:space="0" w:color="auto"/>
              <w:left w:val="single" w:sz="6" w:space="0" w:color="CCCCCC"/>
              <w:bottom w:val="single" w:sz="4" w:space="0" w:color="auto"/>
              <w:right w:val="nil"/>
            </w:tcBorders>
          </w:tcPr>
          <w:p w14:paraId="75DD19FB" w14:textId="52FA3960" w:rsidR="00C725E7" w:rsidRPr="00E36A51" w:rsidRDefault="00C725E7" w:rsidP="00CD42E2">
            <w:pPr>
              <w:spacing w:after="0"/>
              <w:rPr>
                <w:rFonts w:eastAsia="Times New Roman" w:cs="Times New Roman"/>
                <w:szCs w:val="24"/>
              </w:rPr>
            </w:pPr>
            <w:r w:rsidRPr="00E36A51">
              <w:rPr>
                <w:rFonts w:eastAsia="Times New Roman" w:cs="Times New Roman"/>
                <w:szCs w:val="24"/>
              </w:rPr>
              <w:t xml:space="preserve">“Researchers and research </w:t>
            </w:r>
            <w:proofErr w:type="spellStart"/>
            <w:r w:rsidRPr="00E36A51">
              <w:rPr>
                <w:rFonts w:eastAsia="Times New Roman" w:cs="Times New Roman"/>
                <w:szCs w:val="24"/>
              </w:rPr>
              <w:t>organisations</w:t>
            </w:r>
            <w:proofErr w:type="spellEnd"/>
            <w:r w:rsidRPr="00E36A51">
              <w:rPr>
                <w:rFonts w:eastAsia="Times New Roman" w:cs="Times New Roman"/>
                <w:szCs w:val="24"/>
              </w:rPr>
              <w:t xml:space="preserve"> should remain accountable for the social, environmental and human health impacts that their [</w:t>
            </w:r>
            <w:proofErr w:type="spellStart"/>
            <w:r w:rsidRPr="00E36A51">
              <w:rPr>
                <w:rFonts w:eastAsia="Times New Roman" w:cs="Times New Roman"/>
                <w:szCs w:val="24"/>
              </w:rPr>
              <w:t>nanosciences</w:t>
            </w:r>
            <w:proofErr w:type="spellEnd"/>
            <w:r w:rsidRPr="00E36A51">
              <w:rPr>
                <w:rFonts w:eastAsia="Times New Roman" w:cs="Times New Roman"/>
                <w:szCs w:val="24"/>
              </w:rPr>
              <w:t xml:space="preserve"> and nanotechnologies] research may impose on present </w:t>
            </w:r>
            <w:r>
              <w:rPr>
                <w:rFonts w:eastAsia="Times New Roman" w:cs="Times New Roman"/>
                <w:szCs w:val="24"/>
              </w:rPr>
              <w:t>and future generations.” (</w:t>
            </w:r>
            <w:r w:rsidRPr="00E36A51">
              <w:rPr>
                <w:rFonts w:eastAsia="Times New Roman" w:cs="Times New Roman"/>
                <w:szCs w:val="24"/>
              </w:rPr>
              <w:t>European Commission</w:t>
            </w:r>
            <w:r w:rsidR="006A0648">
              <w:rPr>
                <w:rFonts w:eastAsia="Times New Roman" w:cs="Times New Roman"/>
                <w:szCs w:val="24"/>
              </w:rPr>
              <w:t>,</w:t>
            </w:r>
            <w:r>
              <w:rPr>
                <w:rFonts w:eastAsia="Times New Roman" w:cs="Times New Roman"/>
                <w:szCs w:val="24"/>
              </w:rPr>
              <w:t xml:space="preserve"> 2009)</w:t>
            </w:r>
          </w:p>
        </w:tc>
      </w:tr>
      <w:tr w:rsidR="00C725E7" w:rsidRPr="00E36A51" w14:paraId="79A59CC5" w14:textId="77777777" w:rsidTr="00444A04">
        <w:trPr>
          <w:trHeight w:val="315"/>
        </w:trPr>
        <w:tc>
          <w:tcPr>
            <w:tcW w:w="4695" w:type="dxa"/>
            <w:tcBorders>
              <w:top w:val="single" w:sz="4" w:space="0" w:color="auto"/>
              <w:left w:val="nil"/>
              <w:bottom w:val="single" w:sz="4" w:space="0" w:color="auto"/>
              <w:right w:val="single" w:sz="6" w:space="0" w:color="000000"/>
            </w:tcBorders>
          </w:tcPr>
          <w:p w14:paraId="69D51493"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Tiered research structure by scale or methodology</w:t>
            </w:r>
          </w:p>
        </w:tc>
        <w:tc>
          <w:tcPr>
            <w:tcW w:w="4665" w:type="dxa"/>
            <w:tcBorders>
              <w:top w:val="single" w:sz="4" w:space="0" w:color="auto"/>
              <w:left w:val="single" w:sz="6" w:space="0" w:color="CCCCCC"/>
              <w:bottom w:val="single" w:sz="4" w:space="0" w:color="auto"/>
              <w:right w:val="nil"/>
            </w:tcBorders>
          </w:tcPr>
          <w:p w14:paraId="2E832EC2" w14:textId="06C36DD4" w:rsidR="00C725E7" w:rsidRPr="00E36A51" w:rsidRDefault="00C725E7" w:rsidP="00CD42E2">
            <w:pPr>
              <w:spacing w:after="0"/>
              <w:rPr>
                <w:rFonts w:eastAsia="Times New Roman" w:cs="Times New Roman"/>
                <w:szCs w:val="24"/>
              </w:rPr>
            </w:pPr>
            <w:r w:rsidRPr="00E36A51">
              <w:rPr>
                <w:rFonts w:eastAsia="Times New Roman" w:cs="Times New Roman"/>
                <w:szCs w:val="24"/>
              </w:rPr>
              <w:t>“Geoengineering research should be conducted taking a prudent, step-by-step approach…the nature, scale, duration, and intensity of an outdoor experiment on</w:t>
            </w:r>
            <w:r w:rsidRPr="00E36A51">
              <w:rPr>
                <w:rFonts w:eastAsia="Calibri" w:cs="Times New Roman"/>
                <w:szCs w:val="24"/>
              </w:rPr>
              <w:t xml:space="preserve"> </w:t>
            </w:r>
            <w:r w:rsidRPr="00E36A51">
              <w:rPr>
                <w:rFonts w:eastAsia="Times New Roman" w:cs="Times New Roman"/>
                <w:szCs w:val="24"/>
              </w:rPr>
              <w:t>geoengineering should be proportionate to the current state of knowledge about the potential</w:t>
            </w:r>
            <w:r w:rsidRPr="00E36A51">
              <w:rPr>
                <w:rFonts w:eastAsia="Calibri" w:cs="Times New Roman"/>
                <w:szCs w:val="24"/>
              </w:rPr>
              <w:t xml:space="preserve"> </w:t>
            </w:r>
            <w:r w:rsidRPr="00E36A51">
              <w:rPr>
                <w:rFonts w:eastAsia="Times New Roman" w:cs="Times New Roman"/>
                <w:szCs w:val="24"/>
              </w:rPr>
              <w:t xml:space="preserve">adverse effects taking into account </w:t>
            </w:r>
            <w:r>
              <w:rPr>
                <w:rFonts w:eastAsia="Times New Roman" w:cs="Times New Roman"/>
                <w:szCs w:val="24"/>
              </w:rPr>
              <w:t>the precautionary approach.” (Hubert</w:t>
            </w:r>
            <w:r w:rsidR="006A0648">
              <w:rPr>
                <w:rFonts w:eastAsia="Times New Roman" w:cs="Times New Roman"/>
                <w:szCs w:val="24"/>
              </w:rPr>
              <w:t>,</w:t>
            </w:r>
            <w:r>
              <w:rPr>
                <w:rFonts w:eastAsia="Times New Roman" w:cs="Times New Roman"/>
                <w:szCs w:val="24"/>
              </w:rPr>
              <w:t xml:space="preserve"> 2017)</w:t>
            </w:r>
          </w:p>
        </w:tc>
      </w:tr>
      <w:tr w:rsidR="00C725E7" w:rsidRPr="00E36A51" w14:paraId="3DEC802E" w14:textId="77777777" w:rsidTr="00444A04">
        <w:trPr>
          <w:trHeight w:val="315"/>
        </w:trPr>
        <w:tc>
          <w:tcPr>
            <w:tcW w:w="4695" w:type="dxa"/>
            <w:tcBorders>
              <w:top w:val="single" w:sz="4" w:space="0" w:color="auto"/>
              <w:left w:val="nil"/>
              <w:bottom w:val="single" w:sz="4" w:space="0" w:color="auto"/>
              <w:right w:val="single" w:sz="6" w:space="0" w:color="000000"/>
            </w:tcBorders>
          </w:tcPr>
          <w:p w14:paraId="617C18AB"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Publication or dissemination of results</w:t>
            </w:r>
          </w:p>
        </w:tc>
        <w:tc>
          <w:tcPr>
            <w:tcW w:w="4665" w:type="dxa"/>
            <w:tcBorders>
              <w:top w:val="single" w:sz="4" w:space="0" w:color="auto"/>
              <w:left w:val="single" w:sz="6" w:space="0" w:color="CCCCCC"/>
              <w:bottom w:val="single" w:sz="4" w:space="0" w:color="auto"/>
              <w:right w:val="nil"/>
            </w:tcBorders>
          </w:tcPr>
          <w:p w14:paraId="70CB2F8F" w14:textId="23D2EEA0" w:rsidR="00C725E7" w:rsidRPr="007E2A7B" w:rsidRDefault="00C725E7" w:rsidP="00CD42E2">
            <w:pPr>
              <w:spacing w:after="0"/>
              <w:rPr>
                <w:rFonts w:eastAsia="Times New Roman" w:cs="Times New Roman"/>
                <w:szCs w:val="24"/>
              </w:rPr>
            </w:pPr>
            <w:r w:rsidRPr="007E2A7B">
              <w:rPr>
                <w:rFonts w:eastAsia="Times New Roman" w:cs="Times New Roman"/>
                <w:szCs w:val="24"/>
              </w:rPr>
              <w:t>“[S]</w:t>
            </w:r>
            <w:proofErr w:type="spellStart"/>
            <w:r w:rsidRPr="007E2A7B">
              <w:rPr>
                <w:rFonts w:eastAsia="Times New Roman" w:cs="Times New Roman"/>
                <w:szCs w:val="24"/>
              </w:rPr>
              <w:t>cientists</w:t>
            </w:r>
            <w:proofErr w:type="spellEnd"/>
            <w:r w:rsidRPr="007E2A7B">
              <w:rPr>
                <w:rFonts w:eastAsia="Times New Roman" w:cs="Times New Roman"/>
                <w:szCs w:val="24"/>
              </w:rPr>
              <w:t xml:space="preserve"> are expected to adhere to highest professional standards in proposing, doing and reporting of research results to ensure reproducibility.” (Indian Council of Medical Research</w:t>
            </w:r>
            <w:r w:rsidR="00CF7304">
              <w:rPr>
                <w:rFonts w:eastAsia="Times New Roman" w:cs="Times New Roman"/>
                <w:szCs w:val="24"/>
              </w:rPr>
              <w:t>,</w:t>
            </w:r>
            <w:r w:rsidRPr="007E2A7B">
              <w:rPr>
                <w:rFonts w:eastAsia="Times New Roman" w:cs="Times New Roman"/>
                <w:szCs w:val="24"/>
              </w:rPr>
              <w:t xml:space="preserve"> 2019)</w:t>
            </w:r>
          </w:p>
        </w:tc>
      </w:tr>
      <w:tr w:rsidR="00E81F96" w:rsidRPr="00E36A51" w14:paraId="16A941B6" w14:textId="77777777" w:rsidTr="00444A04">
        <w:trPr>
          <w:trHeight w:val="315"/>
        </w:trPr>
        <w:tc>
          <w:tcPr>
            <w:tcW w:w="4695" w:type="dxa"/>
            <w:tcBorders>
              <w:top w:val="single" w:sz="4" w:space="0" w:color="auto"/>
              <w:left w:val="nil"/>
              <w:bottom w:val="single" w:sz="4" w:space="0" w:color="auto"/>
              <w:right w:val="nil"/>
            </w:tcBorders>
          </w:tcPr>
          <w:p w14:paraId="63B4CC7B" w14:textId="77777777" w:rsidR="00E81F96" w:rsidRPr="002C2EE2" w:rsidRDefault="00E81F96" w:rsidP="00686C14">
            <w:pPr>
              <w:spacing w:after="0"/>
              <w:rPr>
                <w:rFonts w:eastAsia="Times New Roman" w:cs="Times New Roman"/>
                <w:b/>
                <w:szCs w:val="24"/>
              </w:rPr>
            </w:pPr>
          </w:p>
        </w:tc>
        <w:tc>
          <w:tcPr>
            <w:tcW w:w="4665" w:type="dxa"/>
            <w:tcBorders>
              <w:top w:val="single" w:sz="4" w:space="0" w:color="auto"/>
              <w:left w:val="nil"/>
              <w:bottom w:val="single" w:sz="4" w:space="0" w:color="auto"/>
              <w:right w:val="nil"/>
            </w:tcBorders>
          </w:tcPr>
          <w:p w14:paraId="2A158558" w14:textId="77777777" w:rsidR="00E81F96" w:rsidRDefault="00E81F96" w:rsidP="00CD42E2">
            <w:pPr>
              <w:spacing w:after="0"/>
              <w:rPr>
                <w:rFonts w:eastAsia="Times New Roman" w:cs="Times New Roman"/>
                <w:b/>
                <w:szCs w:val="24"/>
              </w:rPr>
            </w:pPr>
          </w:p>
        </w:tc>
      </w:tr>
      <w:tr w:rsidR="00CC36EC" w:rsidRPr="00E36A51" w14:paraId="672442CD" w14:textId="77777777" w:rsidTr="00444A04">
        <w:trPr>
          <w:trHeight w:val="315"/>
        </w:trPr>
        <w:tc>
          <w:tcPr>
            <w:tcW w:w="4695" w:type="dxa"/>
            <w:tcBorders>
              <w:top w:val="single" w:sz="4" w:space="0" w:color="auto"/>
              <w:left w:val="nil"/>
              <w:bottom w:val="single" w:sz="4" w:space="0" w:color="auto"/>
              <w:right w:val="single" w:sz="6" w:space="0" w:color="000000"/>
            </w:tcBorders>
          </w:tcPr>
          <w:p w14:paraId="64C8CF63" w14:textId="7112E85B" w:rsidR="00CC36EC" w:rsidRPr="002C2EE2" w:rsidRDefault="00CC36EC" w:rsidP="00686C14">
            <w:pPr>
              <w:spacing w:after="0"/>
              <w:rPr>
                <w:rFonts w:eastAsia="Times New Roman" w:cs="Times New Roman"/>
                <w:b/>
                <w:szCs w:val="24"/>
              </w:rPr>
            </w:pPr>
            <w:r w:rsidRPr="002C2EE2">
              <w:rPr>
                <w:rFonts w:eastAsia="Times New Roman" w:cs="Times New Roman"/>
                <w:b/>
                <w:szCs w:val="24"/>
              </w:rPr>
              <w:t>Provisions for equity and fairness</w:t>
            </w:r>
          </w:p>
        </w:tc>
        <w:tc>
          <w:tcPr>
            <w:tcW w:w="4665" w:type="dxa"/>
            <w:tcBorders>
              <w:top w:val="single" w:sz="4" w:space="0" w:color="auto"/>
              <w:left w:val="single" w:sz="6" w:space="0" w:color="CCCCCC"/>
              <w:bottom w:val="single" w:sz="4" w:space="0" w:color="auto"/>
              <w:right w:val="nil"/>
            </w:tcBorders>
          </w:tcPr>
          <w:p w14:paraId="06C8F9D0" w14:textId="402236A4" w:rsidR="00CC36EC" w:rsidRPr="002C2EE2" w:rsidRDefault="00686C14" w:rsidP="00CD42E2">
            <w:pPr>
              <w:spacing w:after="0"/>
              <w:rPr>
                <w:rFonts w:eastAsia="Times New Roman" w:cs="Times New Roman"/>
                <w:b/>
                <w:szCs w:val="24"/>
              </w:rPr>
            </w:pPr>
            <w:r>
              <w:rPr>
                <w:rFonts w:eastAsia="Times New Roman" w:cs="Times New Roman"/>
                <w:b/>
                <w:szCs w:val="24"/>
              </w:rPr>
              <w:t>Examples</w:t>
            </w:r>
          </w:p>
        </w:tc>
      </w:tr>
      <w:tr w:rsidR="00C725E7" w:rsidRPr="00E36A51" w14:paraId="4983FA82" w14:textId="77777777" w:rsidTr="00444A04">
        <w:trPr>
          <w:trHeight w:val="315"/>
        </w:trPr>
        <w:tc>
          <w:tcPr>
            <w:tcW w:w="4695" w:type="dxa"/>
            <w:tcBorders>
              <w:top w:val="single" w:sz="4" w:space="0" w:color="auto"/>
              <w:left w:val="nil"/>
              <w:bottom w:val="single" w:sz="4" w:space="0" w:color="auto"/>
              <w:right w:val="single" w:sz="6" w:space="0" w:color="000000"/>
            </w:tcBorders>
          </w:tcPr>
          <w:p w14:paraId="34FE28AC"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Public or stakeholder engagement</w:t>
            </w:r>
          </w:p>
        </w:tc>
        <w:tc>
          <w:tcPr>
            <w:tcW w:w="4665" w:type="dxa"/>
            <w:tcBorders>
              <w:top w:val="single" w:sz="4" w:space="0" w:color="auto"/>
              <w:left w:val="single" w:sz="6" w:space="0" w:color="CCCCCC"/>
              <w:bottom w:val="single" w:sz="4" w:space="0" w:color="auto"/>
              <w:right w:val="nil"/>
            </w:tcBorders>
          </w:tcPr>
          <w:p w14:paraId="156B1EA9" w14:textId="6A8C59BB" w:rsidR="00C725E7" w:rsidRPr="00E36A51" w:rsidRDefault="00C725E7" w:rsidP="00CD42E2">
            <w:pPr>
              <w:spacing w:after="0"/>
              <w:rPr>
                <w:rFonts w:eastAsia="Times New Roman" w:cs="Times New Roman"/>
                <w:szCs w:val="24"/>
              </w:rPr>
            </w:pPr>
            <w:r w:rsidRPr="00E36A51">
              <w:rPr>
                <w:rFonts w:eastAsia="Times New Roman" w:cs="Times New Roman"/>
                <w:szCs w:val="24"/>
              </w:rPr>
              <w:t>“When working professionally…interact and collaborate with counterparts, confer regularly with appropriate officials, share information…contribute to local capacity-building, and equitably share the benefits arising from the use of local knowledge and</w:t>
            </w:r>
            <w:r>
              <w:rPr>
                <w:rFonts w:eastAsia="Times New Roman" w:cs="Times New Roman"/>
                <w:szCs w:val="24"/>
              </w:rPr>
              <w:t xml:space="preserve"> </w:t>
            </w:r>
            <w:r>
              <w:rPr>
                <w:rFonts w:eastAsia="Times New Roman" w:cs="Times New Roman"/>
                <w:szCs w:val="24"/>
              </w:rPr>
              <w:lastRenderedPageBreak/>
              <w:t xml:space="preserve">practices as appropriate.” (Society for Marine </w:t>
            </w:r>
            <w:proofErr w:type="spellStart"/>
            <w:r>
              <w:rPr>
                <w:rFonts w:eastAsia="Times New Roman" w:cs="Times New Roman"/>
                <w:szCs w:val="24"/>
              </w:rPr>
              <w:t>Mammology</w:t>
            </w:r>
            <w:proofErr w:type="spellEnd"/>
            <w:r w:rsidR="00D60E71">
              <w:rPr>
                <w:rFonts w:eastAsia="Times New Roman" w:cs="Times New Roman"/>
                <w:szCs w:val="24"/>
              </w:rPr>
              <w:t>,</w:t>
            </w:r>
            <w:r>
              <w:rPr>
                <w:rFonts w:eastAsia="Times New Roman" w:cs="Times New Roman"/>
                <w:szCs w:val="24"/>
              </w:rPr>
              <w:t xml:space="preserve"> 2013)</w:t>
            </w:r>
          </w:p>
        </w:tc>
      </w:tr>
      <w:tr w:rsidR="00C725E7" w:rsidRPr="00E36A51" w14:paraId="5EDD18DC" w14:textId="77777777" w:rsidTr="00444A04">
        <w:trPr>
          <w:trHeight w:val="315"/>
        </w:trPr>
        <w:tc>
          <w:tcPr>
            <w:tcW w:w="4695" w:type="dxa"/>
            <w:tcBorders>
              <w:top w:val="single" w:sz="4" w:space="0" w:color="auto"/>
              <w:left w:val="nil"/>
              <w:bottom w:val="single" w:sz="4" w:space="0" w:color="auto"/>
              <w:right w:val="single" w:sz="6" w:space="0" w:color="000000"/>
            </w:tcBorders>
          </w:tcPr>
          <w:p w14:paraId="672E2125"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lastRenderedPageBreak/>
              <w:t>Consideration of fairness, equity, and/or social issues within or beyond direct impacts of experiment</w:t>
            </w:r>
          </w:p>
        </w:tc>
        <w:tc>
          <w:tcPr>
            <w:tcW w:w="4665" w:type="dxa"/>
            <w:tcBorders>
              <w:top w:val="single" w:sz="4" w:space="0" w:color="auto"/>
              <w:left w:val="single" w:sz="6" w:space="0" w:color="CCCCCC"/>
              <w:bottom w:val="single" w:sz="4" w:space="0" w:color="auto"/>
              <w:right w:val="nil"/>
            </w:tcBorders>
          </w:tcPr>
          <w:p w14:paraId="6FBA7310" w14:textId="74750F32" w:rsidR="00C725E7" w:rsidRPr="00E36A51" w:rsidRDefault="00C725E7" w:rsidP="00CD42E2">
            <w:pPr>
              <w:spacing w:after="0"/>
              <w:rPr>
                <w:rFonts w:eastAsia="Times New Roman" w:cs="Times New Roman"/>
                <w:szCs w:val="24"/>
              </w:rPr>
            </w:pPr>
            <w:r w:rsidRPr="00E36A51">
              <w:rPr>
                <w:rFonts w:eastAsia="Times New Roman" w:cs="Times New Roman"/>
                <w:szCs w:val="24"/>
              </w:rPr>
              <w:t>“[R]</w:t>
            </w:r>
            <w:proofErr w:type="spellStart"/>
            <w:r w:rsidRPr="00E36A51">
              <w:rPr>
                <w:rFonts w:eastAsia="Times New Roman" w:cs="Times New Roman"/>
                <w:szCs w:val="24"/>
              </w:rPr>
              <w:t>esearchers</w:t>
            </w:r>
            <w:proofErr w:type="spellEnd"/>
            <w:r w:rsidRPr="00E36A51">
              <w:rPr>
                <w:rFonts w:eastAsia="Times New Roman" w:cs="Times New Roman"/>
                <w:szCs w:val="24"/>
              </w:rPr>
              <w:t xml:space="preserve"> should commit to...actively support and advance the goals of racial, gender, geographic, and economic equity in the conduct of [sol</w:t>
            </w:r>
            <w:r>
              <w:rPr>
                <w:rFonts w:eastAsia="Times New Roman" w:cs="Times New Roman"/>
                <w:szCs w:val="24"/>
              </w:rPr>
              <w:t>ar geoengineering] research” (NASEM</w:t>
            </w:r>
            <w:r w:rsidR="00D60E71">
              <w:rPr>
                <w:rFonts w:eastAsia="Times New Roman" w:cs="Times New Roman"/>
                <w:szCs w:val="24"/>
              </w:rPr>
              <w:t>,</w:t>
            </w:r>
            <w:r>
              <w:rPr>
                <w:rFonts w:eastAsia="Times New Roman" w:cs="Times New Roman"/>
                <w:szCs w:val="24"/>
              </w:rPr>
              <w:t xml:space="preserve"> 2021</w:t>
            </w:r>
            <w:r w:rsidR="00874771">
              <w:rPr>
                <w:rFonts w:eastAsia="Times New Roman" w:cs="Times New Roman"/>
                <w:szCs w:val="24"/>
              </w:rPr>
              <w:t>b</w:t>
            </w:r>
            <w:r>
              <w:rPr>
                <w:rFonts w:eastAsia="Times New Roman" w:cs="Times New Roman"/>
                <w:szCs w:val="24"/>
              </w:rPr>
              <w:t>)</w:t>
            </w:r>
          </w:p>
        </w:tc>
      </w:tr>
      <w:tr w:rsidR="00C725E7" w:rsidRPr="00E36A51" w14:paraId="2B52C9EB" w14:textId="77777777" w:rsidTr="00444A04">
        <w:trPr>
          <w:trHeight w:val="315"/>
        </w:trPr>
        <w:tc>
          <w:tcPr>
            <w:tcW w:w="4695" w:type="dxa"/>
            <w:tcBorders>
              <w:top w:val="single" w:sz="4" w:space="0" w:color="auto"/>
              <w:left w:val="nil"/>
              <w:bottom w:val="single" w:sz="8" w:space="0" w:color="auto"/>
              <w:right w:val="single" w:sz="6" w:space="0" w:color="000000"/>
            </w:tcBorders>
          </w:tcPr>
          <w:p w14:paraId="630F8710" w14:textId="77777777" w:rsidR="00C725E7" w:rsidRPr="00E36A51" w:rsidRDefault="00C725E7" w:rsidP="00CD42E2">
            <w:pPr>
              <w:spacing w:after="0"/>
              <w:rPr>
                <w:rFonts w:eastAsia="Times New Roman" w:cs="Times New Roman"/>
                <w:szCs w:val="24"/>
              </w:rPr>
            </w:pPr>
            <w:r w:rsidRPr="00E36A51">
              <w:rPr>
                <w:rFonts w:eastAsia="Times New Roman" w:cs="Times New Roman"/>
                <w:szCs w:val="24"/>
              </w:rPr>
              <w:t>Rules about funding</w:t>
            </w:r>
          </w:p>
        </w:tc>
        <w:tc>
          <w:tcPr>
            <w:tcW w:w="4665" w:type="dxa"/>
            <w:tcBorders>
              <w:top w:val="single" w:sz="4" w:space="0" w:color="auto"/>
              <w:left w:val="single" w:sz="6" w:space="0" w:color="CCCCCC"/>
              <w:bottom w:val="single" w:sz="8" w:space="0" w:color="auto"/>
              <w:right w:val="nil"/>
            </w:tcBorders>
          </w:tcPr>
          <w:p w14:paraId="65BD542A" w14:textId="247A6F2F" w:rsidR="00C725E7" w:rsidRPr="00E36A51" w:rsidRDefault="00C725E7" w:rsidP="00CD42E2">
            <w:pPr>
              <w:spacing w:after="0"/>
              <w:rPr>
                <w:rFonts w:eastAsia="Times New Roman" w:cs="Times New Roman"/>
                <w:szCs w:val="24"/>
              </w:rPr>
            </w:pPr>
            <w:r w:rsidRPr="00E36A51">
              <w:rPr>
                <w:rFonts w:eastAsia="Times New Roman" w:cs="Times New Roman"/>
                <w:szCs w:val="24"/>
              </w:rPr>
              <w:t>“[S]</w:t>
            </w:r>
            <w:proofErr w:type="spellStart"/>
            <w:r w:rsidRPr="00E36A51">
              <w:rPr>
                <w:rFonts w:eastAsia="Times New Roman" w:cs="Times New Roman"/>
                <w:szCs w:val="24"/>
              </w:rPr>
              <w:t>cientists</w:t>
            </w:r>
            <w:proofErr w:type="spellEnd"/>
            <w:r w:rsidRPr="00E36A51">
              <w:rPr>
                <w:rFonts w:eastAsia="Times New Roman" w:cs="Times New Roman"/>
                <w:szCs w:val="24"/>
              </w:rPr>
              <w:t xml:space="preserve"> ... should be open and honest about their relationships, (e.g., relationships involving their employer and/or funding mechanisms for the research) [and]</w:t>
            </w:r>
            <w:r>
              <w:rPr>
                <w:rFonts w:eastAsia="Times New Roman" w:cs="Times New Roman"/>
                <w:szCs w:val="24"/>
              </w:rPr>
              <w:t xml:space="preserve"> their commercial interests” (Jones</w:t>
            </w:r>
            <w:r w:rsidR="00351B13">
              <w:rPr>
                <w:rFonts w:eastAsia="Times New Roman" w:cs="Times New Roman"/>
                <w:szCs w:val="24"/>
              </w:rPr>
              <w:t>,</w:t>
            </w:r>
            <w:r>
              <w:rPr>
                <w:rFonts w:eastAsia="Times New Roman" w:cs="Times New Roman"/>
                <w:szCs w:val="24"/>
              </w:rPr>
              <w:t xml:space="preserve"> 2007)</w:t>
            </w:r>
          </w:p>
        </w:tc>
      </w:tr>
    </w:tbl>
    <w:p w14:paraId="2218FD1C" w14:textId="6102938B" w:rsidR="00C725E7" w:rsidRDefault="00C725E7" w:rsidP="00C725E7">
      <w:pPr>
        <w:rPr>
          <w:rFonts w:cs="Times New Roman"/>
          <w:b/>
          <w:szCs w:val="24"/>
        </w:rPr>
      </w:pPr>
    </w:p>
    <w:p w14:paraId="3AE33555" w14:textId="3981BEB1" w:rsidR="00876374" w:rsidRDefault="00876374" w:rsidP="00C725E7">
      <w:pPr>
        <w:rPr>
          <w:rFonts w:cs="Times New Roman"/>
          <w:b/>
          <w:szCs w:val="24"/>
        </w:rPr>
      </w:pPr>
    </w:p>
    <w:p w14:paraId="61C41D6C" w14:textId="77777777" w:rsidR="005B33BA" w:rsidRDefault="005B33BA" w:rsidP="00C725E7">
      <w:pPr>
        <w:rPr>
          <w:rFonts w:cs="Times New Roman"/>
          <w:b/>
          <w:bCs/>
          <w:szCs w:val="24"/>
        </w:rPr>
        <w:sectPr w:rsidR="005B33BA"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p w14:paraId="79A290F9" w14:textId="3C9EEC89" w:rsidR="00876374" w:rsidRDefault="00876374" w:rsidP="00C725E7">
      <w:pPr>
        <w:rPr>
          <w:rFonts w:cs="Times New Roman"/>
          <w:szCs w:val="24"/>
        </w:rPr>
      </w:pPr>
      <w:r>
        <w:rPr>
          <w:rFonts w:cs="Times New Roman"/>
          <w:b/>
          <w:bCs/>
          <w:szCs w:val="24"/>
        </w:rPr>
        <w:lastRenderedPageBreak/>
        <w:t>References</w:t>
      </w:r>
    </w:p>
    <w:p w14:paraId="35286E79" w14:textId="77777777" w:rsidR="00D96212" w:rsidRDefault="00BE26FD" w:rsidP="00BE26FD">
      <w:pPr>
        <w:contextualSpacing/>
        <w:rPr>
          <w:rFonts w:eastAsia="Times New Roman" w:cs="Times New Roman"/>
          <w:i/>
          <w:iCs/>
          <w:szCs w:val="24"/>
        </w:rPr>
      </w:pPr>
      <w:r w:rsidRPr="00E36A51">
        <w:rPr>
          <w:rFonts w:eastAsia="Times New Roman" w:cs="Times New Roman"/>
          <w:szCs w:val="24"/>
        </w:rPr>
        <w:t>Asilomar Scientific Orga</w:t>
      </w:r>
      <w:r>
        <w:rPr>
          <w:rFonts w:eastAsia="Times New Roman" w:cs="Times New Roman"/>
          <w:szCs w:val="24"/>
        </w:rPr>
        <w:t xml:space="preserve">nizing Committee (2010). </w:t>
      </w:r>
      <w:r>
        <w:rPr>
          <w:rFonts w:eastAsia="Times New Roman" w:cs="Times New Roman"/>
          <w:i/>
          <w:iCs/>
          <w:szCs w:val="24"/>
        </w:rPr>
        <w:t xml:space="preserve">The Asilomar Conference Recommendations on </w:t>
      </w:r>
    </w:p>
    <w:p w14:paraId="027F9D62" w14:textId="70127329" w:rsidR="00BE26FD" w:rsidRDefault="00BE26FD" w:rsidP="00D96212">
      <w:pPr>
        <w:ind w:left="720"/>
        <w:contextualSpacing/>
        <w:rPr>
          <w:rFonts w:eastAsia="Times New Roman" w:cs="Times New Roman"/>
          <w:szCs w:val="24"/>
        </w:rPr>
      </w:pPr>
      <w:r>
        <w:rPr>
          <w:rFonts w:eastAsia="Times New Roman" w:cs="Times New Roman"/>
          <w:i/>
          <w:iCs/>
          <w:szCs w:val="24"/>
        </w:rPr>
        <w:t xml:space="preserve">Principles for Research </w:t>
      </w:r>
      <w:proofErr w:type="gramStart"/>
      <w:r>
        <w:rPr>
          <w:rFonts w:eastAsia="Times New Roman" w:cs="Times New Roman"/>
          <w:i/>
          <w:iCs/>
          <w:szCs w:val="24"/>
        </w:rPr>
        <w:t>Into</w:t>
      </w:r>
      <w:proofErr w:type="gramEnd"/>
      <w:r>
        <w:rPr>
          <w:rFonts w:eastAsia="Times New Roman" w:cs="Times New Roman"/>
          <w:i/>
          <w:iCs/>
          <w:szCs w:val="24"/>
        </w:rPr>
        <w:t xml:space="preserve"> Climate Engineering Techniques</w:t>
      </w:r>
      <w:r>
        <w:rPr>
          <w:rFonts w:eastAsia="Times New Roman" w:cs="Times New Roman"/>
          <w:szCs w:val="24"/>
        </w:rPr>
        <w:t xml:space="preserve">. </w:t>
      </w:r>
      <w:r w:rsidR="00D96212">
        <w:rPr>
          <w:rFonts w:eastAsia="Times New Roman" w:cs="Times New Roman"/>
          <w:szCs w:val="24"/>
        </w:rPr>
        <w:fldChar w:fldCharType="begin"/>
      </w:r>
      <w:r w:rsidR="00D96212">
        <w:rPr>
          <w:rFonts w:eastAsia="Times New Roman" w:cs="Times New Roman"/>
          <w:szCs w:val="24"/>
        </w:rPr>
        <w:instrText xml:space="preserve"> HYPERLINK "</w:instrText>
      </w:r>
      <w:r w:rsidR="00D96212" w:rsidRPr="00D96212">
        <w:rPr>
          <w:rFonts w:eastAsia="Times New Roman" w:cs="Times New Roman"/>
          <w:szCs w:val="24"/>
        </w:rPr>
        <w:instrText>http://www.climateresponsefund.org/images/Conference/finalfinalreport.pdf</w:instrText>
      </w:r>
      <w:r w:rsidR="00D96212">
        <w:rPr>
          <w:rFonts w:eastAsia="Times New Roman" w:cs="Times New Roman"/>
          <w:szCs w:val="24"/>
        </w:rPr>
        <w:instrText xml:space="preserve">" </w:instrText>
      </w:r>
      <w:r w:rsidR="00D96212">
        <w:rPr>
          <w:rFonts w:eastAsia="Times New Roman" w:cs="Times New Roman"/>
          <w:szCs w:val="24"/>
        </w:rPr>
        <w:fldChar w:fldCharType="separate"/>
      </w:r>
      <w:r w:rsidR="00D96212" w:rsidRPr="0042191F">
        <w:rPr>
          <w:rStyle w:val="Hyperlink"/>
          <w:rFonts w:eastAsia="Times New Roman" w:cs="Times New Roman"/>
          <w:szCs w:val="24"/>
        </w:rPr>
        <w:t>http://www.climaterespons</w:t>
      </w:r>
      <w:r w:rsidR="00D96212" w:rsidRPr="0042191F">
        <w:rPr>
          <w:rStyle w:val="Hyperlink"/>
          <w:rFonts w:eastAsia="Times New Roman" w:cs="Times New Roman"/>
          <w:szCs w:val="24"/>
        </w:rPr>
        <w:t>e</w:t>
      </w:r>
      <w:r w:rsidR="00D96212" w:rsidRPr="0042191F">
        <w:rPr>
          <w:rStyle w:val="Hyperlink"/>
          <w:rFonts w:eastAsia="Times New Roman" w:cs="Times New Roman"/>
          <w:szCs w:val="24"/>
        </w:rPr>
        <w:t>fund.org/images/Conference/finalfinalreport.pdf</w:t>
      </w:r>
      <w:r w:rsidR="00D96212">
        <w:rPr>
          <w:rFonts w:eastAsia="Times New Roman" w:cs="Times New Roman"/>
          <w:szCs w:val="24"/>
        </w:rPr>
        <w:fldChar w:fldCharType="end"/>
      </w:r>
      <w:r>
        <w:rPr>
          <w:rFonts w:eastAsia="Times New Roman" w:cs="Times New Roman"/>
          <w:szCs w:val="24"/>
        </w:rPr>
        <w:t xml:space="preserve"> [Accessed 26 April 2022].</w:t>
      </w:r>
    </w:p>
    <w:p w14:paraId="0ED8E163" w14:textId="77777777" w:rsidR="00D96212" w:rsidRPr="00051CAB" w:rsidRDefault="00D96212" w:rsidP="00D96212">
      <w:pPr>
        <w:ind w:left="720"/>
        <w:contextualSpacing/>
        <w:rPr>
          <w:rFonts w:eastAsia="Times New Roman" w:cs="Times New Roman"/>
          <w:szCs w:val="24"/>
        </w:rPr>
      </w:pPr>
    </w:p>
    <w:p w14:paraId="1728FC49" w14:textId="77777777" w:rsidR="00400E8E" w:rsidRDefault="00BE26FD" w:rsidP="00BE26FD">
      <w:pPr>
        <w:contextualSpacing/>
        <w:rPr>
          <w:rFonts w:eastAsia="Times New Roman" w:cs="Times New Roman"/>
          <w:i/>
          <w:iCs/>
          <w:szCs w:val="24"/>
        </w:rPr>
      </w:pPr>
      <w:r>
        <w:rPr>
          <w:rFonts w:eastAsia="Times New Roman" w:cs="Times New Roman"/>
          <w:szCs w:val="24"/>
        </w:rPr>
        <w:t>E</w:t>
      </w:r>
      <w:r w:rsidRPr="00E36A51">
        <w:rPr>
          <w:rFonts w:eastAsia="Times New Roman" w:cs="Times New Roman"/>
          <w:szCs w:val="24"/>
        </w:rPr>
        <w:t>uropean Commission</w:t>
      </w:r>
      <w:r>
        <w:rPr>
          <w:rFonts w:eastAsia="Times New Roman" w:cs="Times New Roman"/>
          <w:szCs w:val="24"/>
        </w:rPr>
        <w:t xml:space="preserve"> (2009). </w:t>
      </w:r>
      <w:r w:rsidRPr="005C25EC">
        <w:rPr>
          <w:rFonts w:eastAsia="Times New Roman" w:cs="Times New Roman"/>
          <w:i/>
          <w:iCs/>
          <w:szCs w:val="24"/>
        </w:rPr>
        <w:t xml:space="preserve">Commission Recommendation on a Code of Conduct for Responsible </w:t>
      </w:r>
    </w:p>
    <w:p w14:paraId="52FE61E4" w14:textId="13469E06" w:rsidR="00BE26FD" w:rsidRDefault="00BE26FD" w:rsidP="00400E8E">
      <w:pPr>
        <w:ind w:left="720"/>
        <w:contextualSpacing/>
        <w:rPr>
          <w:rFonts w:eastAsia="Times New Roman" w:cs="Times New Roman"/>
          <w:szCs w:val="24"/>
        </w:rPr>
      </w:pPr>
      <w:proofErr w:type="spellStart"/>
      <w:r w:rsidRPr="005C25EC">
        <w:rPr>
          <w:rFonts w:eastAsia="Times New Roman" w:cs="Times New Roman"/>
          <w:i/>
          <w:iCs/>
          <w:szCs w:val="24"/>
        </w:rPr>
        <w:t>Nanosciences</w:t>
      </w:r>
      <w:proofErr w:type="spellEnd"/>
      <w:r w:rsidRPr="005C25EC">
        <w:rPr>
          <w:rFonts w:eastAsia="Times New Roman" w:cs="Times New Roman"/>
          <w:i/>
          <w:iCs/>
          <w:szCs w:val="24"/>
        </w:rPr>
        <w:t xml:space="preserve"> and Nanotechnologies Research &amp; Council Conclusions on Responsible </w:t>
      </w:r>
      <w:proofErr w:type="spellStart"/>
      <w:r w:rsidRPr="005C25EC">
        <w:rPr>
          <w:rFonts w:eastAsia="Times New Roman" w:cs="Times New Roman"/>
          <w:i/>
          <w:iCs/>
          <w:szCs w:val="24"/>
        </w:rPr>
        <w:t>Nanosciences</w:t>
      </w:r>
      <w:proofErr w:type="spellEnd"/>
      <w:r w:rsidRPr="005C25EC">
        <w:rPr>
          <w:rFonts w:eastAsia="Times New Roman" w:cs="Times New Roman"/>
          <w:i/>
          <w:iCs/>
          <w:szCs w:val="24"/>
        </w:rPr>
        <w:t xml:space="preserve"> and Nanotechnologies Research</w:t>
      </w:r>
      <w:r>
        <w:rPr>
          <w:rFonts w:eastAsia="Times New Roman" w:cs="Times New Roman"/>
          <w:szCs w:val="24"/>
        </w:rPr>
        <w:t xml:space="preserve">. Luxembourg: Office for Official Publications of the European Communities. </w:t>
      </w:r>
      <w:hyperlink r:id="rId12" w:history="1">
        <w:r w:rsidRPr="0042191F">
          <w:rPr>
            <w:rStyle w:val="Hyperlink"/>
            <w:rFonts w:eastAsia="Times New Roman" w:cs="Times New Roman"/>
            <w:szCs w:val="24"/>
          </w:rPr>
          <w:t>https://op.</w:t>
        </w:r>
        <w:r w:rsidRPr="0042191F">
          <w:rPr>
            <w:rStyle w:val="Hyperlink"/>
            <w:rFonts w:eastAsia="Times New Roman" w:cs="Times New Roman"/>
            <w:szCs w:val="24"/>
          </w:rPr>
          <w:t>e</w:t>
        </w:r>
        <w:r w:rsidRPr="0042191F">
          <w:rPr>
            <w:rStyle w:val="Hyperlink"/>
            <w:rFonts w:eastAsia="Times New Roman" w:cs="Times New Roman"/>
            <w:szCs w:val="24"/>
          </w:rPr>
          <w:t>uropa.eu/en/publication-detail/-/publication/a8b7d91c-a987-4a3d-a7f4-efc864b5cbfd</w:t>
        </w:r>
      </w:hyperlink>
      <w:r>
        <w:rPr>
          <w:rFonts w:eastAsia="Times New Roman" w:cs="Times New Roman"/>
          <w:szCs w:val="24"/>
        </w:rPr>
        <w:t>. [Accessed 26 April 2022].</w:t>
      </w:r>
    </w:p>
    <w:p w14:paraId="333C109A" w14:textId="77777777" w:rsidR="00D96212" w:rsidRDefault="00D96212" w:rsidP="00BE26FD">
      <w:pPr>
        <w:spacing w:before="0" w:after="0"/>
        <w:contextualSpacing/>
      </w:pPr>
    </w:p>
    <w:p w14:paraId="6DBBB2B3" w14:textId="77777777" w:rsidR="00400E8E" w:rsidRDefault="00BE26FD" w:rsidP="00BE26FD">
      <w:pPr>
        <w:spacing w:before="0" w:after="0"/>
        <w:contextualSpacing/>
      </w:pPr>
      <w:r>
        <w:t>Hubert A. M. (2017). Code of Conduct for Responsible Geoengineering Research.</w:t>
      </w:r>
      <w:r>
        <w:t xml:space="preserve"> </w:t>
      </w:r>
    </w:p>
    <w:p w14:paraId="339948B0" w14:textId="1672F883" w:rsidR="00BE26FD" w:rsidRDefault="00400E8E" w:rsidP="00400E8E">
      <w:pPr>
        <w:spacing w:before="0" w:after="0"/>
        <w:ind w:left="720"/>
        <w:contextualSpacing/>
      </w:pPr>
      <w:hyperlink r:id="rId13" w:history="1">
        <w:r w:rsidRPr="0042191F">
          <w:rPr>
            <w:rStyle w:val="Hyperlink"/>
          </w:rPr>
          <w:t>h</w:t>
        </w:r>
        <w:r w:rsidRPr="0042191F">
          <w:rPr>
            <w:rStyle w:val="Hyperlink"/>
          </w:rPr>
          <w:t>ttps://www.ucalgary.ca/sites/default/files/teams/463/revised-code-of-conduct-for-geoengineering-research-2017-hubert.pdf</w:t>
        </w:r>
      </w:hyperlink>
      <w:r w:rsidR="00BE26FD">
        <w:t xml:space="preserve"> [Accessed 26 April 2022].</w:t>
      </w:r>
    </w:p>
    <w:p w14:paraId="4BFD8A68" w14:textId="77777777" w:rsidR="001509EC" w:rsidRDefault="001509EC" w:rsidP="001509EC">
      <w:pPr>
        <w:spacing w:before="0" w:after="0"/>
        <w:contextualSpacing/>
        <w:rPr>
          <w:rFonts w:eastAsia="Times New Roman" w:cs="Times New Roman"/>
          <w:szCs w:val="24"/>
        </w:rPr>
      </w:pPr>
    </w:p>
    <w:p w14:paraId="4B41DCED" w14:textId="77777777" w:rsidR="00400E8E" w:rsidRDefault="001509EC" w:rsidP="001509EC">
      <w:pPr>
        <w:spacing w:before="0" w:after="0"/>
        <w:contextualSpacing/>
        <w:rPr>
          <w:rFonts w:eastAsia="Times New Roman" w:cs="Times New Roman"/>
          <w:i/>
          <w:iCs/>
          <w:szCs w:val="24"/>
        </w:rPr>
      </w:pPr>
      <w:r w:rsidRPr="002711A9">
        <w:rPr>
          <w:rFonts w:eastAsia="Times New Roman" w:cs="Times New Roman"/>
          <w:szCs w:val="24"/>
        </w:rPr>
        <w:t xml:space="preserve">Indian Council of Medical Research (2019). </w:t>
      </w:r>
      <w:r w:rsidRPr="002711A9">
        <w:rPr>
          <w:rFonts w:eastAsia="Times New Roman" w:cs="Times New Roman"/>
          <w:i/>
          <w:iCs/>
          <w:szCs w:val="24"/>
        </w:rPr>
        <w:t xml:space="preserve">Guidelines on Code of Conduct for Research Scientists </w:t>
      </w:r>
    </w:p>
    <w:p w14:paraId="155AC8B1" w14:textId="58B9B1CE" w:rsidR="001509EC" w:rsidRDefault="001509EC" w:rsidP="00400E8E">
      <w:pPr>
        <w:spacing w:before="0" w:after="0"/>
        <w:ind w:left="720"/>
        <w:contextualSpacing/>
        <w:rPr>
          <w:rFonts w:eastAsia="Times New Roman" w:cs="Times New Roman"/>
          <w:szCs w:val="24"/>
        </w:rPr>
      </w:pPr>
      <w:r w:rsidRPr="002711A9">
        <w:rPr>
          <w:rFonts w:eastAsia="Times New Roman" w:cs="Times New Roman"/>
          <w:i/>
          <w:iCs/>
          <w:szCs w:val="24"/>
        </w:rPr>
        <w:t>Engaged in Field of Life Sciences</w:t>
      </w:r>
      <w:r w:rsidRPr="002711A9">
        <w:rPr>
          <w:rFonts w:eastAsia="Times New Roman" w:cs="Times New Roman"/>
          <w:szCs w:val="24"/>
        </w:rPr>
        <w:t xml:space="preserve">. New Delhi, India: Indian Council of Medical Research. </w:t>
      </w:r>
      <w:hyperlink r:id="rId14" w:history="1">
        <w:r w:rsidR="00400E8E" w:rsidRPr="0042191F">
          <w:rPr>
            <w:rStyle w:val="Hyperlink"/>
          </w:rPr>
          <w:t>https://main.icmr.nic.in/sites/default/files/guideline</w:t>
        </w:r>
        <w:r w:rsidR="00400E8E" w:rsidRPr="0042191F">
          <w:rPr>
            <w:rStyle w:val="Hyperlink"/>
          </w:rPr>
          <w:t>s</w:t>
        </w:r>
        <w:r w:rsidR="00400E8E" w:rsidRPr="0042191F">
          <w:rPr>
            <w:rStyle w:val="Hyperlink"/>
          </w:rPr>
          <w:t>/coe%20of%20conduct%20for%20research%20scientists%20engaged%20in%20the%20field%20of%20life%20sciences.pdf</w:t>
        </w:r>
      </w:hyperlink>
      <w:r w:rsidRPr="002711A9">
        <w:rPr>
          <w:rFonts w:eastAsia="Times New Roman" w:cs="Times New Roman"/>
          <w:szCs w:val="24"/>
        </w:rPr>
        <w:t xml:space="preserve">. [Accessed </w:t>
      </w:r>
      <w:r>
        <w:rPr>
          <w:rFonts w:eastAsia="Times New Roman" w:cs="Times New Roman"/>
          <w:szCs w:val="24"/>
        </w:rPr>
        <w:t>26 April</w:t>
      </w:r>
      <w:r w:rsidRPr="002711A9">
        <w:rPr>
          <w:rFonts w:eastAsia="Times New Roman" w:cs="Times New Roman"/>
          <w:szCs w:val="24"/>
        </w:rPr>
        <w:t xml:space="preserve"> 2022].</w:t>
      </w:r>
    </w:p>
    <w:p w14:paraId="4B78FB0F" w14:textId="77777777" w:rsidR="00D96212" w:rsidRDefault="00D96212" w:rsidP="001509EC">
      <w:pPr>
        <w:contextualSpacing/>
        <w:rPr>
          <w:rFonts w:eastAsia="Times New Roman" w:cs="Times New Roman"/>
          <w:szCs w:val="24"/>
        </w:rPr>
      </w:pPr>
    </w:p>
    <w:p w14:paraId="4A978F93" w14:textId="77777777" w:rsidR="00400E8E" w:rsidRDefault="001509EC" w:rsidP="001509EC">
      <w:pPr>
        <w:contextualSpacing/>
        <w:rPr>
          <w:rFonts w:eastAsia="Times New Roman" w:cs="Times New Roman"/>
          <w:szCs w:val="24"/>
        </w:rPr>
      </w:pPr>
      <w:r w:rsidRPr="001509EC">
        <w:rPr>
          <w:rFonts w:eastAsia="Times New Roman" w:cs="Times New Roman"/>
          <w:szCs w:val="24"/>
        </w:rPr>
        <w:t xml:space="preserve">Jones N. (2007). A Code of Ethics for the Life Sciences. </w:t>
      </w:r>
      <w:r w:rsidRPr="001509EC">
        <w:rPr>
          <w:rFonts w:eastAsia="Times New Roman" w:cs="Times New Roman"/>
          <w:i/>
          <w:iCs/>
          <w:szCs w:val="24"/>
        </w:rPr>
        <w:t xml:space="preserve">Sci. </w:t>
      </w:r>
      <w:proofErr w:type="spellStart"/>
      <w:r w:rsidRPr="001509EC">
        <w:rPr>
          <w:rFonts w:eastAsia="Times New Roman" w:cs="Times New Roman"/>
          <w:i/>
          <w:iCs/>
          <w:szCs w:val="24"/>
        </w:rPr>
        <w:t>Eng</w:t>
      </w:r>
      <w:proofErr w:type="spellEnd"/>
      <w:r w:rsidRPr="001509EC">
        <w:rPr>
          <w:rFonts w:eastAsia="Times New Roman" w:cs="Times New Roman"/>
          <w:i/>
          <w:iCs/>
          <w:szCs w:val="24"/>
        </w:rPr>
        <w:t xml:space="preserve"> Ethics</w:t>
      </w:r>
      <w:r w:rsidRPr="001509EC">
        <w:rPr>
          <w:rFonts w:eastAsia="Times New Roman" w:cs="Times New Roman"/>
          <w:szCs w:val="24"/>
        </w:rPr>
        <w:t xml:space="preserve"> 13, 25–43. </w:t>
      </w:r>
      <w:proofErr w:type="spellStart"/>
      <w:r w:rsidRPr="001509EC">
        <w:rPr>
          <w:rFonts w:eastAsia="Times New Roman" w:cs="Times New Roman"/>
          <w:szCs w:val="24"/>
        </w:rPr>
        <w:t>doi</w:t>
      </w:r>
      <w:proofErr w:type="spellEnd"/>
      <w:r w:rsidRPr="001509EC">
        <w:rPr>
          <w:rFonts w:eastAsia="Times New Roman" w:cs="Times New Roman"/>
          <w:szCs w:val="24"/>
        </w:rPr>
        <w:t xml:space="preserve">: </w:t>
      </w:r>
    </w:p>
    <w:p w14:paraId="6A78B4C7" w14:textId="66E7182E" w:rsidR="001509EC" w:rsidRPr="00876374" w:rsidRDefault="001509EC" w:rsidP="00400E8E">
      <w:pPr>
        <w:ind w:firstLine="720"/>
        <w:contextualSpacing/>
        <w:rPr>
          <w:rFonts w:cs="Times New Roman"/>
          <w:szCs w:val="24"/>
        </w:rPr>
      </w:pPr>
      <w:r w:rsidRPr="001509EC">
        <w:rPr>
          <w:rFonts w:eastAsia="Times New Roman" w:cs="Times New Roman"/>
          <w:szCs w:val="24"/>
        </w:rPr>
        <w:t>10.1007/s11948-006-0007-x</w:t>
      </w:r>
    </w:p>
    <w:p w14:paraId="4717788E" w14:textId="77777777" w:rsidR="001509EC" w:rsidRPr="002711A9" w:rsidRDefault="001509EC" w:rsidP="001509EC">
      <w:pPr>
        <w:spacing w:before="0" w:after="0"/>
        <w:contextualSpacing/>
      </w:pPr>
    </w:p>
    <w:p w14:paraId="4D57E210" w14:textId="77777777" w:rsidR="00400E8E" w:rsidRDefault="00BE26FD" w:rsidP="00BE26FD">
      <w:pPr>
        <w:contextualSpacing/>
      </w:pPr>
      <w:r w:rsidRPr="00593990">
        <w:t xml:space="preserve">Kurz X., </w:t>
      </w:r>
      <w:proofErr w:type="spellStart"/>
      <w:r w:rsidRPr="00593990">
        <w:t>Bauchau</w:t>
      </w:r>
      <w:proofErr w:type="spellEnd"/>
      <w:r w:rsidRPr="00593990">
        <w:t xml:space="preserve"> V., </w:t>
      </w:r>
      <w:proofErr w:type="spellStart"/>
      <w:r w:rsidRPr="00593990">
        <w:t>Mahy</w:t>
      </w:r>
      <w:proofErr w:type="spellEnd"/>
      <w:r w:rsidRPr="00593990">
        <w:t xml:space="preserve"> P., </w:t>
      </w:r>
      <w:proofErr w:type="spellStart"/>
      <w:r w:rsidRPr="00593990">
        <w:t>Glismann</w:t>
      </w:r>
      <w:proofErr w:type="spellEnd"/>
      <w:r w:rsidRPr="00593990">
        <w:t xml:space="preserve"> S., van der Aa L. M., </w:t>
      </w:r>
      <w:proofErr w:type="spellStart"/>
      <w:r w:rsidRPr="00593990">
        <w:t>Simondon</w:t>
      </w:r>
      <w:proofErr w:type="spellEnd"/>
      <w:r w:rsidRPr="00593990">
        <w:t xml:space="preserve"> F. et al. (2017). </w:t>
      </w:r>
    </w:p>
    <w:p w14:paraId="4C1E8F4F" w14:textId="336BE5B3" w:rsidR="00BE26FD" w:rsidRDefault="00BE26FD" w:rsidP="00400E8E">
      <w:pPr>
        <w:ind w:left="720"/>
        <w:contextualSpacing/>
      </w:pPr>
      <w:r w:rsidRPr="00593990">
        <w:t xml:space="preserve">ADVANCE Consortium, the ADVANCE Code of Conduct for Collaborative Vaccine Studies. </w:t>
      </w:r>
      <w:r w:rsidRPr="005C25EC">
        <w:rPr>
          <w:i/>
          <w:iCs/>
        </w:rPr>
        <w:t>Vaccine</w:t>
      </w:r>
      <w:r w:rsidRPr="00593990">
        <w:t xml:space="preserve"> 35, 1844–1855. </w:t>
      </w:r>
      <w:proofErr w:type="spellStart"/>
      <w:r w:rsidRPr="00593990">
        <w:t>doi</w:t>
      </w:r>
      <w:proofErr w:type="spellEnd"/>
      <w:r w:rsidRPr="00593990">
        <w:t xml:space="preserve">: 10.1016/ </w:t>
      </w:r>
      <w:proofErr w:type="gramStart"/>
      <w:r w:rsidRPr="00593990">
        <w:t>j.vaccine</w:t>
      </w:r>
      <w:proofErr w:type="gramEnd"/>
      <w:r w:rsidRPr="00593990">
        <w:t>.2017.02.039</w:t>
      </w:r>
    </w:p>
    <w:p w14:paraId="03E12437" w14:textId="77777777" w:rsidR="00D96212" w:rsidRDefault="00D96212" w:rsidP="001509EC">
      <w:pPr>
        <w:contextualSpacing/>
        <w:rPr>
          <w:rFonts w:eastAsia="Times New Roman" w:cs="Times New Roman"/>
          <w:szCs w:val="24"/>
        </w:rPr>
      </w:pPr>
    </w:p>
    <w:p w14:paraId="6CA7D00E" w14:textId="77777777" w:rsidR="00400E8E" w:rsidRDefault="001509EC" w:rsidP="001509EC">
      <w:pPr>
        <w:contextualSpacing/>
        <w:rPr>
          <w:rFonts w:eastAsia="Times New Roman" w:cs="Times New Roman"/>
          <w:i/>
          <w:iCs/>
          <w:szCs w:val="24"/>
        </w:rPr>
      </w:pPr>
      <w:r w:rsidRPr="001509EC">
        <w:rPr>
          <w:rFonts w:eastAsia="Times New Roman" w:cs="Times New Roman"/>
          <w:szCs w:val="24"/>
        </w:rPr>
        <w:t>National Academies of Sciences, Engineering, and Medicine (2021b).</w:t>
      </w:r>
      <w:r>
        <w:rPr>
          <w:rFonts w:eastAsia="Times New Roman" w:cs="Times New Roman"/>
          <w:szCs w:val="24"/>
        </w:rPr>
        <w:t xml:space="preserve"> </w:t>
      </w:r>
      <w:r w:rsidRPr="001509EC">
        <w:rPr>
          <w:rFonts w:eastAsia="Times New Roman" w:cs="Times New Roman"/>
          <w:i/>
          <w:iCs/>
          <w:szCs w:val="24"/>
        </w:rPr>
        <w:t xml:space="preserve">Reflecting Sunlight: </w:t>
      </w:r>
    </w:p>
    <w:p w14:paraId="241A386E" w14:textId="3F885814" w:rsidR="001509EC" w:rsidRDefault="001509EC" w:rsidP="00400E8E">
      <w:pPr>
        <w:ind w:left="720"/>
        <w:contextualSpacing/>
        <w:rPr>
          <w:rFonts w:eastAsia="Times New Roman" w:cs="Times New Roman"/>
          <w:szCs w:val="24"/>
        </w:rPr>
      </w:pPr>
      <w:r w:rsidRPr="001509EC">
        <w:rPr>
          <w:rFonts w:eastAsia="Times New Roman" w:cs="Times New Roman"/>
          <w:i/>
          <w:iCs/>
          <w:szCs w:val="24"/>
        </w:rPr>
        <w:t>Recommendations for Solar Geoengineering Research and Research Governance</w:t>
      </w:r>
      <w:r w:rsidRPr="001509EC">
        <w:rPr>
          <w:rFonts w:eastAsia="Times New Roman" w:cs="Times New Roman"/>
          <w:szCs w:val="24"/>
        </w:rPr>
        <w:t>. Washington, DC: National Academies Press.</w:t>
      </w:r>
    </w:p>
    <w:p w14:paraId="2EB095F8" w14:textId="77777777" w:rsidR="00D96212" w:rsidRDefault="00D96212" w:rsidP="002711A9">
      <w:pPr>
        <w:contextualSpacing/>
        <w:rPr>
          <w:rFonts w:eastAsia="Times New Roman" w:cs="Times New Roman"/>
          <w:szCs w:val="24"/>
        </w:rPr>
      </w:pPr>
    </w:p>
    <w:p w14:paraId="0D43DF9B" w14:textId="77777777" w:rsidR="00400E8E" w:rsidRDefault="002711A9" w:rsidP="002711A9">
      <w:pPr>
        <w:contextualSpacing/>
        <w:rPr>
          <w:rFonts w:eastAsia="Times New Roman" w:cs="Times New Roman"/>
          <w:i/>
          <w:iCs/>
          <w:szCs w:val="24"/>
        </w:rPr>
      </w:pPr>
      <w:proofErr w:type="spellStart"/>
      <w:r w:rsidRPr="00FE4D4E">
        <w:rPr>
          <w:rFonts w:eastAsia="Times New Roman" w:cs="Times New Roman"/>
          <w:szCs w:val="24"/>
        </w:rPr>
        <w:t>Organisation</w:t>
      </w:r>
      <w:proofErr w:type="spellEnd"/>
      <w:r w:rsidRPr="00FE4D4E">
        <w:rPr>
          <w:rFonts w:eastAsia="Times New Roman" w:cs="Times New Roman"/>
          <w:szCs w:val="24"/>
        </w:rPr>
        <w:t xml:space="preserve"> of Eastern Caribbean States (OECS) (2016). </w:t>
      </w:r>
      <w:r w:rsidRPr="00FE4D4E">
        <w:rPr>
          <w:rFonts w:eastAsia="Times New Roman" w:cs="Times New Roman"/>
          <w:i/>
          <w:iCs/>
          <w:szCs w:val="24"/>
        </w:rPr>
        <w:t xml:space="preserve">OECS Code of Conduct for Responsible </w:t>
      </w:r>
    </w:p>
    <w:p w14:paraId="4E6D1093" w14:textId="665F0A66" w:rsidR="002711A9" w:rsidRDefault="002711A9" w:rsidP="00400E8E">
      <w:pPr>
        <w:ind w:left="720"/>
        <w:contextualSpacing/>
        <w:rPr>
          <w:rFonts w:eastAsia="Times New Roman" w:cs="Times New Roman"/>
          <w:szCs w:val="24"/>
        </w:rPr>
      </w:pPr>
      <w:r w:rsidRPr="00FE4D4E">
        <w:rPr>
          <w:rFonts w:eastAsia="Times New Roman" w:cs="Times New Roman"/>
          <w:i/>
          <w:iCs/>
          <w:szCs w:val="24"/>
        </w:rPr>
        <w:t>Marine Research</w:t>
      </w:r>
      <w:r w:rsidRPr="00FE4D4E">
        <w:rPr>
          <w:rFonts w:eastAsia="Times New Roman" w:cs="Times New Roman"/>
          <w:szCs w:val="24"/>
        </w:rPr>
        <w:t>.</w:t>
      </w:r>
      <w:r>
        <w:rPr>
          <w:rFonts w:eastAsia="Times New Roman" w:cs="Times New Roman"/>
          <w:szCs w:val="24"/>
        </w:rPr>
        <w:t xml:space="preserve"> Castries, St. Lucia: OECS Commission.</w:t>
      </w:r>
      <w:r w:rsidRPr="00FE4D4E">
        <w:rPr>
          <w:rFonts w:eastAsia="Times New Roman" w:cs="Times New Roman"/>
          <w:szCs w:val="24"/>
        </w:rPr>
        <w:t xml:space="preserve"> </w:t>
      </w:r>
      <w:hyperlink r:id="rId15" w:history="1">
        <w:r w:rsidR="00400E8E" w:rsidRPr="0042191F">
          <w:rPr>
            <w:rStyle w:val="Hyperlink"/>
            <w:rFonts w:eastAsia="Times New Roman" w:cs="Times New Roman"/>
            <w:szCs w:val="24"/>
          </w:rPr>
          <w:t>https://www.oecs.org/en/our-work/knowledge/library/ocean-governance/ogu-code-of-conduct</w:t>
        </w:r>
      </w:hyperlink>
      <w:r w:rsidRPr="00FE4D4E">
        <w:rPr>
          <w:rFonts w:eastAsia="Times New Roman" w:cs="Times New Roman"/>
          <w:szCs w:val="24"/>
        </w:rPr>
        <w:t xml:space="preserve">. [Accessed </w:t>
      </w:r>
      <w:r>
        <w:rPr>
          <w:rFonts w:eastAsia="Times New Roman" w:cs="Times New Roman"/>
          <w:szCs w:val="24"/>
        </w:rPr>
        <w:t>26 April</w:t>
      </w:r>
      <w:r w:rsidRPr="00FE4D4E">
        <w:rPr>
          <w:rFonts w:eastAsia="Times New Roman" w:cs="Times New Roman"/>
          <w:szCs w:val="24"/>
        </w:rPr>
        <w:t xml:space="preserve"> 2022].</w:t>
      </w:r>
    </w:p>
    <w:p w14:paraId="16DBDFE2" w14:textId="77777777" w:rsidR="00D96212" w:rsidRDefault="00D96212" w:rsidP="00C725E7">
      <w:pPr>
        <w:contextualSpacing/>
        <w:rPr>
          <w:rFonts w:eastAsia="Times New Roman" w:cs="Times New Roman"/>
          <w:szCs w:val="24"/>
        </w:rPr>
      </w:pPr>
    </w:p>
    <w:p w14:paraId="244BC1A8" w14:textId="77777777" w:rsidR="00400E8E" w:rsidRDefault="00876374" w:rsidP="00C725E7">
      <w:pPr>
        <w:contextualSpacing/>
        <w:rPr>
          <w:rFonts w:eastAsia="Times New Roman" w:cs="Times New Roman"/>
          <w:szCs w:val="24"/>
        </w:rPr>
      </w:pPr>
      <w:r w:rsidRPr="00E36A51">
        <w:rPr>
          <w:rFonts w:eastAsia="Times New Roman" w:cs="Times New Roman"/>
          <w:szCs w:val="24"/>
        </w:rPr>
        <w:t xml:space="preserve">Oxford Geoengineering </w:t>
      </w:r>
      <w:proofErr w:type="spellStart"/>
      <w:r w:rsidRPr="00E36A51">
        <w:rPr>
          <w:rFonts w:eastAsia="Times New Roman" w:cs="Times New Roman"/>
          <w:szCs w:val="24"/>
        </w:rPr>
        <w:t>Programme</w:t>
      </w:r>
      <w:proofErr w:type="spellEnd"/>
      <w:r>
        <w:rPr>
          <w:rFonts w:eastAsia="Times New Roman" w:cs="Times New Roman"/>
          <w:szCs w:val="24"/>
        </w:rPr>
        <w:t xml:space="preserve"> </w:t>
      </w:r>
      <w:r w:rsidR="00CF2D57">
        <w:rPr>
          <w:rFonts w:eastAsia="Times New Roman" w:cs="Times New Roman"/>
          <w:szCs w:val="24"/>
        </w:rPr>
        <w:t>(</w:t>
      </w:r>
      <w:r>
        <w:rPr>
          <w:rFonts w:eastAsia="Times New Roman" w:cs="Times New Roman"/>
          <w:szCs w:val="24"/>
        </w:rPr>
        <w:t>2009</w:t>
      </w:r>
      <w:r w:rsidR="00CF2D57">
        <w:rPr>
          <w:rFonts w:eastAsia="Times New Roman" w:cs="Times New Roman"/>
          <w:szCs w:val="24"/>
        </w:rPr>
        <w:t xml:space="preserve">). </w:t>
      </w:r>
      <w:r w:rsidR="00CF2D57" w:rsidRPr="00CF2D57">
        <w:rPr>
          <w:rFonts w:eastAsia="Times New Roman" w:cs="Times New Roman"/>
          <w:i/>
          <w:iCs/>
          <w:szCs w:val="24"/>
        </w:rPr>
        <w:t>The Oxford Principles</w:t>
      </w:r>
      <w:r w:rsidR="00CF2D57">
        <w:rPr>
          <w:rFonts w:eastAsia="Times New Roman" w:cs="Times New Roman"/>
          <w:szCs w:val="24"/>
        </w:rPr>
        <w:t xml:space="preserve">. London, England: The Stationary </w:t>
      </w:r>
    </w:p>
    <w:p w14:paraId="5E9F4009" w14:textId="20917085" w:rsidR="00876374" w:rsidRDefault="00CF2D57" w:rsidP="00400E8E">
      <w:pPr>
        <w:ind w:left="720"/>
        <w:contextualSpacing/>
        <w:rPr>
          <w:rFonts w:eastAsia="Times New Roman" w:cs="Times New Roman"/>
          <w:szCs w:val="24"/>
        </w:rPr>
      </w:pPr>
      <w:r>
        <w:rPr>
          <w:rFonts w:eastAsia="Times New Roman" w:cs="Times New Roman"/>
          <w:szCs w:val="24"/>
        </w:rPr>
        <w:t xml:space="preserve">Office Limited. </w:t>
      </w:r>
      <w:hyperlink r:id="rId16" w:history="1">
        <w:r w:rsidR="00400E8E" w:rsidRPr="0042191F">
          <w:rPr>
            <w:rStyle w:val="Hyperlink"/>
            <w:rFonts w:eastAsia="Times New Roman" w:cs="Times New Roman"/>
            <w:szCs w:val="24"/>
          </w:rPr>
          <w:t>http</w:t>
        </w:r>
        <w:r w:rsidR="00400E8E" w:rsidRPr="0042191F">
          <w:rPr>
            <w:rStyle w:val="Hyperlink"/>
            <w:rFonts w:eastAsia="Times New Roman" w:cs="Times New Roman"/>
            <w:szCs w:val="24"/>
          </w:rPr>
          <w:t>:</w:t>
        </w:r>
        <w:r w:rsidR="00400E8E" w:rsidRPr="0042191F">
          <w:rPr>
            <w:rStyle w:val="Hyperlink"/>
            <w:rFonts w:eastAsia="Times New Roman" w:cs="Times New Roman"/>
            <w:szCs w:val="24"/>
          </w:rPr>
          <w:t>//www.geoengineering.ox.ac.uk/www.geoengineering.ox.ac.uk/oxford-principles/principles</w:t>
        </w:r>
      </w:hyperlink>
      <w:r>
        <w:rPr>
          <w:rFonts w:eastAsia="Times New Roman" w:cs="Times New Roman"/>
          <w:szCs w:val="24"/>
        </w:rPr>
        <w:t>. [Accessed 26 April 2022].</w:t>
      </w:r>
    </w:p>
    <w:p w14:paraId="0DEF6B63" w14:textId="77777777" w:rsidR="00D96212" w:rsidRDefault="00D96212" w:rsidP="00C725E7">
      <w:pPr>
        <w:contextualSpacing/>
        <w:rPr>
          <w:rFonts w:eastAsia="Times New Roman" w:cs="Times New Roman"/>
          <w:szCs w:val="24"/>
        </w:rPr>
      </w:pPr>
    </w:p>
    <w:p w14:paraId="51311A61" w14:textId="77777777" w:rsidR="00400E8E" w:rsidRDefault="00876374" w:rsidP="00C725E7">
      <w:pPr>
        <w:contextualSpacing/>
        <w:rPr>
          <w:rFonts w:eastAsia="Times New Roman" w:cs="Times New Roman"/>
          <w:szCs w:val="24"/>
        </w:rPr>
      </w:pPr>
      <w:r>
        <w:rPr>
          <w:rFonts w:eastAsia="Times New Roman" w:cs="Times New Roman"/>
          <w:szCs w:val="24"/>
        </w:rPr>
        <w:t xml:space="preserve">Rohde </w:t>
      </w:r>
      <w:r w:rsidR="00CF2D57">
        <w:rPr>
          <w:rFonts w:eastAsia="Times New Roman" w:cs="Times New Roman"/>
          <w:szCs w:val="24"/>
        </w:rPr>
        <w:t xml:space="preserve">C., Smith D., Martin D., </w:t>
      </w:r>
      <w:proofErr w:type="spellStart"/>
      <w:r w:rsidR="00CF2D57">
        <w:rPr>
          <w:rFonts w:eastAsia="Times New Roman" w:cs="Times New Roman"/>
          <w:szCs w:val="24"/>
        </w:rPr>
        <w:t>Fritze</w:t>
      </w:r>
      <w:proofErr w:type="spellEnd"/>
      <w:r w:rsidR="00CF2D57">
        <w:rPr>
          <w:rFonts w:eastAsia="Times New Roman" w:cs="Times New Roman"/>
          <w:szCs w:val="24"/>
        </w:rPr>
        <w:t xml:space="preserve"> D., </w:t>
      </w:r>
      <w:proofErr w:type="spellStart"/>
      <w:r w:rsidR="00CF2D57">
        <w:rPr>
          <w:rFonts w:eastAsia="Times New Roman" w:cs="Times New Roman"/>
          <w:szCs w:val="24"/>
        </w:rPr>
        <w:t>Stalpers</w:t>
      </w:r>
      <w:proofErr w:type="spellEnd"/>
      <w:r w:rsidR="00CF2D57">
        <w:rPr>
          <w:rFonts w:eastAsia="Times New Roman" w:cs="Times New Roman"/>
          <w:szCs w:val="24"/>
        </w:rPr>
        <w:t xml:space="preserve"> J. (</w:t>
      </w:r>
      <w:r>
        <w:rPr>
          <w:rFonts w:eastAsia="Times New Roman" w:cs="Times New Roman"/>
          <w:szCs w:val="24"/>
        </w:rPr>
        <w:t>2013</w:t>
      </w:r>
      <w:r w:rsidR="00CF2D57">
        <w:rPr>
          <w:rFonts w:eastAsia="Times New Roman" w:cs="Times New Roman"/>
          <w:szCs w:val="24"/>
        </w:rPr>
        <w:t xml:space="preserve">). Code of Conduct on Biosecurity for </w:t>
      </w:r>
    </w:p>
    <w:p w14:paraId="71BE5296" w14:textId="06965B16" w:rsidR="00876374" w:rsidRDefault="00CF2D57" w:rsidP="00400E8E">
      <w:pPr>
        <w:ind w:left="720"/>
        <w:contextualSpacing/>
        <w:rPr>
          <w:rFonts w:eastAsia="Times New Roman" w:cs="Times New Roman"/>
          <w:szCs w:val="24"/>
        </w:rPr>
      </w:pPr>
      <w:r>
        <w:rPr>
          <w:rFonts w:eastAsia="Times New Roman" w:cs="Times New Roman"/>
          <w:szCs w:val="24"/>
        </w:rPr>
        <w:t xml:space="preserve">Biological Resource </w:t>
      </w:r>
      <w:proofErr w:type="spellStart"/>
      <w:r>
        <w:rPr>
          <w:rFonts w:eastAsia="Times New Roman" w:cs="Times New Roman"/>
          <w:szCs w:val="24"/>
        </w:rPr>
        <w:t>Centres</w:t>
      </w:r>
      <w:proofErr w:type="spellEnd"/>
      <w:r>
        <w:rPr>
          <w:rFonts w:eastAsia="Times New Roman" w:cs="Times New Roman"/>
          <w:szCs w:val="24"/>
        </w:rPr>
        <w:t>: Procedu</w:t>
      </w:r>
      <w:r w:rsidR="00525FB8">
        <w:rPr>
          <w:rFonts w:eastAsia="Times New Roman" w:cs="Times New Roman"/>
          <w:szCs w:val="24"/>
        </w:rPr>
        <w:t>r</w:t>
      </w:r>
      <w:r>
        <w:rPr>
          <w:rFonts w:eastAsia="Times New Roman" w:cs="Times New Roman"/>
          <w:szCs w:val="24"/>
        </w:rPr>
        <w:t xml:space="preserve">al </w:t>
      </w:r>
      <w:r w:rsidR="00525FB8">
        <w:rPr>
          <w:rFonts w:eastAsia="Times New Roman" w:cs="Times New Roman"/>
          <w:szCs w:val="24"/>
        </w:rPr>
        <w:t>Implementation</w:t>
      </w:r>
      <w:r>
        <w:rPr>
          <w:rFonts w:eastAsia="Times New Roman" w:cs="Times New Roman"/>
          <w:szCs w:val="24"/>
        </w:rPr>
        <w:t xml:space="preserve">. </w:t>
      </w:r>
      <w:r w:rsidRPr="00525FB8">
        <w:rPr>
          <w:rFonts w:eastAsia="Times New Roman" w:cs="Times New Roman"/>
          <w:i/>
          <w:iCs/>
          <w:szCs w:val="24"/>
        </w:rPr>
        <w:t xml:space="preserve">Int. J. Syst. </w:t>
      </w:r>
      <w:proofErr w:type="spellStart"/>
      <w:r w:rsidRPr="00525FB8">
        <w:rPr>
          <w:rFonts w:eastAsia="Times New Roman" w:cs="Times New Roman"/>
          <w:i/>
          <w:iCs/>
          <w:szCs w:val="24"/>
        </w:rPr>
        <w:t>Evol</w:t>
      </w:r>
      <w:proofErr w:type="spellEnd"/>
      <w:r w:rsidRPr="00525FB8">
        <w:rPr>
          <w:rFonts w:eastAsia="Times New Roman" w:cs="Times New Roman"/>
          <w:i/>
          <w:iCs/>
          <w:szCs w:val="24"/>
        </w:rPr>
        <w:t xml:space="preserve">. </w:t>
      </w:r>
      <w:proofErr w:type="spellStart"/>
      <w:r w:rsidRPr="00525FB8">
        <w:rPr>
          <w:rFonts w:eastAsia="Times New Roman" w:cs="Times New Roman"/>
          <w:i/>
          <w:iCs/>
          <w:szCs w:val="24"/>
        </w:rPr>
        <w:t>Micr</w:t>
      </w:r>
      <w:proofErr w:type="spellEnd"/>
      <w:r>
        <w:rPr>
          <w:rFonts w:eastAsia="Times New Roman" w:cs="Times New Roman"/>
          <w:szCs w:val="24"/>
        </w:rPr>
        <w:t>. 63</w:t>
      </w:r>
      <w:r w:rsidR="00525FB8">
        <w:rPr>
          <w:rFonts w:eastAsia="Times New Roman" w:cs="Times New Roman"/>
          <w:szCs w:val="24"/>
        </w:rPr>
        <w:t>,</w:t>
      </w:r>
      <w:r>
        <w:rPr>
          <w:rFonts w:eastAsia="Times New Roman" w:cs="Times New Roman"/>
          <w:szCs w:val="24"/>
        </w:rPr>
        <w:t xml:space="preserve"> 2374</w:t>
      </w:r>
      <w:r w:rsidRPr="00CF2D57">
        <w:rPr>
          <w:rFonts w:eastAsia="Times New Roman" w:cs="Times New Roman"/>
          <w:szCs w:val="24"/>
        </w:rPr>
        <w:t>–</w:t>
      </w:r>
      <w:r>
        <w:rPr>
          <w:rFonts w:eastAsia="Times New Roman" w:cs="Times New Roman"/>
          <w:szCs w:val="24"/>
        </w:rPr>
        <w:t xml:space="preserve">2382. </w:t>
      </w:r>
      <w:r w:rsidR="00525FB8">
        <w:rPr>
          <w:rFonts w:eastAsia="Times New Roman" w:cs="Times New Roman"/>
          <w:szCs w:val="24"/>
        </w:rPr>
        <w:t>d</w:t>
      </w:r>
      <w:r>
        <w:rPr>
          <w:rFonts w:eastAsia="Times New Roman" w:cs="Times New Roman"/>
          <w:szCs w:val="24"/>
        </w:rPr>
        <w:t>oi:1099/ijs.0.051961-0</w:t>
      </w:r>
    </w:p>
    <w:p w14:paraId="127A0835" w14:textId="77777777" w:rsidR="00D96212" w:rsidRDefault="00D96212" w:rsidP="00C725E7">
      <w:pPr>
        <w:contextualSpacing/>
        <w:rPr>
          <w:rFonts w:eastAsia="Times New Roman" w:cs="Times New Roman"/>
          <w:szCs w:val="24"/>
        </w:rPr>
      </w:pPr>
    </w:p>
    <w:p w14:paraId="6E4B45B5" w14:textId="77777777" w:rsidR="00400E8E" w:rsidRDefault="009B410D" w:rsidP="00C725E7">
      <w:pPr>
        <w:contextualSpacing/>
        <w:rPr>
          <w:rFonts w:eastAsia="Times New Roman" w:cs="Times New Roman"/>
          <w:i/>
          <w:iCs/>
          <w:szCs w:val="24"/>
        </w:rPr>
      </w:pPr>
      <w:r w:rsidRPr="009B410D">
        <w:rPr>
          <w:rFonts w:eastAsia="Times New Roman" w:cs="Times New Roman"/>
          <w:szCs w:val="24"/>
        </w:rPr>
        <w:lastRenderedPageBreak/>
        <w:t xml:space="preserve">Society for Marine </w:t>
      </w:r>
      <w:proofErr w:type="spellStart"/>
      <w:r w:rsidRPr="009B410D">
        <w:rPr>
          <w:rFonts w:eastAsia="Times New Roman" w:cs="Times New Roman"/>
          <w:szCs w:val="24"/>
        </w:rPr>
        <w:t>Mammology</w:t>
      </w:r>
      <w:proofErr w:type="spellEnd"/>
      <w:r w:rsidRPr="009B410D">
        <w:rPr>
          <w:rFonts w:eastAsia="Times New Roman" w:cs="Times New Roman"/>
          <w:szCs w:val="24"/>
        </w:rPr>
        <w:t xml:space="preserve"> (2013). </w:t>
      </w:r>
      <w:r w:rsidRPr="009B410D">
        <w:rPr>
          <w:rFonts w:eastAsia="Times New Roman" w:cs="Times New Roman"/>
          <w:i/>
          <w:iCs/>
          <w:szCs w:val="24"/>
        </w:rPr>
        <w:t xml:space="preserve">Code of Professional Ethics for the Society of Marine </w:t>
      </w:r>
    </w:p>
    <w:p w14:paraId="364C6D7C" w14:textId="319AEB01" w:rsidR="009B410D" w:rsidRDefault="009B410D" w:rsidP="00400E8E">
      <w:pPr>
        <w:ind w:left="720"/>
        <w:contextualSpacing/>
        <w:rPr>
          <w:rFonts w:eastAsia="Times New Roman" w:cs="Times New Roman"/>
          <w:szCs w:val="24"/>
        </w:rPr>
      </w:pPr>
      <w:proofErr w:type="spellStart"/>
      <w:r w:rsidRPr="009B410D">
        <w:rPr>
          <w:rFonts w:eastAsia="Times New Roman" w:cs="Times New Roman"/>
          <w:i/>
          <w:iCs/>
          <w:szCs w:val="24"/>
        </w:rPr>
        <w:t>Mammology</w:t>
      </w:r>
      <w:proofErr w:type="spellEnd"/>
      <w:r w:rsidRPr="009B410D">
        <w:rPr>
          <w:rFonts w:eastAsia="Times New Roman" w:cs="Times New Roman"/>
          <w:szCs w:val="24"/>
        </w:rPr>
        <w:t xml:space="preserve">. Yarmouth Port, MA: Society of Marine </w:t>
      </w:r>
      <w:proofErr w:type="spellStart"/>
      <w:r w:rsidRPr="009B410D">
        <w:rPr>
          <w:rFonts w:eastAsia="Times New Roman" w:cs="Times New Roman"/>
          <w:szCs w:val="24"/>
        </w:rPr>
        <w:t>Mammology</w:t>
      </w:r>
      <w:proofErr w:type="spellEnd"/>
      <w:r w:rsidRPr="009B410D">
        <w:rPr>
          <w:rFonts w:eastAsia="Times New Roman" w:cs="Times New Roman"/>
          <w:szCs w:val="24"/>
        </w:rPr>
        <w:t xml:space="preserve">. </w:t>
      </w:r>
      <w:hyperlink r:id="rId17" w:history="1">
        <w:r w:rsidR="00400E8E" w:rsidRPr="0042191F">
          <w:rPr>
            <w:rStyle w:val="Hyperlink"/>
            <w:rFonts w:eastAsia="Times New Roman" w:cs="Times New Roman"/>
            <w:szCs w:val="24"/>
          </w:rPr>
          <w:t>https://marinemammalscience.org/about-us/ethics/professional-ethi</w:t>
        </w:r>
        <w:r w:rsidR="00400E8E" w:rsidRPr="0042191F">
          <w:rPr>
            <w:rStyle w:val="Hyperlink"/>
            <w:rFonts w:eastAsia="Times New Roman" w:cs="Times New Roman"/>
            <w:szCs w:val="24"/>
          </w:rPr>
          <w:t>c</w:t>
        </w:r>
        <w:r w:rsidR="00400E8E" w:rsidRPr="0042191F">
          <w:rPr>
            <w:rStyle w:val="Hyperlink"/>
            <w:rFonts w:eastAsia="Times New Roman" w:cs="Times New Roman"/>
            <w:szCs w:val="24"/>
          </w:rPr>
          <w:t>s-code/</w:t>
        </w:r>
      </w:hyperlink>
      <w:r w:rsidRPr="009B410D">
        <w:rPr>
          <w:rFonts w:eastAsia="Times New Roman" w:cs="Times New Roman"/>
          <w:szCs w:val="24"/>
        </w:rPr>
        <w:t>. [Accessed 4 February 2022].</w:t>
      </w:r>
      <w:r w:rsidRPr="009B410D">
        <w:rPr>
          <w:rFonts w:eastAsia="Times New Roman" w:cs="Times New Roman"/>
          <w:szCs w:val="24"/>
        </w:rPr>
        <w:t xml:space="preserve"> </w:t>
      </w:r>
    </w:p>
    <w:sectPr w:rsidR="009B410D"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5796A" w14:textId="77777777" w:rsidR="001F330E" w:rsidRDefault="001F330E" w:rsidP="00117666">
      <w:pPr>
        <w:spacing w:after="0"/>
      </w:pPr>
      <w:r>
        <w:separator/>
      </w:r>
    </w:p>
  </w:endnote>
  <w:endnote w:type="continuationSeparator" w:id="0">
    <w:p w14:paraId="6119ACDF" w14:textId="77777777" w:rsidR="001F330E" w:rsidRDefault="001F330E"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EC3A87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C2EE2">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" filled="f" stroked="f" strokeweight=".5pt">
              <v:textbox style="mso-fit-shape-to-text:t">
                <w:txbxContent>
                  <w:p w14:paraId="50BC4D33" w14:textId="7EC3A879"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C2EE2">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08BAAE4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C2EE2">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" filled="f" stroked="f" strokeweight=".5pt">
              <v:textbox style="mso-fit-shape-to-text:t">
                <w:txbxContent>
                  <w:p w14:paraId="570F0D09" w14:textId="08BAAE41"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C2EE2">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16CE5" w14:textId="77777777" w:rsidR="001F330E" w:rsidRDefault="001F330E" w:rsidP="00117666">
      <w:pPr>
        <w:spacing w:after="0"/>
      </w:pPr>
      <w:r>
        <w:separator/>
      </w:r>
    </w:p>
  </w:footnote>
  <w:footnote w:type="continuationSeparator" w:id="0">
    <w:p w14:paraId="255AF44B" w14:textId="77777777" w:rsidR="001F330E" w:rsidRDefault="001F330E"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2C903142"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r w:rsidR="00C45CD9">
      <w:rPr>
        <w:rFonts w:cs="Times New Roman"/>
      </w:rPr>
      <w:t xml:space="preserve"> for Loomis et al.,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1CAB"/>
    <w:rsid w:val="00052A14"/>
    <w:rsid w:val="00077D53"/>
    <w:rsid w:val="0008227D"/>
    <w:rsid w:val="00105FD9"/>
    <w:rsid w:val="00117666"/>
    <w:rsid w:val="00140A5F"/>
    <w:rsid w:val="001509EC"/>
    <w:rsid w:val="001549D3"/>
    <w:rsid w:val="00160065"/>
    <w:rsid w:val="00177D84"/>
    <w:rsid w:val="00194887"/>
    <w:rsid w:val="001D020A"/>
    <w:rsid w:val="001F330E"/>
    <w:rsid w:val="0021231E"/>
    <w:rsid w:val="00267D18"/>
    <w:rsid w:val="002711A9"/>
    <w:rsid w:val="00274347"/>
    <w:rsid w:val="002833E6"/>
    <w:rsid w:val="002868E2"/>
    <w:rsid w:val="002869C3"/>
    <w:rsid w:val="002936E4"/>
    <w:rsid w:val="002B4A57"/>
    <w:rsid w:val="002C2EE2"/>
    <w:rsid w:val="002C74CA"/>
    <w:rsid w:val="003123F4"/>
    <w:rsid w:val="00351B13"/>
    <w:rsid w:val="003544FB"/>
    <w:rsid w:val="003D2F2D"/>
    <w:rsid w:val="00400E8E"/>
    <w:rsid w:val="00401590"/>
    <w:rsid w:val="00444A04"/>
    <w:rsid w:val="00447801"/>
    <w:rsid w:val="00452E9C"/>
    <w:rsid w:val="004735C8"/>
    <w:rsid w:val="00492533"/>
    <w:rsid w:val="004947A6"/>
    <w:rsid w:val="004961FF"/>
    <w:rsid w:val="004A0896"/>
    <w:rsid w:val="00517A89"/>
    <w:rsid w:val="005250F2"/>
    <w:rsid w:val="00525FB8"/>
    <w:rsid w:val="00551481"/>
    <w:rsid w:val="00593EEA"/>
    <w:rsid w:val="005A5EEE"/>
    <w:rsid w:val="005B33BA"/>
    <w:rsid w:val="005C259C"/>
    <w:rsid w:val="005C25EC"/>
    <w:rsid w:val="00602826"/>
    <w:rsid w:val="006375C7"/>
    <w:rsid w:val="00654E8F"/>
    <w:rsid w:val="00660D05"/>
    <w:rsid w:val="006820B1"/>
    <w:rsid w:val="00686C14"/>
    <w:rsid w:val="006A0648"/>
    <w:rsid w:val="006B7D14"/>
    <w:rsid w:val="006F48A5"/>
    <w:rsid w:val="00701727"/>
    <w:rsid w:val="0070566C"/>
    <w:rsid w:val="00714C50"/>
    <w:rsid w:val="00725A7D"/>
    <w:rsid w:val="007501BE"/>
    <w:rsid w:val="00790BB3"/>
    <w:rsid w:val="007C206C"/>
    <w:rsid w:val="007E2A7B"/>
    <w:rsid w:val="00817DD6"/>
    <w:rsid w:val="0083759F"/>
    <w:rsid w:val="00874771"/>
    <w:rsid w:val="00876374"/>
    <w:rsid w:val="00881723"/>
    <w:rsid w:val="00885156"/>
    <w:rsid w:val="00906F9D"/>
    <w:rsid w:val="009151AA"/>
    <w:rsid w:val="009219ED"/>
    <w:rsid w:val="0092306A"/>
    <w:rsid w:val="00927596"/>
    <w:rsid w:val="0093429D"/>
    <w:rsid w:val="00943573"/>
    <w:rsid w:val="00964134"/>
    <w:rsid w:val="00964C40"/>
    <w:rsid w:val="00970F7D"/>
    <w:rsid w:val="00994A3D"/>
    <w:rsid w:val="009967CF"/>
    <w:rsid w:val="009B410D"/>
    <w:rsid w:val="009C2B12"/>
    <w:rsid w:val="00A174D9"/>
    <w:rsid w:val="00AA4D24"/>
    <w:rsid w:val="00AB6715"/>
    <w:rsid w:val="00B1671E"/>
    <w:rsid w:val="00B25EB8"/>
    <w:rsid w:val="00B37F4D"/>
    <w:rsid w:val="00BD505D"/>
    <w:rsid w:val="00BE26FD"/>
    <w:rsid w:val="00C41294"/>
    <w:rsid w:val="00C45CD9"/>
    <w:rsid w:val="00C52A7B"/>
    <w:rsid w:val="00C56BAF"/>
    <w:rsid w:val="00C679AA"/>
    <w:rsid w:val="00C725E7"/>
    <w:rsid w:val="00C75972"/>
    <w:rsid w:val="00CC36EC"/>
    <w:rsid w:val="00CD066B"/>
    <w:rsid w:val="00CE4FEE"/>
    <w:rsid w:val="00CF2D57"/>
    <w:rsid w:val="00CF7304"/>
    <w:rsid w:val="00D060CF"/>
    <w:rsid w:val="00D60E71"/>
    <w:rsid w:val="00D742EA"/>
    <w:rsid w:val="00D96212"/>
    <w:rsid w:val="00DB59C3"/>
    <w:rsid w:val="00DC259A"/>
    <w:rsid w:val="00DE198A"/>
    <w:rsid w:val="00DE23E8"/>
    <w:rsid w:val="00E0180B"/>
    <w:rsid w:val="00E3310B"/>
    <w:rsid w:val="00E52377"/>
    <w:rsid w:val="00E537AD"/>
    <w:rsid w:val="00E603DC"/>
    <w:rsid w:val="00E64E17"/>
    <w:rsid w:val="00E81F96"/>
    <w:rsid w:val="00E866C9"/>
    <w:rsid w:val="00EA3D3C"/>
    <w:rsid w:val="00EC090A"/>
    <w:rsid w:val="00ED20B5"/>
    <w:rsid w:val="00F23820"/>
    <w:rsid w:val="00F46900"/>
    <w:rsid w:val="00F61D89"/>
    <w:rsid w:val="00FE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Revision">
    <w:name w:val="Revision"/>
    <w:hidden/>
    <w:uiPriority w:val="99"/>
    <w:semiHidden/>
    <w:rsid w:val="00C41294"/>
    <w:pPr>
      <w:spacing w:after="0" w:line="240" w:lineRule="auto"/>
    </w:pPr>
    <w:rPr>
      <w:rFonts w:ascii="Times New Roman" w:hAnsi="Times New Roman"/>
      <w:sz w:val="24"/>
    </w:rPr>
  </w:style>
  <w:style w:type="character" w:styleId="UnresolvedMention">
    <w:name w:val="Unresolved Mention"/>
    <w:basedOn w:val="DefaultParagraphFont"/>
    <w:uiPriority w:val="99"/>
    <w:semiHidden/>
    <w:unhideWhenUsed/>
    <w:rsid w:val="00CF2D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79851">
      <w:bodyDiv w:val="1"/>
      <w:marLeft w:val="0"/>
      <w:marRight w:val="0"/>
      <w:marTop w:val="0"/>
      <w:marBottom w:val="0"/>
      <w:divBdr>
        <w:top w:val="none" w:sz="0" w:space="0" w:color="auto"/>
        <w:left w:val="none" w:sz="0" w:space="0" w:color="auto"/>
        <w:bottom w:val="none" w:sz="0" w:space="0" w:color="auto"/>
        <w:right w:val="none" w:sz="0" w:space="0" w:color="auto"/>
      </w:divBdr>
    </w:div>
    <w:div w:id="274290745">
      <w:bodyDiv w:val="1"/>
      <w:marLeft w:val="0"/>
      <w:marRight w:val="0"/>
      <w:marTop w:val="0"/>
      <w:marBottom w:val="0"/>
      <w:divBdr>
        <w:top w:val="none" w:sz="0" w:space="0" w:color="auto"/>
        <w:left w:val="none" w:sz="0" w:space="0" w:color="auto"/>
        <w:bottom w:val="none" w:sz="0" w:space="0" w:color="auto"/>
        <w:right w:val="none" w:sz="0" w:space="0" w:color="auto"/>
      </w:divBdr>
      <w:divsChild>
        <w:div w:id="162360818">
          <w:marLeft w:val="0"/>
          <w:marRight w:val="0"/>
          <w:marTop w:val="0"/>
          <w:marBottom w:val="0"/>
          <w:divBdr>
            <w:top w:val="none" w:sz="0" w:space="0" w:color="auto"/>
            <w:left w:val="none" w:sz="0" w:space="0" w:color="auto"/>
            <w:bottom w:val="none" w:sz="0" w:space="0" w:color="auto"/>
            <w:right w:val="none" w:sz="0" w:space="0" w:color="auto"/>
          </w:divBdr>
          <w:divsChild>
            <w:div w:id="1264219862">
              <w:marLeft w:val="0"/>
              <w:marRight w:val="0"/>
              <w:marTop w:val="0"/>
              <w:marBottom w:val="0"/>
              <w:divBdr>
                <w:top w:val="none" w:sz="0" w:space="0" w:color="auto"/>
                <w:left w:val="none" w:sz="0" w:space="0" w:color="auto"/>
                <w:bottom w:val="none" w:sz="0" w:space="0" w:color="auto"/>
                <w:right w:val="none" w:sz="0" w:space="0" w:color="auto"/>
              </w:divBdr>
              <w:divsChild>
                <w:div w:id="165486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21303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ucalgary.ca/sites/default/files/teams/463/revised-code-of-conduct-for-geoengineering-research-2017-huber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p.europa.eu/en/publication-detail/-/publication/a8b7d91c-a987-4a3d-a7f4-efc864b5cbfd" TargetMode="External"/><Relationship Id="rId17" Type="http://schemas.openxmlformats.org/officeDocument/2006/relationships/hyperlink" Target="https://marinemammalscience.org/about-us/ethics/professional-ethics-code/" TargetMode="External"/><Relationship Id="rId2" Type="http://schemas.openxmlformats.org/officeDocument/2006/relationships/numbering" Target="numbering.xml"/><Relationship Id="rId16" Type="http://schemas.openxmlformats.org/officeDocument/2006/relationships/hyperlink" Target="http://www.geoengineering.ox.ac.uk/www.geoengineering.ox.ac.uk/oxford-principles/princip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oecs.org/en/our-work/knowledge/library/ocean-governance/ogu-code-of-conduct"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ain.icmr.nic.in/sites/default/files/guidelines/coe%20of%20conduct%20for%20research%20scientists%20engaged%20in%20the%20field%20of%20life%20scienc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8A076D3-3699-40A1-BEBE-37A9C996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C:\Users\joshua.stocco\Documents\Templates\Frontiers_Word_Templates\Supplementary_Material.dotx</Template>
  <TotalTime>0</TotalTime>
  <Pages>6</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Loomis, Becca</cp:lastModifiedBy>
  <cp:revision>2</cp:revision>
  <cp:lastPrinted>2013-10-03T12:51:00Z</cp:lastPrinted>
  <dcterms:created xsi:type="dcterms:W3CDTF">2022-04-26T14:33:00Z</dcterms:created>
  <dcterms:modified xsi:type="dcterms:W3CDTF">2022-04-26T14:33:00Z</dcterms:modified>
</cp:coreProperties>
</file>