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D5A427" w14:textId="1BE99EF1" w:rsidR="00EA3D3C" w:rsidRDefault="00654E8F" w:rsidP="0001436A">
      <w:pPr>
        <w:pStyle w:val="Heading1"/>
      </w:pPr>
      <w:r w:rsidRPr="00994A3D">
        <w:t xml:space="preserve">Supplementary </w:t>
      </w:r>
      <w:r w:rsidR="003B33A1">
        <w:t>Methods</w:t>
      </w:r>
    </w:p>
    <w:p w14:paraId="6C833B98" w14:textId="421AC457" w:rsidR="003B33A1" w:rsidRDefault="003B33A1" w:rsidP="003B33A1">
      <w:pPr>
        <w:pStyle w:val="Heading2"/>
      </w:pPr>
      <w:r>
        <w:t>Polygenic Score Development Methods</w:t>
      </w:r>
    </w:p>
    <w:p w14:paraId="17EB15F3" w14:textId="5DCC65A1" w:rsidR="003B33A1" w:rsidRDefault="003B33A1" w:rsidP="003B33A1">
      <w:pPr>
        <w:pStyle w:val="Heading3"/>
      </w:pPr>
      <w:r>
        <w:t>Phenotype definition</w:t>
      </w:r>
    </w:p>
    <w:p w14:paraId="450464F2" w14:textId="77777777" w:rsidR="0019198A" w:rsidRDefault="003B4283" w:rsidP="0019198A">
      <w:r>
        <w:t>Cases and controls were defined based on self-reported responses to questions about current or past diagnosis of type 2 diabetes. All question phrasings focused on receiving a diagnosis of or treatment for type 2 diabetes. Although some phrasings had minor differences, the general phrasing was: “Have you ever been diagnosed with, or treated for, type 2 diabetes”. Participants answering affirmatively for either condition were treated as cases, while those who report no history of type 2 diabetes diagnosis were counted as controls.</w:t>
      </w:r>
      <w:r w:rsidR="0019198A">
        <w:t xml:space="preserve"> Participants who reported latent autoimmune diabetes in adults (LADA), maturity onset diabetes of the young (MODY), or only history of gestational diabetes were not counted as T2D cases. Participants who reported any history of diagnosis of “high blood sugar or prediabetes” were counted as cases of prediabetes.</w:t>
      </w:r>
    </w:p>
    <w:p w14:paraId="0B8DFDB8" w14:textId="027E3AB6" w:rsidR="00DB6B9D" w:rsidRDefault="0019198A" w:rsidP="002626B8">
      <w:r>
        <w:t xml:space="preserve">Those who reported a history of T2D diagnosis were asked follow-up questions about history of prescription treatment (metformin, insulin) and physician-directed lifestyle modifications. These participants were also asked about history of diagnosis of </w:t>
      </w:r>
      <w:r w:rsidRPr="00E1464D">
        <w:t>diabetes microvascular complication</w:t>
      </w:r>
      <w:r>
        <w:t xml:space="preserve">s: neuropathy, nephropathy, and retinopathy. </w:t>
      </w:r>
    </w:p>
    <w:p w14:paraId="21AB445B" w14:textId="13E1CAA2" w:rsidR="003B33A1" w:rsidRDefault="003B33A1" w:rsidP="003B33A1">
      <w:pPr>
        <w:pStyle w:val="Heading3"/>
      </w:pPr>
      <w:r>
        <w:t>Model description</w:t>
      </w:r>
    </w:p>
    <w:p w14:paraId="330E8FA8" w14:textId="77777777" w:rsidR="002626B8" w:rsidRDefault="002626B8" w:rsidP="002626B8">
      <w:r>
        <w:t>Model development was conducted as described previously (Ashenhurst et al., 2020). For the development of the polygenic score (PGS), there was sufficient data to attempt ancestry-specific GWAS among those of European, Hispanic/Latino and Black/African American descent. These three GWAS were combined in a meta-analysis, from which SNP sets were selected. The GWAS meta-analysis summary statistics were pruned using p-value thresholds: 0.05, 0.005, 0.0005, and window distances: 0, 10,000, 50,000 kb.</w:t>
      </w:r>
    </w:p>
    <w:p w14:paraId="50A9F8D2" w14:textId="77777777" w:rsidR="002626B8" w:rsidRDefault="002626B8" w:rsidP="002626B8">
      <w:r>
        <w:t xml:space="preserve">For model training, the European, Hispanic/Latino, and Black/African American training cohorts were combined into a mega-cohort, with genetic features optimized against ancestry-specific validation sets composed of individuals of European, Hispanic/Latino, Black/African American descent. </w:t>
      </w:r>
    </w:p>
    <w:p w14:paraId="23BB737F" w14:textId="6D55F21D" w:rsidR="002626B8" w:rsidRDefault="002626B8" w:rsidP="002626B8">
      <w:r>
        <w:t xml:space="preserve">Two variant sets were selected as the best model based on performance in the tuning sets, and were finally assessed in ancestry-specific test sets (Supplemental Table 2). Additional features included in model training were age and age^2, interactions between sex and age terms, as well as the first ten global principal components (PCs) to account for population stratification. </w:t>
      </w:r>
    </w:p>
    <w:p w14:paraId="5A0D02C5" w14:textId="2D1EBCA4" w:rsidR="000A767C" w:rsidRPr="000A767C" w:rsidRDefault="00654E8F" w:rsidP="000A767C">
      <w:pPr>
        <w:pStyle w:val="Heading1"/>
      </w:pPr>
      <w:r w:rsidRPr="00994A3D">
        <w:t>Supplementary Figures and Tables</w:t>
      </w:r>
    </w:p>
    <w:p w14:paraId="63D7C2B0" w14:textId="77777777" w:rsidR="00994A3D" w:rsidRPr="001549D3" w:rsidRDefault="00994A3D" w:rsidP="0001436A">
      <w:pPr>
        <w:pStyle w:val="Heading2"/>
      </w:pPr>
      <w:r w:rsidRPr="0001436A">
        <w:t>Supplementary</w:t>
      </w:r>
      <w:r w:rsidRPr="001549D3">
        <w:t xml:space="preserve"> Figures</w:t>
      </w:r>
    </w:p>
    <w:p w14:paraId="200A0AAB" w14:textId="713233DE" w:rsidR="00A037F3" w:rsidRPr="00A037F3" w:rsidRDefault="003A20E7" w:rsidP="00A037F3">
      <w:pPr>
        <w:keepNext/>
        <w:jc w:val="center"/>
        <w:rPr>
          <w:rFonts w:cs="Times New Roman"/>
          <w:b/>
          <w:szCs w:val="24"/>
        </w:rPr>
      </w:pPr>
      <w:r>
        <w:rPr>
          <w:rFonts w:cs="Times New Roman"/>
          <w:noProof/>
          <w:szCs w:val="24"/>
        </w:rPr>
        <w:lastRenderedPageBreak/>
        <w:drawing>
          <wp:inline distT="0" distB="0" distL="0" distR="0" wp14:anchorId="0D2155E5" wp14:editId="07CD1DB8">
            <wp:extent cx="5477692" cy="2489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eno prev final.png"/>
                    <pic:cNvPicPr/>
                  </pic:nvPicPr>
                  <pic:blipFill>
                    <a:blip r:embed="rId8">
                      <a:extLst>
                        <a:ext uri="{28A0092B-C50C-407E-A947-70E740481C1C}">
                          <a14:useLocalDpi xmlns:a14="http://schemas.microsoft.com/office/drawing/2010/main" val="0"/>
                        </a:ext>
                      </a:extLst>
                    </a:blip>
                    <a:stretch>
                      <a:fillRect/>
                    </a:stretch>
                  </pic:blipFill>
                  <pic:spPr>
                    <a:xfrm>
                      <a:off x="0" y="0"/>
                      <a:ext cx="5492293" cy="2496446"/>
                    </a:xfrm>
                    <a:prstGeom prst="rect">
                      <a:avLst/>
                    </a:prstGeom>
                  </pic:spPr>
                </pic:pic>
              </a:graphicData>
            </a:graphic>
          </wp:inline>
        </w:drawing>
      </w:r>
      <w:r w:rsidR="00A037F3" w:rsidRPr="00A037F3">
        <w:rPr>
          <w:rFonts w:cs="Times New Roman"/>
          <w:b/>
          <w:szCs w:val="24"/>
        </w:rPr>
        <w:t xml:space="preserve">Supplementary Figure </w:t>
      </w:r>
      <w:r w:rsidR="00A037F3" w:rsidRPr="00A037F3">
        <w:rPr>
          <w:rFonts w:cs="Times New Roman"/>
          <w:b/>
          <w:szCs w:val="24"/>
        </w:rPr>
        <w:fldChar w:fldCharType="begin"/>
      </w:r>
      <w:r w:rsidR="00A037F3" w:rsidRPr="00A037F3">
        <w:rPr>
          <w:rFonts w:cs="Times New Roman"/>
          <w:b/>
          <w:szCs w:val="24"/>
        </w:rPr>
        <w:instrText xml:space="preserve"> SEQ Figure \* ARABIC </w:instrText>
      </w:r>
      <w:r w:rsidR="00A037F3" w:rsidRPr="00A037F3">
        <w:rPr>
          <w:rFonts w:cs="Times New Roman"/>
          <w:b/>
          <w:szCs w:val="24"/>
        </w:rPr>
        <w:fldChar w:fldCharType="separate"/>
      </w:r>
      <w:r w:rsidR="00A037F3" w:rsidRPr="00A037F3">
        <w:rPr>
          <w:rFonts w:cs="Times New Roman"/>
          <w:b/>
          <w:szCs w:val="24"/>
        </w:rPr>
        <w:t>1</w:t>
      </w:r>
      <w:r w:rsidR="00A037F3" w:rsidRPr="00A037F3">
        <w:rPr>
          <w:rFonts w:cs="Times New Roman"/>
          <w:szCs w:val="24"/>
        </w:rPr>
        <w:fldChar w:fldCharType="end"/>
      </w:r>
      <w:r w:rsidR="00A037F3" w:rsidRPr="00A037F3">
        <w:rPr>
          <w:rFonts w:cs="Times New Roman"/>
          <w:szCs w:val="24"/>
        </w:rPr>
        <w:t>.</w:t>
      </w:r>
      <w:r w:rsidR="00A037F3">
        <w:rPr>
          <w:rFonts w:cs="Times New Roman"/>
          <w:szCs w:val="24"/>
        </w:rPr>
        <w:t xml:space="preserve"> T2D prevalence in the multi-ancestry polygenic score training cohort.</w:t>
      </w:r>
      <w:r w:rsidR="00A037F3" w:rsidRPr="00A037F3">
        <w:rPr>
          <w:rFonts w:cs="Times New Roman"/>
          <w:szCs w:val="24"/>
        </w:rPr>
        <w:t xml:space="preserve"> </w:t>
      </w:r>
    </w:p>
    <w:p w14:paraId="3DE5480E" w14:textId="77777777" w:rsidR="00A037F3" w:rsidRDefault="00A037F3" w:rsidP="00A037F3">
      <w:pPr>
        <w:keepNext/>
        <w:rPr>
          <w:rFonts w:cs="Times New Roman"/>
          <w:szCs w:val="24"/>
        </w:rPr>
      </w:pPr>
    </w:p>
    <w:p w14:paraId="0D0423FD" w14:textId="678278F2" w:rsidR="003B33A1" w:rsidRDefault="003A20E7" w:rsidP="003A20E7">
      <w:pPr>
        <w:keepNext/>
        <w:jc w:val="center"/>
        <w:rPr>
          <w:rFonts w:cs="Times New Roman"/>
          <w:szCs w:val="24"/>
        </w:rPr>
      </w:pPr>
      <w:r>
        <w:rPr>
          <w:rFonts w:cs="Times New Roman"/>
          <w:noProof/>
          <w:szCs w:val="24"/>
        </w:rPr>
        <w:drawing>
          <wp:inline distT="0" distB="0" distL="0" distR="0" wp14:anchorId="53A9C49C" wp14:editId="50840C26">
            <wp:extent cx="4052041" cy="18007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c_pl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2049" cy="1814105"/>
                    </a:xfrm>
                    <a:prstGeom prst="rect">
                      <a:avLst/>
                    </a:prstGeom>
                  </pic:spPr>
                </pic:pic>
              </a:graphicData>
            </a:graphic>
          </wp:inline>
        </w:drawing>
      </w:r>
    </w:p>
    <w:p w14:paraId="5EEE6BDB" w14:textId="134EBCBB" w:rsidR="00A037F3" w:rsidRDefault="00A037F3" w:rsidP="003B33A1">
      <w:pPr>
        <w:keepNext/>
        <w:rPr>
          <w:rFonts w:cs="Times New Roman"/>
          <w:szCs w:val="24"/>
        </w:rPr>
      </w:pPr>
      <w:r w:rsidRPr="00A037F3">
        <w:rPr>
          <w:rFonts w:cs="Times New Roman"/>
          <w:b/>
          <w:szCs w:val="24"/>
        </w:rPr>
        <w:t xml:space="preserve">Supplementary Figure </w:t>
      </w:r>
      <w:r>
        <w:rPr>
          <w:rFonts w:cs="Times New Roman"/>
          <w:b/>
          <w:szCs w:val="24"/>
        </w:rPr>
        <w:t>2</w:t>
      </w:r>
      <w:r w:rsidRPr="00A037F3">
        <w:rPr>
          <w:rFonts w:cs="Times New Roman"/>
          <w:szCs w:val="24"/>
        </w:rPr>
        <w:t>.</w:t>
      </w:r>
      <w:r>
        <w:rPr>
          <w:rFonts w:cs="Times New Roman"/>
          <w:szCs w:val="24"/>
        </w:rPr>
        <w:t xml:space="preserve"> A</w:t>
      </w:r>
      <w:r w:rsidRPr="00A037F3">
        <w:rPr>
          <w:rFonts w:cs="Times New Roman"/>
          <w:szCs w:val="24"/>
        </w:rPr>
        <w:t xml:space="preserve">rea under the receiver operator curve </w:t>
      </w:r>
      <w:r>
        <w:rPr>
          <w:rFonts w:cs="Times New Roman"/>
          <w:szCs w:val="24"/>
        </w:rPr>
        <w:t xml:space="preserve">(AUC) </w:t>
      </w:r>
      <w:r w:rsidRPr="00A037F3">
        <w:rPr>
          <w:rFonts w:cs="Times New Roman"/>
          <w:szCs w:val="24"/>
        </w:rPr>
        <w:t>in ancestry-specific test cohorts</w:t>
      </w:r>
      <w:r>
        <w:rPr>
          <w:rFonts w:cs="Times New Roman"/>
          <w:szCs w:val="24"/>
        </w:rPr>
        <w:t xml:space="preserve"> for the polygenic score. Demographic covariates age and sex were included in the full model, but were not included in these calculations of AUC.</w:t>
      </w:r>
    </w:p>
    <w:p w14:paraId="61A6F9DC" w14:textId="5B22C3AF" w:rsidR="003B33A1" w:rsidRDefault="003A20E7" w:rsidP="003A20E7">
      <w:pPr>
        <w:keepNext/>
        <w:jc w:val="center"/>
      </w:pPr>
      <w:r>
        <w:rPr>
          <w:noProof/>
        </w:rPr>
        <w:drawing>
          <wp:inline distT="0" distB="0" distL="0" distR="0" wp14:anchorId="5FB9F74D" wp14:editId="271653C9">
            <wp:extent cx="4188823" cy="1533802"/>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e contr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8274" cy="1544586"/>
                    </a:xfrm>
                    <a:prstGeom prst="rect">
                      <a:avLst/>
                    </a:prstGeom>
                  </pic:spPr>
                </pic:pic>
              </a:graphicData>
            </a:graphic>
          </wp:inline>
        </w:drawing>
      </w:r>
    </w:p>
    <w:p w14:paraId="4EAB20C2" w14:textId="6BD8EB4F" w:rsidR="00A037F3" w:rsidRPr="00A037F3" w:rsidRDefault="00A037F3" w:rsidP="00A037F3">
      <w:pPr>
        <w:keepNext/>
        <w:rPr>
          <w:rFonts w:cs="Times New Roman"/>
          <w:szCs w:val="24"/>
        </w:rPr>
      </w:pPr>
      <w:r w:rsidRPr="00A037F3">
        <w:rPr>
          <w:rFonts w:cs="Times New Roman"/>
          <w:b/>
          <w:szCs w:val="24"/>
        </w:rPr>
        <w:t xml:space="preserve">Supplementary Figure </w:t>
      </w:r>
      <w:r>
        <w:rPr>
          <w:rFonts w:cs="Times New Roman"/>
          <w:b/>
          <w:szCs w:val="24"/>
        </w:rPr>
        <w:t>3</w:t>
      </w:r>
      <w:r w:rsidRPr="00A037F3">
        <w:rPr>
          <w:rFonts w:cs="Times New Roman"/>
          <w:szCs w:val="24"/>
        </w:rPr>
        <w:t>.</w:t>
      </w:r>
      <w:r>
        <w:rPr>
          <w:rFonts w:cs="Times New Roman"/>
          <w:szCs w:val="24"/>
        </w:rPr>
        <w:t xml:space="preserve"> Polygenic</w:t>
      </w:r>
      <w:r w:rsidR="00F14B99">
        <w:rPr>
          <w:rFonts w:cs="Times New Roman"/>
          <w:szCs w:val="24"/>
        </w:rPr>
        <w:t xml:space="preserve"> score distributions of</w:t>
      </w:r>
      <w:r w:rsidRPr="00A037F3">
        <w:rPr>
          <w:rFonts w:cs="Times New Roman"/>
          <w:szCs w:val="24"/>
        </w:rPr>
        <w:t xml:space="preserve"> case</w:t>
      </w:r>
      <w:r w:rsidR="00F14B99">
        <w:rPr>
          <w:rFonts w:cs="Times New Roman"/>
          <w:szCs w:val="24"/>
        </w:rPr>
        <w:t xml:space="preserve">s and </w:t>
      </w:r>
      <w:r w:rsidRPr="00A037F3">
        <w:rPr>
          <w:rFonts w:cs="Times New Roman"/>
          <w:szCs w:val="24"/>
        </w:rPr>
        <w:t>control</w:t>
      </w:r>
      <w:r w:rsidR="00F14B99">
        <w:rPr>
          <w:rFonts w:cs="Times New Roman"/>
          <w:szCs w:val="24"/>
        </w:rPr>
        <w:t>s</w:t>
      </w:r>
      <w:r w:rsidRPr="00A037F3">
        <w:rPr>
          <w:rFonts w:cs="Times New Roman"/>
          <w:szCs w:val="24"/>
        </w:rPr>
        <w:t xml:space="preserve"> </w:t>
      </w:r>
      <w:r w:rsidR="00F14B99">
        <w:rPr>
          <w:rFonts w:cs="Times New Roman"/>
          <w:szCs w:val="24"/>
        </w:rPr>
        <w:t>in</w:t>
      </w:r>
      <w:r w:rsidRPr="00A037F3">
        <w:rPr>
          <w:rFonts w:cs="Times New Roman"/>
          <w:szCs w:val="24"/>
        </w:rPr>
        <w:t xml:space="preserve"> ancestry-specific test sets</w:t>
      </w:r>
    </w:p>
    <w:p w14:paraId="660DD1D4" w14:textId="77777777" w:rsidR="00A037F3" w:rsidRDefault="00A037F3" w:rsidP="003B33A1">
      <w:pPr>
        <w:keepNext/>
      </w:pPr>
    </w:p>
    <w:p w14:paraId="45A41E15" w14:textId="0AA132E3" w:rsidR="003B33A1" w:rsidRPr="003B33A1" w:rsidRDefault="00A037F3" w:rsidP="00A037F3">
      <w:pPr>
        <w:keepNext/>
        <w:tabs>
          <w:tab w:val="left" w:pos="1317"/>
        </w:tabs>
      </w:pPr>
      <w:r>
        <w:lastRenderedPageBreak/>
        <w:tab/>
      </w:r>
      <w:r>
        <w:rPr>
          <w:noProof/>
        </w:rPr>
        <w:drawing>
          <wp:inline distT="0" distB="0" distL="0" distR="0" wp14:anchorId="6529F20C" wp14:editId="7117DC15">
            <wp:extent cx="4129572" cy="204134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ibr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1830" cy="2052346"/>
                    </a:xfrm>
                    <a:prstGeom prst="rect">
                      <a:avLst/>
                    </a:prstGeom>
                  </pic:spPr>
                </pic:pic>
              </a:graphicData>
            </a:graphic>
          </wp:inline>
        </w:drawing>
      </w:r>
    </w:p>
    <w:p w14:paraId="05AEDDEB" w14:textId="09EAD698" w:rsidR="003B33A1" w:rsidRDefault="00F14B99" w:rsidP="002B4A57">
      <w:pPr>
        <w:keepNext/>
        <w:rPr>
          <w:rFonts w:cs="Times New Roman"/>
          <w:szCs w:val="24"/>
        </w:rPr>
      </w:pPr>
      <w:r w:rsidRPr="00A037F3">
        <w:rPr>
          <w:rFonts w:cs="Times New Roman"/>
          <w:b/>
          <w:szCs w:val="24"/>
        </w:rPr>
        <w:t xml:space="preserve">Supplementary Figure </w:t>
      </w:r>
      <w:r>
        <w:rPr>
          <w:rFonts w:cs="Times New Roman"/>
          <w:b/>
          <w:szCs w:val="24"/>
        </w:rPr>
        <w:t>4</w:t>
      </w:r>
      <w:r w:rsidRPr="00A037F3">
        <w:rPr>
          <w:rFonts w:cs="Times New Roman"/>
          <w:szCs w:val="24"/>
        </w:rPr>
        <w:t>.</w:t>
      </w:r>
      <w:r>
        <w:rPr>
          <w:rFonts w:cs="Times New Roman"/>
          <w:szCs w:val="24"/>
        </w:rPr>
        <w:t xml:space="preserve"> Calibration plots comparing the observed and estimated phenotype prevalence per ventile of the polygenic score in ancestry-specific test sets.</w:t>
      </w:r>
    </w:p>
    <w:p w14:paraId="11373CBE" w14:textId="77777777" w:rsidR="00F14B99" w:rsidRPr="00F14B99" w:rsidRDefault="00F14B99" w:rsidP="002B4A57">
      <w:pPr>
        <w:keepNext/>
        <w:rPr>
          <w:rFonts w:cs="Times New Roman"/>
          <w:szCs w:val="24"/>
        </w:rPr>
      </w:pPr>
    </w:p>
    <w:p w14:paraId="323846E0" w14:textId="0F37A3D7" w:rsidR="003B33A1" w:rsidRDefault="003B33A1" w:rsidP="003B33A1">
      <w:pPr>
        <w:pStyle w:val="Heading2"/>
      </w:pPr>
      <w:r>
        <w:t>Supplementary Tables</w:t>
      </w:r>
    </w:p>
    <w:p w14:paraId="649534C9" w14:textId="175CF48E" w:rsidR="000A767C" w:rsidRPr="000A767C" w:rsidRDefault="000A767C" w:rsidP="000A767C">
      <w:pPr>
        <w:pStyle w:val="Heading3"/>
      </w:pPr>
      <w:r>
        <w:t>Polygenic score results</w:t>
      </w:r>
    </w:p>
    <w:p w14:paraId="2857AB96" w14:textId="2555F9F3" w:rsidR="003B33A1" w:rsidRDefault="00965CCD" w:rsidP="003B33A1">
      <w:r w:rsidRPr="00965CCD">
        <w:rPr>
          <w:b/>
        </w:rPr>
        <w:t>Supplementary Table 1.</w:t>
      </w:r>
      <w:r w:rsidR="003B33A1">
        <w:t xml:space="preserve"> Polygenic score development participant descriptive</w:t>
      </w:r>
      <w:r w:rsidR="005A75B5">
        <w:t xml:space="preserve"> statistics</w:t>
      </w:r>
    </w:p>
    <w:tbl>
      <w:tblPr>
        <w:tblW w:w="9761" w:type="dxa"/>
        <w:tblCellMar>
          <w:left w:w="0" w:type="dxa"/>
          <w:right w:w="0" w:type="dxa"/>
        </w:tblCellMar>
        <w:tblLook w:val="04A0" w:firstRow="1" w:lastRow="0" w:firstColumn="1" w:lastColumn="0" w:noHBand="0" w:noVBand="1"/>
      </w:tblPr>
      <w:tblGrid>
        <w:gridCol w:w="1606"/>
        <w:gridCol w:w="1266"/>
        <w:gridCol w:w="2340"/>
        <w:gridCol w:w="1170"/>
        <w:gridCol w:w="1080"/>
        <w:gridCol w:w="900"/>
        <w:gridCol w:w="1399"/>
      </w:tblGrid>
      <w:tr w:rsidR="000E3E83" w:rsidRPr="003A20E7" w14:paraId="4882623B" w14:textId="77777777" w:rsidTr="000E3E83">
        <w:trPr>
          <w:trHeight w:val="315"/>
        </w:trPr>
        <w:tc>
          <w:tcPr>
            <w:tcW w:w="16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2E0851" w14:textId="750BC7FD"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 xml:space="preserve">Sample </w:t>
            </w:r>
            <w:r>
              <w:rPr>
                <w:rFonts w:eastAsia="Times New Roman" w:cs="Times New Roman"/>
                <w:b/>
                <w:bCs/>
                <w:sz w:val="22"/>
              </w:rPr>
              <w:t>U</w:t>
            </w:r>
            <w:r w:rsidRPr="003A20E7">
              <w:rPr>
                <w:rFonts w:eastAsia="Times New Roman" w:cs="Times New Roman"/>
                <w:b/>
                <w:bCs/>
                <w:sz w:val="22"/>
              </w:rPr>
              <w:t>se</w:t>
            </w:r>
          </w:p>
        </w:tc>
        <w:tc>
          <w:tcPr>
            <w:tcW w:w="126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01E08C"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Genotyping Platform</w:t>
            </w:r>
          </w:p>
        </w:tc>
        <w:tc>
          <w:tcPr>
            <w:tcW w:w="234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101B86"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Ancestry group</w:t>
            </w:r>
          </w:p>
        </w:tc>
        <w:tc>
          <w:tcPr>
            <w:tcW w:w="117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FCB428"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N</w:t>
            </w:r>
          </w:p>
        </w:tc>
        <w:tc>
          <w:tcPr>
            <w:tcW w:w="108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981927"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Age mean (SD)</w:t>
            </w:r>
          </w:p>
        </w:tc>
        <w:tc>
          <w:tcPr>
            <w:tcW w:w="90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09D6F7"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Sex (% female)</w:t>
            </w:r>
          </w:p>
        </w:tc>
        <w:tc>
          <w:tcPr>
            <w:tcW w:w="139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88ADDA"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Phenotype prevalence (%)</w:t>
            </w:r>
          </w:p>
        </w:tc>
      </w:tr>
      <w:tr w:rsidR="000E3E83" w:rsidRPr="003A20E7" w14:paraId="23D2C4C4" w14:textId="77777777" w:rsidTr="000E3E83">
        <w:trPr>
          <w:trHeight w:val="315"/>
        </w:trPr>
        <w:tc>
          <w:tcPr>
            <w:tcW w:w="160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FF49B3"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GWAS</w:t>
            </w:r>
          </w:p>
        </w:tc>
        <w:tc>
          <w:tcPr>
            <w:tcW w:w="126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BB30D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V1 to V5</w:t>
            </w: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4CA52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European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67CFB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1,680,210</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984219"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48.2 (15.7)</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2C8FC7"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58.7%</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947ED6"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6.3%</w:t>
            </w:r>
          </w:p>
        </w:tc>
      </w:tr>
      <w:tr w:rsidR="000E3E83" w:rsidRPr="003A20E7" w14:paraId="6014F760"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67D351B1"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30F1DFE0"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264F6B"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Hispanic/Latino</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C19ACE"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373,496</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5CAFFF"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40.3 (13.8)</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D89756"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59.1%</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32A5F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5.5%</w:t>
            </w:r>
          </w:p>
        </w:tc>
      </w:tr>
      <w:tr w:rsidR="000E3E83" w:rsidRPr="003A20E7" w14:paraId="6E9CD2E1"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1F62FC23"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336F9186"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2E8E1B"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Sub-Saharan African/African American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0E8623"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134,934</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3CCEE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41.7 (14.4)</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D918E8"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60.1%</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9D323C"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7.4%</w:t>
            </w:r>
          </w:p>
        </w:tc>
      </w:tr>
      <w:tr w:rsidR="000E3E83" w:rsidRPr="003A20E7" w14:paraId="5A8EB266"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1152EC97"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354B113B"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E0DD0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East/Southeast Asian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8B174D"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60,530</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09B7B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37.9 (12.8)</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D8EF8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61.0%</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69A29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3.2%</w:t>
            </w:r>
          </w:p>
        </w:tc>
      </w:tr>
      <w:tr w:rsidR="000E3E83" w:rsidRPr="003A20E7" w14:paraId="2F86EA6D" w14:textId="77777777" w:rsidTr="000E3E83">
        <w:trPr>
          <w:trHeight w:val="315"/>
        </w:trPr>
        <w:tc>
          <w:tcPr>
            <w:tcW w:w="160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5EDA7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Training multi-ancestral models</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EF8774"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V5</w:t>
            </w: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2C5BE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European, Hispanic/Latino, Sub-Saharan African/African American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CDD8C6"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2,249,141</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01FE7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46.2 (15.7)</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8B1F1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58.9%</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33F691"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6.2%</w:t>
            </w:r>
          </w:p>
        </w:tc>
      </w:tr>
      <w:tr w:rsidR="000E3E83" w:rsidRPr="003A20E7" w14:paraId="333BB747" w14:textId="77777777" w:rsidTr="000E3E83">
        <w:trPr>
          <w:trHeight w:val="315"/>
        </w:trPr>
        <w:tc>
          <w:tcPr>
            <w:tcW w:w="1606"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DC1197"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Testing</w:t>
            </w:r>
          </w:p>
        </w:tc>
        <w:tc>
          <w:tcPr>
            <w:tcW w:w="1266"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BBE53"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V5</w:t>
            </w: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E14247"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European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B88C9C"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720,750</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F72F5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48.2 (15.7)</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DEE67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58.7%</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3BDA8B"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6.3%</w:t>
            </w:r>
          </w:p>
        </w:tc>
      </w:tr>
      <w:tr w:rsidR="000E3E83" w:rsidRPr="003A20E7" w14:paraId="7051D193"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14F2DBCA"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43E68250"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221E29"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Hispanic/Latino</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EC08B4"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93,397</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1693F8"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40.3 (13.8)</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375BDF"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58.7%</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CC5E7E"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5.5%</w:t>
            </w:r>
          </w:p>
        </w:tc>
      </w:tr>
      <w:tr w:rsidR="000E3E83" w:rsidRPr="003A20E7" w14:paraId="3CD3076E"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0DE1F163"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2FF6158B"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A54047"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East/Southeast Asian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9FA1E8"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60,422</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13316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37.9 (12.8)</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59FF87"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61.1%</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AC94BF"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3.1%</w:t>
            </w:r>
          </w:p>
        </w:tc>
      </w:tr>
      <w:tr w:rsidR="000E3E83" w:rsidRPr="003A20E7" w14:paraId="68770343"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06D0C89A"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12AC73EB"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E7CC2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South Asian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8F961C"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32,616</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7E94F4"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39.8 (12.7)</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2513E2"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42.5%</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788444"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6.1%</w:t>
            </w:r>
          </w:p>
        </w:tc>
      </w:tr>
      <w:tr w:rsidR="000E3E83" w:rsidRPr="003A20E7" w14:paraId="63C2D6AD"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38C50405"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7938161F"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B58916"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Northern African/Western Asian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590B81"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26,542</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1B06BE"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42.3 (14.4)</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DE675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45.5%</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2E3C0F"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3.9%</w:t>
            </w:r>
          </w:p>
        </w:tc>
      </w:tr>
      <w:tr w:rsidR="000E3E83" w:rsidRPr="003A20E7" w14:paraId="3B0A5D63" w14:textId="77777777" w:rsidTr="000E3E83">
        <w:trPr>
          <w:trHeight w:val="315"/>
        </w:trPr>
        <w:tc>
          <w:tcPr>
            <w:tcW w:w="1606" w:type="dxa"/>
            <w:vMerge/>
            <w:tcBorders>
              <w:top w:val="single" w:sz="6" w:space="0" w:color="CCCCCC"/>
              <w:left w:val="single" w:sz="6" w:space="0" w:color="000000"/>
              <w:bottom w:val="single" w:sz="6" w:space="0" w:color="000000"/>
              <w:right w:val="single" w:sz="6" w:space="0" w:color="000000"/>
            </w:tcBorders>
            <w:vAlign w:val="center"/>
            <w:hideMark/>
          </w:tcPr>
          <w:p w14:paraId="44B292C6" w14:textId="77777777" w:rsidR="003A20E7" w:rsidRPr="003A20E7" w:rsidRDefault="003A20E7" w:rsidP="003A20E7">
            <w:pPr>
              <w:spacing w:before="0" w:after="0"/>
              <w:rPr>
                <w:rFonts w:eastAsia="Times New Roman" w:cs="Times New Roman"/>
                <w:sz w:val="22"/>
              </w:rPr>
            </w:pPr>
          </w:p>
        </w:tc>
        <w:tc>
          <w:tcPr>
            <w:tcW w:w="1266" w:type="dxa"/>
            <w:vMerge/>
            <w:tcBorders>
              <w:top w:val="single" w:sz="6" w:space="0" w:color="CCCCCC"/>
              <w:left w:val="single" w:sz="6" w:space="0" w:color="CCCCCC"/>
              <w:bottom w:val="single" w:sz="6" w:space="0" w:color="000000"/>
              <w:right w:val="single" w:sz="6" w:space="0" w:color="000000"/>
            </w:tcBorders>
            <w:vAlign w:val="center"/>
            <w:hideMark/>
          </w:tcPr>
          <w:p w14:paraId="11B58D4D" w14:textId="77777777" w:rsidR="003A20E7" w:rsidRPr="003A20E7" w:rsidRDefault="003A20E7" w:rsidP="003A20E7">
            <w:pPr>
              <w:spacing w:before="0" w:after="0"/>
              <w:rPr>
                <w:rFonts w:eastAsia="Times New Roman" w:cs="Times New Roman"/>
                <w:sz w:val="22"/>
              </w:rPr>
            </w:pP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FA6E81"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Sub-Saharan African/African American</w:t>
            </w:r>
          </w:p>
        </w:tc>
        <w:tc>
          <w:tcPr>
            <w:tcW w:w="117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6E3929"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15,065</w:t>
            </w:r>
          </w:p>
        </w:tc>
        <w:tc>
          <w:tcPr>
            <w:tcW w:w="108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939BC1"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41.7 (14.3)</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CB2E5B"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60.6%</w:t>
            </w:r>
          </w:p>
        </w:tc>
        <w:tc>
          <w:tcPr>
            <w:tcW w:w="139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BE1A78"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7.2%</w:t>
            </w:r>
          </w:p>
        </w:tc>
      </w:tr>
    </w:tbl>
    <w:p w14:paraId="66C7E6ED" w14:textId="77777777" w:rsidR="003A20E7" w:rsidRDefault="003A20E7" w:rsidP="003B33A1"/>
    <w:p w14:paraId="36F4B57B" w14:textId="64655073" w:rsidR="00965CCD" w:rsidRDefault="00965CCD" w:rsidP="00965CCD">
      <w:r w:rsidRPr="00965CCD">
        <w:rPr>
          <w:b/>
        </w:rPr>
        <w:t xml:space="preserve">Supplementary Table </w:t>
      </w:r>
      <w:r>
        <w:rPr>
          <w:b/>
        </w:rPr>
        <w:t>2</w:t>
      </w:r>
      <w:r w:rsidRPr="00965CCD">
        <w:rPr>
          <w:b/>
        </w:rPr>
        <w:t>.</w:t>
      </w:r>
      <w:r>
        <w:t xml:space="preserve"> </w:t>
      </w:r>
      <w:r w:rsidR="00F95D6C">
        <w:t>PGS model performance metrics</w:t>
      </w:r>
    </w:p>
    <w:tbl>
      <w:tblPr>
        <w:tblW w:w="9761" w:type="dxa"/>
        <w:tblCellMar>
          <w:left w:w="0" w:type="dxa"/>
          <w:right w:w="0" w:type="dxa"/>
        </w:tblCellMar>
        <w:tblLook w:val="04A0" w:firstRow="1" w:lastRow="0" w:firstColumn="1" w:lastColumn="0" w:noHBand="0" w:noVBand="1"/>
      </w:tblPr>
      <w:tblGrid>
        <w:gridCol w:w="1871"/>
        <w:gridCol w:w="1991"/>
        <w:gridCol w:w="1710"/>
        <w:gridCol w:w="1977"/>
        <w:gridCol w:w="2212"/>
      </w:tblGrid>
      <w:tr w:rsidR="003A20E7" w:rsidRPr="003A20E7" w14:paraId="398334BC" w14:textId="77777777" w:rsidTr="003A20E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2DEE88"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Ancestry group (test sets)</w:t>
            </w:r>
          </w:p>
        </w:tc>
        <w:tc>
          <w:tcPr>
            <w:tcW w:w="1991"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24C8EC"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Full model AUROC (95%CIs)</w:t>
            </w:r>
          </w:p>
        </w:tc>
        <w:tc>
          <w:tcPr>
            <w:tcW w:w="171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3CE6B1"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Genetics only AUROC (95%CIs)</w:t>
            </w:r>
          </w:p>
        </w:tc>
        <w:tc>
          <w:tcPr>
            <w:tcW w:w="197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6AEFCA"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Odds ratio top 5% versus average (95% CIs)</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7DE9E8" w14:textId="77777777" w:rsidR="003A20E7" w:rsidRPr="003A20E7" w:rsidRDefault="003A20E7" w:rsidP="003A20E7">
            <w:pPr>
              <w:spacing w:before="0" w:after="0"/>
              <w:jc w:val="center"/>
              <w:rPr>
                <w:rFonts w:eastAsia="Times New Roman" w:cs="Times New Roman"/>
                <w:b/>
                <w:bCs/>
                <w:sz w:val="22"/>
              </w:rPr>
            </w:pPr>
            <w:r w:rsidRPr="003A20E7">
              <w:rPr>
                <w:rFonts w:eastAsia="Times New Roman" w:cs="Times New Roman"/>
                <w:b/>
                <w:bCs/>
                <w:sz w:val="22"/>
              </w:rPr>
              <w:t>Odds ratio top 5% versus bottom 5% (95% CIs)</w:t>
            </w:r>
          </w:p>
        </w:tc>
      </w:tr>
      <w:tr w:rsidR="003A20E7" w:rsidRPr="003A20E7" w14:paraId="3704F8D2" w14:textId="77777777" w:rsidTr="003A20E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8AE6C3"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European</w:t>
            </w:r>
          </w:p>
        </w:tc>
        <w:tc>
          <w:tcPr>
            <w:tcW w:w="199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C3B834"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0.8139 (0.8124 to 0.8155)</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7E9C59"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0.6563 (0.6539 to 0.6586)</w:t>
            </w:r>
          </w:p>
        </w:tc>
        <w:tc>
          <w:tcPr>
            <w:tcW w:w="1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40ED08"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3.3 (3.15 to 3.39)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D2188F"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9.5 (8.75 to 10.25)</w:t>
            </w:r>
          </w:p>
        </w:tc>
      </w:tr>
      <w:tr w:rsidR="003A20E7" w:rsidRPr="003A20E7" w14:paraId="2ED2BEA6" w14:textId="77777777" w:rsidTr="003A20E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CA661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Hispanic/Latino</w:t>
            </w:r>
          </w:p>
        </w:tc>
        <w:tc>
          <w:tcPr>
            <w:tcW w:w="199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BB0CA4"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0.8405 (0.8365 to 0.8446)</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E0E7B0"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0.6353 (0.6282 to 0.6424)</w:t>
            </w:r>
          </w:p>
        </w:tc>
        <w:tc>
          <w:tcPr>
            <w:tcW w:w="1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252B5E"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2.2 (2.0 to 2.49)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FDAC95" w14:textId="77777777" w:rsidR="003A20E7" w:rsidRPr="003A20E7" w:rsidRDefault="003A20E7" w:rsidP="003A20E7">
            <w:pPr>
              <w:spacing w:before="0" w:after="0"/>
              <w:jc w:val="center"/>
              <w:rPr>
                <w:rFonts w:eastAsia="Times New Roman" w:cs="Times New Roman"/>
                <w:sz w:val="22"/>
              </w:rPr>
            </w:pPr>
            <w:r w:rsidRPr="003A20E7">
              <w:rPr>
                <w:rFonts w:eastAsia="Times New Roman" w:cs="Times New Roman"/>
                <w:sz w:val="22"/>
              </w:rPr>
              <w:t>10.3 (7.83 to 13.5)</w:t>
            </w:r>
          </w:p>
        </w:tc>
      </w:tr>
    </w:tbl>
    <w:p w14:paraId="63E07CA7" w14:textId="64C738DE" w:rsidR="00F95D6C" w:rsidRDefault="00F95D6C" w:rsidP="00F95D6C">
      <w:pPr>
        <w:spacing w:before="0" w:after="0"/>
      </w:pPr>
      <w:r w:rsidRPr="00F95D6C">
        <w:rPr>
          <w:i/>
          <w:sz w:val="22"/>
        </w:rPr>
        <w:t>Note</w:t>
      </w:r>
      <w:r>
        <w:rPr>
          <w:sz w:val="22"/>
        </w:rPr>
        <w:t>: "Full model" includes the features age, age</w:t>
      </w:r>
      <w:r>
        <w:rPr>
          <w:sz w:val="22"/>
          <w:vertAlign w:val="superscript"/>
        </w:rPr>
        <w:t>2</w:t>
      </w:r>
      <w:r>
        <w:rPr>
          <w:sz w:val="22"/>
        </w:rPr>
        <w:t>, sex, age*sex, age</w:t>
      </w:r>
      <w:r>
        <w:rPr>
          <w:sz w:val="22"/>
          <w:vertAlign w:val="superscript"/>
        </w:rPr>
        <w:t>2</w:t>
      </w:r>
      <w:r>
        <w:rPr>
          <w:sz w:val="22"/>
        </w:rPr>
        <w:t>, and the PGS. "Genetics only" consists of only the PGS. Genome-wide principal components, which were included in training, are not included in the evaluation of model performance.</w:t>
      </w:r>
    </w:p>
    <w:p w14:paraId="7B65BC41" w14:textId="77777777" w:rsidR="00DE23E8" w:rsidRPr="001549D3" w:rsidRDefault="00DE23E8" w:rsidP="00654E8F">
      <w:pPr>
        <w:spacing w:before="240"/>
      </w:pPr>
    </w:p>
    <w:sectPr w:rsidR="00DE23E8" w:rsidRPr="001549D3"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542D" w14:textId="77777777" w:rsidR="00C83724" w:rsidRDefault="00C83724" w:rsidP="00117666">
      <w:pPr>
        <w:spacing w:after="0"/>
      </w:pPr>
      <w:r>
        <w:separator/>
      </w:r>
    </w:p>
  </w:endnote>
  <w:endnote w:type="continuationSeparator" w:id="0">
    <w:p w14:paraId="6371D902" w14:textId="77777777" w:rsidR="00C83724" w:rsidRDefault="00C837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D12A36" w:rsidRPr="00577C4C" w:rsidRDefault="00D12A36">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D12A36" w:rsidRPr="00577C4C" w:rsidRDefault="00D12A36">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" filled="f" stroked="f" strokeweight=".5pt">
              <v:textbox style="mso-fit-shape-to-text:t">
                <w:txbxContent>
                  <w:p w14:paraId="50BC4D33" w14:textId="77777777" w:rsidR="00D12A36" w:rsidRPr="00577C4C" w:rsidRDefault="00D12A36">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D12A36" w:rsidRPr="00577C4C" w:rsidRDefault="00D12A36">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D12A36" w:rsidRPr="00577C4C" w:rsidRDefault="00D12A36">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" filled="f" stroked="f" strokeweight=".5pt">
              <v:textbox style="mso-fit-shape-to-text:t">
                <w:txbxContent>
                  <w:p w14:paraId="570F0D09" w14:textId="77777777" w:rsidR="00D12A36" w:rsidRPr="00577C4C" w:rsidRDefault="00D12A36">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3FD0" w14:textId="77777777" w:rsidR="00C83724" w:rsidRDefault="00C83724" w:rsidP="00117666">
      <w:pPr>
        <w:spacing w:after="0"/>
      </w:pPr>
      <w:r>
        <w:separator/>
      </w:r>
    </w:p>
  </w:footnote>
  <w:footnote w:type="continuationSeparator" w:id="0">
    <w:p w14:paraId="1C02CC57" w14:textId="77777777" w:rsidR="00C83724" w:rsidRDefault="00C837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D12A36" w:rsidRPr="009151AA" w:rsidRDefault="00D12A36">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D12A36" w:rsidRDefault="00D12A36"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BE2"/>
    <w:multiLevelType w:val="hybridMultilevel"/>
    <w:tmpl w:val="DFB60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A0A42"/>
    <w:multiLevelType w:val="hybridMultilevel"/>
    <w:tmpl w:val="22A8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9" w15:restartNumberingAfterBreak="0">
    <w:nsid w:val="6A557A85"/>
    <w:multiLevelType w:val="hybridMultilevel"/>
    <w:tmpl w:val="3F7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C3B92"/>
    <w:multiLevelType w:val="hybridMultilevel"/>
    <w:tmpl w:val="37007316"/>
    <w:lvl w:ilvl="0" w:tplc="3312997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2"/>
  </w:num>
  <w:num w:numId="21">
    <w:abstractNumId w:val="9"/>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52ADD"/>
    <w:rsid w:val="00072AA8"/>
    <w:rsid w:val="00077D53"/>
    <w:rsid w:val="000A767C"/>
    <w:rsid w:val="000E3E83"/>
    <w:rsid w:val="00105FD9"/>
    <w:rsid w:val="00117666"/>
    <w:rsid w:val="00117945"/>
    <w:rsid w:val="001202E2"/>
    <w:rsid w:val="00142A86"/>
    <w:rsid w:val="001549D3"/>
    <w:rsid w:val="00160065"/>
    <w:rsid w:val="00177D84"/>
    <w:rsid w:val="0019198A"/>
    <w:rsid w:val="001B3815"/>
    <w:rsid w:val="001B3DC8"/>
    <w:rsid w:val="002429AA"/>
    <w:rsid w:val="002626B8"/>
    <w:rsid w:val="00267D18"/>
    <w:rsid w:val="00274347"/>
    <w:rsid w:val="002868E2"/>
    <w:rsid w:val="002869C3"/>
    <w:rsid w:val="00290966"/>
    <w:rsid w:val="002936E4"/>
    <w:rsid w:val="002B4A57"/>
    <w:rsid w:val="002C74CA"/>
    <w:rsid w:val="00307D9F"/>
    <w:rsid w:val="003123F4"/>
    <w:rsid w:val="0033386D"/>
    <w:rsid w:val="003544FB"/>
    <w:rsid w:val="0039491A"/>
    <w:rsid w:val="003A20E7"/>
    <w:rsid w:val="003B33A1"/>
    <w:rsid w:val="003B4283"/>
    <w:rsid w:val="003D2F2D"/>
    <w:rsid w:val="00401590"/>
    <w:rsid w:val="00447801"/>
    <w:rsid w:val="004509F4"/>
    <w:rsid w:val="00452E9C"/>
    <w:rsid w:val="004735C8"/>
    <w:rsid w:val="004947A6"/>
    <w:rsid w:val="004961FF"/>
    <w:rsid w:val="00517A89"/>
    <w:rsid w:val="005250F2"/>
    <w:rsid w:val="00593EEA"/>
    <w:rsid w:val="005A1F98"/>
    <w:rsid w:val="005A5EEE"/>
    <w:rsid w:val="005A75B5"/>
    <w:rsid w:val="005B451A"/>
    <w:rsid w:val="006375C7"/>
    <w:rsid w:val="00637F72"/>
    <w:rsid w:val="00654E8F"/>
    <w:rsid w:val="00660D05"/>
    <w:rsid w:val="006820B1"/>
    <w:rsid w:val="006B7D14"/>
    <w:rsid w:val="00701727"/>
    <w:rsid w:val="0070566C"/>
    <w:rsid w:val="00714C50"/>
    <w:rsid w:val="00725A7D"/>
    <w:rsid w:val="007501BE"/>
    <w:rsid w:val="00790BB3"/>
    <w:rsid w:val="007C206C"/>
    <w:rsid w:val="007F64CA"/>
    <w:rsid w:val="00807B20"/>
    <w:rsid w:val="00817DD6"/>
    <w:rsid w:val="00835D66"/>
    <w:rsid w:val="0083759F"/>
    <w:rsid w:val="00885156"/>
    <w:rsid w:val="008D09DD"/>
    <w:rsid w:val="009101FB"/>
    <w:rsid w:val="009151AA"/>
    <w:rsid w:val="0093429D"/>
    <w:rsid w:val="00943573"/>
    <w:rsid w:val="00964134"/>
    <w:rsid w:val="00965CCD"/>
    <w:rsid w:val="00970F7D"/>
    <w:rsid w:val="00994A3D"/>
    <w:rsid w:val="00995722"/>
    <w:rsid w:val="009C2B12"/>
    <w:rsid w:val="009E0E9C"/>
    <w:rsid w:val="00A037F3"/>
    <w:rsid w:val="00A167B8"/>
    <w:rsid w:val="00A174D9"/>
    <w:rsid w:val="00A74DB0"/>
    <w:rsid w:val="00AA4D24"/>
    <w:rsid w:val="00AB6715"/>
    <w:rsid w:val="00AF1381"/>
    <w:rsid w:val="00B1671E"/>
    <w:rsid w:val="00B2089B"/>
    <w:rsid w:val="00B25EB8"/>
    <w:rsid w:val="00B37F4D"/>
    <w:rsid w:val="00B90C0E"/>
    <w:rsid w:val="00BB686A"/>
    <w:rsid w:val="00C52A7B"/>
    <w:rsid w:val="00C56BAF"/>
    <w:rsid w:val="00C679AA"/>
    <w:rsid w:val="00C75972"/>
    <w:rsid w:val="00C761CF"/>
    <w:rsid w:val="00C83724"/>
    <w:rsid w:val="00CD066B"/>
    <w:rsid w:val="00CE4FEE"/>
    <w:rsid w:val="00D060CF"/>
    <w:rsid w:val="00D12A36"/>
    <w:rsid w:val="00D76A76"/>
    <w:rsid w:val="00DA24BF"/>
    <w:rsid w:val="00DA461E"/>
    <w:rsid w:val="00DB59C3"/>
    <w:rsid w:val="00DB6B9D"/>
    <w:rsid w:val="00DC259A"/>
    <w:rsid w:val="00DE23E8"/>
    <w:rsid w:val="00E52377"/>
    <w:rsid w:val="00E537AD"/>
    <w:rsid w:val="00E64E17"/>
    <w:rsid w:val="00E866C9"/>
    <w:rsid w:val="00EA3D3C"/>
    <w:rsid w:val="00EC090A"/>
    <w:rsid w:val="00ED20B5"/>
    <w:rsid w:val="00F14B99"/>
    <w:rsid w:val="00F46900"/>
    <w:rsid w:val="00F61D89"/>
    <w:rsid w:val="00F62F3B"/>
    <w:rsid w:val="00F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DB6B9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046">
      <w:bodyDiv w:val="1"/>
      <w:marLeft w:val="0"/>
      <w:marRight w:val="0"/>
      <w:marTop w:val="0"/>
      <w:marBottom w:val="0"/>
      <w:divBdr>
        <w:top w:val="none" w:sz="0" w:space="0" w:color="auto"/>
        <w:left w:val="none" w:sz="0" w:space="0" w:color="auto"/>
        <w:bottom w:val="none" w:sz="0" w:space="0" w:color="auto"/>
        <w:right w:val="none" w:sz="0" w:space="0" w:color="auto"/>
      </w:divBdr>
    </w:div>
    <w:div w:id="35279537">
      <w:bodyDiv w:val="1"/>
      <w:marLeft w:val="0"/>
      <w:marRight w:val="0"/>
      <w:marTop w:val="0"/>
      <w:marBottom w:val="0"/>
      <w:divBdr>
        <w:top w:val="none" w:sz="0" w:space="0" w:color="auto"/>
        <w:left w:val="none" w:sz="0" w:space="0" w:color="auto"/>
        <w:bottom w:val="none" w:sz="0" w:space="0" w:color="auto"/>
        <w:right w:val="none" w:sz="0" w:space="0" w:color="auto"/>
      </w:divBdr>
    </w:div>
    <w:div w:id="146869024">
      <w:bodyDiv w:val="1"/>
      <w:marLeft w:val="0"/>
      <w:marRight w:val="0"/>
      <w:marTop w:val="0"/>
      <w:marBottom w:val="0"/>
      <w:divBdr>
        <w:top w:val="none" w:sz="0" w:space="0" w:color="auto"/>
        <w:left w:val="none" w:sz="0" w:space="0" w:color="auto"/>
        <w:bottom w:val="none" w:sz="0" w:space="0" w:color="auto"/>
        <w:right w:val="none" w:sz="0" w:space="0" w:color="auto"/>
      </w:divBdr>
    </w:div>
    <w:div w:id="150215456">
      <w:bodyDiv w:val="1"/>
      <w:marLeft w:val="0"/>
      <w:marRight w:val="0"/>
      <w:marTop w:val="0"/>
      <w:marBottom w:val="0"/>
      <w:divBdr>
        <w:top w:val="none" w:sz="0" w:space="0" w:color="auto"/>
        <w:left w:val="none" w:sz="0" w:space="0" w:color="auto"/>
        <w:bottom w:val="none" w:sz="0" w:space="0" w:color="auto"/>
        <w:right w:val="none" w:sz="0" w:space="0" w:color="auto"/>
      </w:divBdr>
    </w:div>
    <w:div w:id="164783110">
      <w:bodyDiv w:val="1"/>
      <w:marLeft w:val="0"/>
      <w:marRight w:val="0"/>
      <w:marTop w:val="0"/>
      <w:marBottom w:val="0"/>
      <w:divBdr>
        <w:top w:val="none" w:sz="0" w:space="0" w:color="auto"/>
        <w:left w:val="none" w:sz="0" w:space="0" w:color="auto"/>
        <w:bottom w:val="none" w:sz="0" w:space="0" w:color="auto"/>
        <w:right w:val="none" w:sz="0" w:space="0" w:color="auto"/>
      </w:divBdr>
    </w:div>
    <w:div w:id="290281358">
      <w:bodyDiv w:val="1"/>
      <w:marLeft w:val="0"/>
      <w:marRight w:val="0"/>
      <w:marTop w:val="0"/>
      <w:marBottom w:val="0"/>
      <w:divBdr>
        <w:top w:val="none" w:sz="0" w:space="0" w:color="auto"/>
        <w:left w:val="none" w:sz="0" w:space="0" w:color="auto"/>
        <w:bottom w:val="none" w:sz="0" w:space="0" w:color="auto"/>
        <w:right w:val="none" w:sz="0" w:space="0" w:color="auto"/>
      </w:divBdr>
    </w:div>
    <w:div w:id="313948049">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52540330">
      <w:bodyDiv w:val="1"/>
      <w:marLeft w:val="0"/>
      <w:marRight w:val="0"/>
      <w:marTop w:val="0"/>
      <w:marBottom w:val="0"/>
      <w:divBdr>
        <w:top w:val="none" w:sz="0" w:space="0" w:color="auto"/>
        <w:left w:val="none" w:sz="0" w:space="0" w:color="auto"/>
        <w:bottom w:val="none" w:sz="0" w:space="0" w:color="auto"/>
        <w:right w:val="none" w:sz="0" w:space="0" w:color="auto"/>
      </w:divBdr>
    </w:div>
    <w:div w:id="468282583">
      <w:bodyDiv w:val="1"/>
      <w:marLeft w:val="0"/>
      <w:marRight w:val="0"/>
      <w:marTop w:val="0"/>
      <w:marBottom w:val="0"/>
      <w:divBdr>
        <w:top w:val="none" w:sz="0" w:space="0" w:color="auto"/>
        <w:left w:val="none" w:sz="0" w:space="0" w:color="auto"/>
        <w:bottom w:val="none" w:sz="0" w:space="0" w:color="auto"/>
        <w:right w:val="none" w:sz="0" w:space="0" w:color="auto"/>
      </w:divBdr>
    </w:div>
    <w:div w:id="551768360">
      <w:bodyDiv w:val="1"/>
      <w:marLeft w:val="0"/>
      <w:marRight w:val="0"/>
      <w:marTop w:val="0"/>
      <w:marBottom w:val="0"/>
      <w:divBdr>
        <w:top w:val="none" w:sz="0" w:space="0" w:color="auto"/>
        <w:left w:val="none" w:sz="0" w:space="0" w:color="auto"/>
        <w:bottom w:val="none" w:sz="0" w:space="0" w:color="auto"/>
        <w:right w:val="none" w:sz="0" w:space="0" w:color="auto"/>
      </w:divBdr>
    </w:div>
    <w:div w:id="576864034">
      <w:bodyDiv w:val="1"/>
      <w:marLeft w:val="0"/>
      <w:marRight w:val="0"/>
      <w:marTop w:val="0"/>
      <w:marBottom w:val="0"/>
      <w:divBdr>
        <w:top w:val="none" w:sz="0" w:space="0" w:color="auto"/>
        <w:left w:val="none" w:sz="0" w:space="0" w:color="auto"/>
        <w:bottom w:val="none" w:sz="0" w:space="0" w:color="auto"/>
        <w:right w:val="none" w:sz="0" w:space="0" w:color="auto"/>
      </w:divBdr>
    </w:div>
    <w:div w:id="622469168">
      <w:bodyDiv w:val="1"/>
      <w:marLeft w:val="0"/>
      <w:marRight w:val="0"/>
      <w:marTop w:val="0"/>
      <w:marBottom w:val="0"/>
      <w:divBdr>
        <w:top w:val="none" w:sz="0" w:space="0" w:color="auto"/>
        <w:left w:val="none" w:sz="0" w:space="0" w:color="auto"/>
        <w:bottom w:val="none" w:sz="0" w:space="0" w:color="auto"/>
        <w:right w:val="none" w:sz="0" w:space="0" w:color="auto"/>
      </w:divBdr>
    </w:div>
    <w:div w:id="736827830">
      <w:bodyDiv w:val="1"/>
      <w:marLeft w:val="0"/>
      <w:marRight w:val="0"/>
      <w:marTop w:val="0"/>
      <w:marBottom w:val="0"/>
      <w:divBdr>
        <w:top w:val="none" w:sz="0" w:space="0" w:color="auto"/>
        <w:left w:val="none" w:sz="0" w:space="0" w:color="auto"/>
        <w:bottom w:val="none" w:sz="0" w:space="0" w:color="auto"/>
        <w:right w:val="none" w:sz="0" w:space="0" w:color="auto"/>
      </w:divBdr>
    </w:div>
    <w:div w:id="819035989">
      <w:bodyDiv w:val="1"/>
      <w:marLeft w:val="0"/>
      <w:marRight w:val="0"/>
      <w:marTop w:val="0"/>
      <w:marBottom w:val="0"/>
      <w:divBdr>
        <w:top w:val="none" w:sz="0" w:space="0" w:color="auto"/>
        <w:left w:val="none" w:sz="0" w:space="0" w:color="auto"/>
        <w:bottom w:val="none" w:sz="0" w:space="0" w:color="auto"/>
        <w:right w:val="none" w:sz="0" w:space="0" w:color="auto"/>
      </w:divBdr>
    </w:div>
    <w:div w:id="852918170">
      <w:bodyDiv w:val="1"/>
      <w:marLeft w:val="0"/>
      <w:marRight w:val="0"/>
      <w:marTop w:val="0"/>
      <w:marBottom w:val="0"/>
      <w:divBdr>
        <w:top w:val="none" w:sz="0" w:space="0" w:color="auto"/>
        <w:left w:val="none" w:sz="0" w:space="0" w:color="auto"/>
        <w:bottom w:val="none" w:sz="0" w:space="0" w:color="auto"/>
        <w:right w:val="none" w:sz="0" w:space="0" w:color="auto"/>
      </w:divBdr>
    </w:div>
    <w:div w:id="860899471">
      <w:bodyDiv w:val="1"/>
      <w:marLeft w:val="0"/>
      <w:marRight w:val="0"/>
      <w:marTop w:val="0"/>
      <w:marBottom w:val="0"/>
      <w:divBdr>
        <w:top w:val="none" w:sz="0" w:space="0" w:color="auto"/>
        <w:left w:val="none" w:sz="0" w:space="0" w:color="auto"/>
        <w:bottom w:val="none" w:sz="0" w:space="0" w:color="auto"/>
        <w:right w:val="none" w:sz="0" w:space="0" w:color="auto"/>
      </w:divBdr>
    </w:div>
    <w:div w:id="1052534202">
      <w:bodyDiv w:val="1"/>
      <w:marLeft w:val="0"/>
      <w:marRight w:val="0"/>
      <w:marTop w:val="0"/>
      <w:marBottom w:val="0"/>
      <w:divBdr>
        <w:top w:val="none" w:sz="0" w:space="0" w:color="auto"/>
        <w:left w:val="none" w:sz="0" w:space="0" w:color="auto"/>
        <w:bottom w:val="none" w:sz="0" w:space="0" w:color="auto"/>
        <w:right w:val="none" w:sz="0" w:space="0" w:color="auto"/>
      </w:divBdr>
    </w:div>
    <w:div w:id="1071469142">
      <w:bodyDiv w:val="1"/>
      <w:marLeft w:val="0"/>
      <w:marRight w:val="0"/>
      <w:marTop w:val="0"/>
      <w:marBottom w:val="0"/>
      <w:divBdr>
        <w:top w:val="none" w:sz="0" w:space="0" w:color="auto"/>
        <w:left w:val="none" w:sz="0" w:space="0" w:color="auto"/>
        <w:bottom w:val="none" w:sz="0" w:space="0" w:color="auto"/>
        <w:right w:val="none" w:sz="0" w:space="0" w:color="auto"/>
      </w:divBdr>
    </w:div>
    <w:div w:id="1145469959">
      <w:bodyDiv w:val="1"/>
      <w:marLeft w:val="0"/>
      <w:marRight w:val="0"/>
      <w:marTop w:val="0"/>
      <w:marBottom w:val="0"/>
      <w:divBdr>
        <w:top w:val="none" w:sz="0" w:space="0" w:color="auto"/>
        <w:left w:val="none" w:sz="0" w:space="0" w:color="auto"/>
        <w:bottom w:val="none" w:sz="0" w:space="0" w:color="auto"/>
        <w:right w:val="none" w:sz="0" w:space="0" w:color="auto"/>
      </w:divBdr>
    </w:div>
    <w:div w:id="1156917033">
      <w:bodyDiv w:val="1"/>
      <w:marLeft w:val="0"/>
      <w:marRight w:val="0"/>
      <w:marTop w:val="0"/>
      <w:marBottom w:val="0"/>
      <w:divBdr>
        <w:top w:val="none" w:sz="0" w:space="0" w:color="auto"/>
        <w:left w:val="none" w:sz="0" w:space="0" w:color="auto"/>
        <w:bottom w:val="none" w:sz="0" w:space="0" w:color="auto"/>
        <w:right w:val="none" w:sz="0" w:space="0" w:color="auto"/>
      </w:divBdr>
    </w:div>
    <w:div w:id="1169175663">
      <w:bodyDiv w:val="1"/>
      <w:marLeft w:val="0"/>
      <w:marRight w:val="0"/>
      <w:marTop w:val="0"/>
      <w:marBottom w:val="0"/>
      <w:divBdr>
        <w:top w:val="none" w:sz="0" w:space="0" w:color="auto"/>
        <w:left w:val="none" w:sz="0" w:space="0" w:color="auto"/>
        <w:bottom w:val="none" w:sz="0" w:space="0" w:color="auto"/>
        <w:right w:val="none" w:sz="0" w:space="0" w:color="auto"/>
      </w:divBdr>
    </w:div>
    <w:div w:id="1201166649">
      <w:bodyDiv w:val="1"/>
      <w:marLeft w:val="0"/>
      <w:marRight w:val="0"/>
      <w:marTop w:val="0"/>
      <w:marBottom w:val="0"/>
      <w:divBdr>
        <w:top w:val="none" w:sz="0" w:space="0" w:color="auto"/>
        <w:left w:val="none" w:sz="0" w:space="0" w:color="auto"/>
        <w:bottom w:val="none" w:sz="0" w:space="0" w:color="auto"/>
        <w:right w:val="none" w:sz="0" w:space="0" w:color="auto"/>
      </w:divBdr>
    </w:div>
    <w:div w:id="1210191906">
      <w:bodyDiv w:val="1"/>
      <w:marLeft w:val="0"/>
      <w:marRight w:val="0"/>
      <w:marTop w:val="0"/>
      <w:marBottom w:val="0"/>
      <w:divBdr>
        <w:top w:val="none" w:sz="0" w:space="0" w:color="auto"/>
        <w:left w:val="none" w:sz="0" w:space="0" w:color="auto"/>
        <w:bottom w:val="none" w:sz="0" w:space="0" w:color="auto"/>
        <w:right w:val="none" w:sz="0" w:space="0" w:color="auto"/>
      </w:divBdr>
    </w:div>
    <w:div w:id="1293441688">
      <w:bodyDiv w:val="1"/>
      <w:marLeft w:val="0"/>
      <w:marRight w:val="0"/>
      <w:marTop w:val="0"/>
      <w:marBottom w:val="0"/>
      <w:divBdr>
        <w:top w:val="none" w:sz="0" w:space="0" w:color="auto"/>
        <w:left w:val="none" w:sz="0" w:space="0" w:color="auto"/>
        <w:bottom w:val="none" w:sz="0" w:space="0" w:color="auto"/>
        <w:right w:val="none" w:sz="0" w:space="0" w:color="auto"/>
      </w:divBdr>
    </w:div>
    <w:div w:id="1357737376">
      <w:bodyDiv w:val="1"/>
      <w:marLeft w:val="0"/>
      <w:marRight w:val="0"/>
      <w:marTop w:val="0"/>
      <w:marBottom w:val="0"/>
      <w:divBdr>
        <w:top w:val="none" w:sz="0" w:space="0" w:color="auto"/>
        <w:left w:val="none" w:sz="0" w:space="0" w:color="auto"/>
        <w:bottom w:val="none" w:sz="0" w:space="0" w:color="auto"/>
        <w:right w:val="none" w:sz="0" w:space="0" w:color="auto"/>
      </w:divBdr>
    </w:div>
    <w:div w:id="1387605529">
      <w:bodyDiv w:val="1"/>
      <w:marLeft w:val="0"/>
      <w:marRight w:val="0"/>
      <w:marTop w:val="0"/>
      <w:marBottom w:val="0"/>
      <w:divBdr>
        <w:top w:val="none" w:sz="0" w:space="0" w:color="auto"/>
        <w:left w:val="none" w:sz="0" w:space="0" w:color="auto"/>
        <w:bottom w:val="none" w:sz="0" w:space="0" w:color="auto"/>
        <w:right w:val="none" w:sz="0" w:space="0" w:color="auto"/>
      </w:divBdr>
    </w:div>
    <w:div w:id="1391538495">
      <w:bodyDiv w:val="1"/>
      <w:marLeft w:val="0"/>
      <w:marRight w:val="0"/>
      <w:marTop w:val="0"/>
      <w:marBottom w:val="0"/>
      <w:divBdr>
        <w:top w:val="none" w:sz="0" w:space="0" w:color="auto"/>
        <w:left w:val="none" w:sz="0" w:space="0" w:color="auto"/>
        <w:bottom w:val="none" w:sz="0" w:space="0" w:color="auto"/>
        <w:right w:val="none" w:sz="0" w:space="0" w:color="auto"/>
      </w:divBdr>
    </w:div>
    <w:div w:id="1396011103">
      <w:bodyDiv w:val="1"/>
      <w:marLeft w:val="0"/>
      <w:marRight w:val="0"/>
      <w:marTop w:val="0"/>
      <w:marBottom w:val="0"/>
      <w:divBdr>
        <w:top w:val="none" w:sz="0" w:space="0" w:color="auto"/>
        <w:left w:val="none" w:sz="0" w:space="0" w:color="auto"/>
        <w:bottom w:val="none" w:sz="0" w:space="0" w:color="auto"/>
        <w:right w:val="none" w:sz="0" w:space="0" w:color="auto"/>
      </w:divBdr>
      <w:divsChild>
        <w:div w:id="978807453">
          <w:marLeft w:val="0"/>
          <w:marRight w:val="0"/>
          <w:marTop w:val="0"/>
          <w:marBottom w:val="0"/>
          <w:divBdr>
            <w:top w:val="none" w:sz="0" w:space="0" w:color="auto"/>
            <w:left w:val="none" w:sz="0" w:space="0" w:color="auto"/>
            <w:bottom w:val="none" w:sz="0" w:space="0" w:color="auto"/>
            <w:right w:val="none" w:sz="0" w:space="0" w:color="auto"/>
          </w:divBdr>
        </w:div>
        <w:div w:id="725103763">
          <w:marLeft w:val="0"/>
          <w:marRight w:val="0"/>
          <w:marTop w:val="0"/>
          <w:marBottom w:val="0"/>
          <w:divBdr>
            <w:top w:val="none" w:sz="0" w:space="0" w:color="auto"/>
            <w:left w:val="none" w:sz="0" w:space="0" w:color="auto"/>
            <w:bottom w:val="none" w:sz="0" w:space="0" w:color="auto"/>
            <w:right w:val="none" w:sz="0" w:space="0" w:color="auto"/>
          </w:divBdr>
        </w:div>
        <w:div w:id="315838801">
          <w:marLeft w:val="0"/>
          <w:marRight w:val="0"/>
          <w:marTop w:val="0"/>
          <w:marBottom w:val="0"/>
          <w:divBdr>
            <w:top w:val="none" w:sz="0" w:space="0" w:color="auto"/>
            <w:left w:val="none" w:sz="0" w:space="0" w:color="auto"/>
            <w:bottom w:val="none" w:sz="0" w:space="0" w:color="auto"/>
            <w:right w:val="none" w:sz="0" w:space="0" w:color="auto"/>
          </w:divBdr>
        </w:div>
        <w:div w:id="663898966">
          <w:marLeft w:val="0"/>
          <w:marRight w:val="0"/>
          <w:marTop w:val="0"/>
          <w:marBottom w:val="0"/>
          <w:divBdr>
            <w:top w:val="none" w:sz="0" w:space="0" w:color="auto"/>
            <w:left w:val="none" w:sz="0" w:space="0" w:color="auto"/>
            <w:bottom w:val="none" w:sz="0" w:space="0" w:color="auto"/>
            <w:right w:val="none" w:sz="0" w:space="0" w:color="auto"/>
          </w:divBdr>
        </w:div>
      </w:divsChild>
    </w:div>
    <w:div w:id="1437018999">
      <w:bodyDiv w:val="1"/>
      <w:marLeft w:val="0"/>
      <w:marRight w:val="0"/>
      <w:marTop w:val="0"/>
      <w:marBottom w:val="0"/>
      <w:divBdr>
        <w:top w:val="none" w:sz="0" w:space="0" w:color="auto"/>
        <w:left w:val="none" w:sz="0" w:space="0" w:color="auto"/>
        <w:bottom w:val="none" w:sz="0" w:space="0" w:color="auto"/>
        <w:right w:val="none" w:sz="0" w:space="0" w:color="auto"/>
      </w:divBdr>
    </w:div>
    <w:div w:id="1502313236">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29498071">
      <w:bodyDiv w:val="1"/>
      <w:marLeft w:val="0"/>
      <w:marRight w:val="0"/>
      <w:marTop w:val="0"/>
      <w:marBottom w:val="0"/>
      <w:divBdr>
        <w:top w:val="none" w:sz="0" w:space="0" w:color="auto"/>
        <w:left w:val="none" w:sz="0" w:space="0" w:color="auto"/>
        <w:bottom w:val="none" w:sz="0" w:space="0" w:color="auto"/>
        <w:right w:val="none" w:sz="0" w:space="0" w:color="auto"/>
      </w:divBdr>
    </w:div>
    <w:div w:id="1868173567">
      <w:bodyDiv w:val="1"/>
      <w:marLeft w:val="0"/>
      <w:marRight w:val="0"/>
      <w:marTop w:val="0"/>
      <w:marBottom w:val="0"/>
      <w:divBdr>
        <w:top w:val="none" w:sz="0" w:space="0" w:color="auto"/>
        <w:left w:val="none" w:sz="0" w:space="0" w:color="auto"/>
        <w:bottom w:val="none" w:sz="0" w:space="0" w:color="auto"/>
        <w:right w:val="none" w:sz="0" w:space="0" w:color="auto"/>
      </w:divBdr>
    </w:div>
    <w:div w:id="2032141665">
      <w:bodyDiv w:val="1"/>
      <w:marLeft w:val="0"/>
      <w:marRight w:val="0"/>
      <w:marTop w:val="0"/>
      <w:marBottom w:val="0"/>
      <w:divBdr>
        <w:top w:val="none" w:sz="0" w:space="0" w:color="auto"/>
        <w:left w:val="none" w:sz="0" w:space="0" w:color="auto"/>
        <w:bottom w:val="none" w:sz="0" w:space="0" w:color="auto"/>
        <w:right w:val="none" w:sz="0" w:space="0" w:color="auto"/>
      </w:divBdr>
    </w:div>
    <w:div w:id="2062704288">
      <w:bodyDiv w:val="1"/>
      <w:marLeft w:val="0"/>
      <w:marRight w:val="0"/>
      <w:marTop w:val="0"/>
      <w:marBottom w:val="0"/>
      <w:divBdr>
        <w:top w:val="none" w:sz="0" w:space="0" w:color="auto"/>
        <w:left w:val="none" w:sz="0" w:space="0" w:color="auto"/>
        <w:bottom w:val="none" w:sz="0" w:space="0" w:color="auto"/>
        <w:right w:val="none" w:sz="0" w:space="0" w:color="auto"/>
      </w:divBdr>
    </w:div>
    <w:div w:id="2113159808">
      <w:bodyDiv w:val="1"/>
      <w:marLeft w:val="0"/>
      <w:marRight w:val="0"/>
      <w:marTop w:val="0"/>
      <w:marBottom w:val="0"/>
      <w:divBdr>
        <w:top w:val="none" w:sz="0" w:space="0" w:color="auto"/>
        <w:left w:val="none" w:sz="0" w:space="0" w:color="auto"/>
        <w:bottom w:val="none" w:sz="0" w:space="0" w:color="auto"/>
        <w:right w:val="none" w:sz="0" w:space="0" w:color="auto"/>
      </w:divBdr>
    </w:div>
    <w:div w:id="21434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72D155-6621-0149-AAE7-6C0AD575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Matthew Attwaters</cp:lastModifiedBy>
  <cp:revision>9</cp:revision>
  <cp:lastPrinted>2013-10-03T12:51:00Z</cp:lastPrinted>
  <dcterms:created xsi:type="dcterms:W3CDTF">2022-02-07T22:53:00Z</dcterms:created>
  <dcterms:modified xsi:type="dcterms:W3CDTF">2022-03-31T07:57:00Z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id="nIFcm9O2"/&gt;&lt;style id="http://www.zotero.org/styles/frontiers-in-genetics" hasBibliography="1" bibliographyStyleHasBeenSet="0"/&gt;&lt;prefs&gt;&lt;pref name="fieldType" value="Field"/&gt;&lt;/prefs&gt;&lt;/data&gt;</vt:lpwstr>
  </property>
</Properties>
</file>