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C419443" w14:textId="18CD8CAE" w:rsidR="00994A3D" w:rsidRDefault="00994A3D" w:rsidP="000D3FB1">
      <w:pPr>
        <w:pStyle w:val="Heading1"/>
        <w:numPr>
          <w:ilvl w:val="0"/>
          <w:numId w:val="0"/>
        </w:numPr>
        <w:ind w:left="567" w:hanging="567"/>
      </w:pPr>
      <w:r w:rsidRPr="0001436A">
        <w:t>Supplementary</w:t>
      </w:r>
      <w:r w:rsidRPr="001549D3">
        <w:t xml:space="preserve"> Figures</w:t>
      </w:r>
    </w:p>
    <w:p w14:paraId="4EC3200E" w14:textId="582AFE79" w:rsidR="00A01A0F" w:rsidRDefault="00A01A0F" w:rsidP="00A01A0F">
      <w:r>
        <w:rPr>
          <w:noProof/>
        </w:rPr>
        <w:drawing>
          <wp:inline distT="0" distB="0" distL="0" distR="0" wp14:anchorId="030A906F" wp14:editId="79940F2C">
            <wp:extent cx="6208395" cy="435036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3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C4CE2" w14:textId="361E9DD5" w:rsidR="00DA505A" w:rsidRPr="00812CEB" w:rsidRDefault="00A01A0F" w:rsidP="00A01A0F">
      <w:pPr>
        <w:rPr>
          <w:b/>
          <w:bCs/>
        </w:rPr>
      </w:pPr>
      <w:r>
        <w:rPr>
          <w:b/>
          <w:bCs/>
        </w:rPr>
        <w:t>Supplementary Figure 1</w:t>
      </w:r>
      <w:r w:rsidR="00D34815">
        <w:rPr>
          <w:b/>
          <w:bCs/>
        </w:rPr>
        <w:t>.</w:t>
      </w:r>
      <w:r w:rsidR="00812CEB">
        <w:rPr>
          <w:b/>
          <w:bCs/>
        </w:rPr>
        <w:t xml:space="preserve"> </w:t>
      </w:r>
      <w:bookmarkStart w:id="0" w:name="_Hlk99170842"/>
      <w:r w:rsidR="00812CEB">
        <w:rPr>
          <w:rFonts w:eastAsia="Times New Roman"/>
          <w:snapToGrid w:val="0"/>
          <w:lang w:eastAsia="de-DE" w:bidi="en-US"/>
        </w:rPr>
        <w:t xml:space="preserve">Morphological change of </w:t>
      </w:r>
      <w:r w:rsidR="00812CEB" w:rsidRPr="003231B7">
        <w:rPr>
          <w:rFonts w:eastAsia="Times New Roman"/>
          <w:snapToGrid w:val="0"/>
          <w:lang w:eastAsia="de-DE" w:bidi="en-US"/>
        </w:rPr>
        <w:t>HepG2 cells that were exposed to</w:t>
      </w:r>
      <w:r w:rsidR="00812CEB">
        <w:rPr>
          <w:rFonts w:eastAsia="Times New Roman"/>
          <w:snapToGrid w:val="0"/>
          <w:lang w:eastAsia="de-DE" w:bidi="en-US"/>
        </w:rPr>
        <w:t xml:space="preserve"> larval extract (LE) of </w:t>
      </w:r>
      <w:r w:rsidR="00812CEB">
        <w:rPr>
          <w:rFonts w:eastAsia="Times New Roman"/>
          <w:i/>
          <w:iCs/>
          <w:snapToGrid w:val="0"/>
          <w:lang w:eastAsia="de-DE" w:bidi="en-US"/>
        </w:rPr>
        <w:t>T. spiralis</w:t>
      </w:r>
      <w:r w:rsidR="00812CEB">
        <w:rPr>
          <w:rFonts w:eastAsia="Times New Roman"/>
          <w:snapToGrid w:val="0"/>
          <w:lang w:eastAsia="de-DE" w:bidi="en-US"/>
        </w:rPr>
        <w:t>.</w:t>
      </w:r>
      <w:bookmarkEnd w:id="0"/>
      <w:r w:rsidR="00812CEB">
        <w:rPr>
          <w:rFonts w:eastAsia="Times New Roman"/>
          <w:snapToGrid w:val="0"/>
          <w:lang w:eastAsia="de-DE" w:bidi="en-US"/>
        </w:rPr>
        <w:t xml:space="preserve"> M</w:t>
      </w:r>
      <w:r w:rsidR="00812CEB" w:rsidRPr="003231B7">
        <w:rPr>
          <w:rFonts w:eastAsia="Times New Roman"/>
          <w:snapToGrid w:val="0"/>
          <w:lang w:eastAsia="de-DE" w:bidi="en-US"/>
        </w:rPr>
        <w:t>icroscopic observation revealed that by 24 h of LE treatment, the HepG2 cells had lost volume (shrinkage), their growth had been retarded, and subcellular organelles had ruptured</w:t>
      </w:r>
      <w:r w:rsidR="00812CEB">
        <w:rPr>
          <w:rFonts w:eastAsia="Times New Roman"/>
          <w:snapToGrid w:val="0"/>
          <w:lang w:eastAsia="de-DE" w:bidi="en-US"/>
        </w:rPr>
        <w:t xml:space="preserve"> (indicated by black arrows).</w:t>
      </w:r>
    </w:p>
    <w:p w14:paraId="0C906E48" w14:textId="1BE37270" w:rsidR="00DA505A" w:rsidRDefault="00DA505A" w:rsidP="00A01A0F">
      <w:pPr>
        <w:rPr>
          <w:b/>
          <w:bCs/>
        </w:rPr>
      </w:pPr>
    </w:p>
    <w:p w14:paraId="7FA9E197" w14:textId="334052D2" w:rsidR="00DA505A" w:rsidRDefault="00DA505A" w:rsidP="00A01A0F">
      <w:pPr>
        <w:rPr>
          <w:b/>
          <w:bCs/>
        </w:rPr>
      </w:pPr>
    </w:p>
    <w:p w14:paraId="45B60A98" w14:textId="73C14DEB" w:rsidR="00DA505A" w:rsidRDefault="00DA505A" w:rsidP="00A01A0F">
      <w:pPr>
        <w:rPr>
          <w:b/>
          <w:bCs/>
        </w:rPr>
      </w:pPr>
    </w:p>
    <w:p w14:paraId="59D7355E" w14:textId="302740E0" w:rsidR="00DA505A" w:rsidRDefault="00DA505A" w:rsidP="00A01A0F">
      <w:pPr>
        <w:rPr>
          <w:b/>
          <w:bCs/>
        </w:rPr>
      </w:pPr>
    </w:p>
    <w:p w14:paraId="6CF0902A" w14:textId="63D77D56" w:rsidR="00DA505A" w:rsidRDefault="00DA505A" w:rsidP="00A01A0F">
      <w:pPr>
        <w:rPr>
          <w:b/>
          <w:bCs/>
        </w:rPr>
      </w:pPr>
    </w:p>
    <w:p w14:paraId="5CF0439A" w14:textId="085E525A" w:rsidR="00DA505A" w:rsidRDefault="00DA505A" w:rsidP="00A01A0F">
      <w:pPr>
        <w:rPr>
          <w:b/>
          <w:bCs/>
        </w:rPr>
      </w:pPr>
    </w:p>
    <w:p w14:paraId="2589ED49" w14:textId="6B7B7D4C" w:rsidR="00DA505A" w:rsidRDefault="00DA505A" w:rsidP="00A01A0F">
      <w:pPr>
        <w:rPr>
          <w:b/>
          <w:bCs/>
        </w:rPr>
      </w:pPr>
      <w:r w:rsidRPr="00DA505A">
        <w:rPr>
          <w:b/>
          <w:bCs/>
          <w:noProof/>
        </w:rPr>
        <w:lastRenderedPageBreak/>
        <w:drawing>
          <wp:inline distT="0" distB="0" distL="0" distR="0" wp14:anchorId="684F9B95" wp14:editId="721D5CBC">
            <wp:extent cx="6208395" cy="5237781"/>
            <wp:effectExtent l="0" t="0" r="1905" b="1270"/>
            <wp:docPr id="3" name="Picture 3" descr="C:\Users\Pichet\Desktop\Frontiers in Cellular and Infection Microbiology\Revision\Figures (Edited, 300 dpi)\Figure 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chet\Desktop\Frontiers in Cellular and Infection Microbiology\Revision\Figures (Edited, 300 dpi)\Figure S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523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5162D" w14:textId="7ACA9BAB" w:rsidR="00812CEB" w:rsidRPr="00FF45F3" w:rsidRDefault="00DA505A" w:rsidP="00FF45F3">
      <w:pPr>
        <w:rPr>
          <w:b/>
          <w:bCs/>
        </w:rPr>
      </w:pPr>
      <w:r>
        <w:rPr>
          <w:b/>
          <w:bCs/>
        </w:rPr>
        <w:t>Supplementary Figure 2</w:t>
      </w:r>
      <w:r w:rsidR="00D34815">
        <w:rPr>
          <w:b/>
          <w:bCs/>
        </w:rPr>
        <w:t>.</w:t>
      </w:r>
      <w:r w:rsidR="00812CEB">
        <w:rPr>
          <w:b/>
          <w:bCs/>
        </w:rPr>
        <w:t xml:space="preserve"> </w:t>
      </w:r>
      <w:r w:rsidR="00812CEB" w:rsidRPr="003231B7">
        <w:rPr>
          <w:rFonts w:eastAsia="Times New Roman"/>
          <w:lang w:eastAsia="de-DE" w:bidi="en-US"/>
        </w:rPr>
        <w:t xml:space="preserve">Gene ontology (GO) enrichment analysis of the proteins in infective larval extract (LE) of </w:t>
      </w:r>
      <w:r w:rsidR="00812CEB" w:rsidRPr="003231B7">
        <w:rPr>
          <w:rFonts w:eastAsia="Times New Roman"/>
          <w:i/>
          <w:iCs/>
          <w:lang w:eastAsia="de-DE" w:bidi="en-US"/>
        </w:rPr>
        <w:t>T. spiralis</w:t>
      </w:r>
      <w:r w:rsidR="00812CEB" w:rsidRPr="003231B7">
        <w:rPr>
          <w:rFonts w:eastAsia="Times New Roman"/>
          <w:lang w:eastAsia="de-DE" w:bidi="en-US"/>
        </w:rPr>
        <w:t xml:space="preserve">. All identified proteins were blasted to proteins from the NCBI database using BLAST of OmicsBox software </w:t>
      </w:r>
      <w:r w:rsidR="00812CEB" w:rsidRPr="003231B7">
        <w:t>(</w:t>
      </w:r>
      <w:r w:rsidR="00812CEB" w:rsidRPr="003231B7">
        <w:rPr>
          <w:rFonts w:eastAsia="Times New Roman"/>
          <w:lang w:eastAsia="de-DE" w:bidi="en-US"/>
        </w:rPr>
        <w:t>Götz et al., 2008</w:t>
      </w:r>
      <w:r w:rsidR="00812CEB" w:rsidRPr="003231B7">
        <w:t>)</w:t>
      </w:r>
      <w:r w:rsidR="00812CEB" w:rsidRPr="003231B7">
        <w:rPr>
          <w:rFonts w:eastAsia="Times New Roman"/>
          <w:lang w:eastAsia="de-DE" w:bidi="en-US"/>
        </w:rPr>
        <w:t xml:space="preserve"> and categorized into three groups (cellular components, biological process, and molecular function) using GO annotation </w:t>
      </w:r>
      <w:r w:rsidR="00812CEB" w:rsidRPr="003231B7">
        <w:rPr>
          <w:rFonts w:eastAsia="Times New Roman"/>
          <w:i/>
          <w:iCs/>
          <w:lang w:eastAsia="de-DE" w:bidi="en-US"/>
        </w:rPr>
        <w:t xml:space="preserve">via </w:t>
      </w:r>
      <w:r w:rsidR="00812CEB" w:rsidRPr="003231B7">
        <w:rPr>
          <w:rFonts w:eastAsia="Times New Roman"/>
          <w:lang w:eastAsia="de-DE" w:bidi="en-US"/>
        </w:rPr>
        <w:t xml:space="preserve">the Blast2GO tool. </w:t>
      </w:r>
      <w:r w:rsidR="00812CEB" w:rsidRPr="003231B7">
        <w:rPr>
          <w:rFonts w:eastAsia="Times New Roman"/>
          <w:b/>
          <w:bCs/>
          <w:lang w:eastAsia="de-DE" w:bidi="en-US"/>
        </w:rPr>
        <w:t>(A)</w:t>
      </w:r>
      <w:r w:rsidR="00812CEB" w:rsidRPr="003231B7">
        <w:rPr>
          <w:rFonts w:eastAsia="Times New Roman"/>
          <w:lang w:eastAsia="de-DE" w:bidi="en-US"/>
        </w:rPr>
        <w:t xml:space="preserve"> Number of BLAST top hits of the LE proteins. </w:t>
      </w:r>
      <w:bookmarkStart w:id="1" w:name="_Hlk76819289"/>
      <w:r w:rsidR="00812CEB" w:rsidRPr="003231B7">
        <w:rPr>
          <w:rFonts w:eastAsia="Times New Roman"/>
          <w:b/>
          <w:bCs/>
          <w:lang w:eastAsia="de-DE" w:bidi="en-US"/>
        </w:rPr>
        <w:t>(B)</w:t>
      </w:r>
      <w:r w:rsidR="00812CEB" w:rsidRPr="003231B7">
        <w:rPr>
          <w:rFonts w:eastAsia="Times New Roman"/>
          <w:lang w:eastAsia="de-DE" w:bidi="en-US"/>
        </w:rPr>
        <w:t xml:space="preserve"> Classification of the LE proteins based on cellular components.</w:t>
      </w:r>
      <w:bookmarkEnd w:id="1"/>
      <w:r w:rsidR="00812CEB" w:rsidRPr="003231B7">
        <w:rPr>
          <w:rFonts w:eastAsia="Times New Roman"/>
          <w:lang w:eastAsia="de-DE" w:bidi="en-US"/>
        </w:rPr>
        <w:t xml:space="preserve"> </w:t>
      </w:r>
      <w:r w:rsidR="00812CEB" w:rsidRPr="003231B7">
        <w:rPr>
          <w:rFonts w:eastAsia="Times New Roman"/>
          <w:b/>
          <w:bCs/>
          <w:lang w:eastAsia="de-DE" w:bidi="en-US"/>
        </w:rPr>
        <w:t>(C)</w:t>
      </w:r>
      <w:r w:rsidR="00812CEB" w:rsidRPr="003231B7">
        <w:rPr>
          <w:rFonts w:eastAsia="Times New Roman"/>
          <w:lang w:eastAsia="de-DE" w:bidi="en-US"/>
        </w:rPr>
        <w:t xml:space="preserve"> Classification of the LE proteins based on biological process. </w:t>
      </w:r>
      <w:r w:rsidR="00812CEB" w:rsidRPr="003231B7">
        <w:rPr>
          <w:rFonts w:eastAsia="Times New Roman"/>
          <w:b/>
          <w:bCs/>
          <w:lang w:eastAsia="de-DE" w:bidi="en-US"/>
        </w:rPr>
        <w:t>(D)</w:t>
      </w:r>
      <w:r w:rsidR="00812CEB" w:rsidRPr="003231B7">
        <w:rPr>
          <w:rFonts w:eastAsia="Times New Roman"/>
          <w:lang w:eastAsia="de-DE" w:bidi="en-US"/>
        </w:rPr>
        <w:t xml:space="preserve"> Classification of the LE proteins based on molecular function.</w:t>
      </w:r>
    </w:p>
    <w:p w14:paraId="19990703" w14:textId="1EAEBAA2" w:rsidR="000D3FB1" w:rsidRPr="001549D3" w:rsidRDefault="000D3FB1" w:rsidP="00994A3D">
      <w:pPr>
        <w:keepNext/>
        <w:jc w:val="center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303AA9B3" wp14:editId="558D117E">
            <wp:extent cx="5943600" cy="467996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7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C6627" w14:textId="3271FBBF" w:rsidR="000D3FB1" w:rsidRPr="000D3FB1" w:rsidRDefault="00994A3D" w:rsidP="000D3FB1">
      <w:pPr>
        <w:adjustRightInd w:val="0"/>
        <w:snapToGrid w:val="0"/>
        <w:spacing w:line="228" w:lineRule="auto"/>
        <w:rPr>
          <w:rFonts w:eastAsia="Times New Roman"/>
          <w:sz w:val="18"/>
          <w:lang w:eastAsia="de-DE" w:bidi="en-US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D34815"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FF50A4" w:rsidRPr="00FF50A4">
        <w:rPr>
          <w:rFonts w:cs="Times New Roman"/>
          <w:szCs w:val="24"/>
        </w:rPr>
        <w:t>Cytotoxic effects of antitumor peptide 1 on hepatocellular carcinoma HepG2 cells</w:t>
      </w:r>
      <w:r w:rsidR="000D3FB1" w:rsidRPr="000D3FB1">
        <w:rPr>
          <w:rFonts w:eastAsia="Times New Roman"/>
          <w:szCs w:val="24"/>
          <w:lang w:eastAsia="de-DE" w:bidi="en-US"/>
        </w:rPr>
        <w:t>. Proliferations and morphological changes of HepG2 cells treated with different concentrations (5.5, 11, 22, 44, 88, 176, and 352 µgmL</w:t>
      </w:r>
      <w:r w:rsidR="000D3FB1" w:rsidRPr="000D3FB1">
        <w:rPr>
          <w:rFonts w:eastAsia="Times New Roman"/>
          <w:szCs w:val="24"/>
          <w:vertAlign w:val="superscript"/>
          <w:lang w:eastAsia="de-DE" w:bidi="en-US"/>
        </w:rPr>
        <w:t>-1</w:t>
      </w:r>
      <w:r w:rsidR="000D3FB1" w:rsidRPr="000D3FB1">
        <w:rPr>
          <w:rFonts w:eastAsia="Times New Roman"/>
          <w:szCs w:val="24"/>
          <w:lang w:eastAsia="de-DE" w:bidi="en-US"/>
        </w:rPr>
        <w:t>) of antitumor peptide 1, medium alone (negative control), and medium supplemented with 1% dimethyl sulfoxide (DMSO; diluent control) were observed at 24 h. They were visualized using an Olympus IX70 Inverted Tissue Culture Microscope (Olympus, Tokyo, Japan) at 200× magnification.</w:t>
      </w:r>
    </w:p>
    <w:p w14:paraId="3AE196DF" w14:textId="496073EC" w:rsidR="00994A3D" w:rsidRPr="002B4A57" w:rsidRDefault="00994A3D" w:rsidP="002B4A57">
      <w:pPr>
        <w:keepNext/>
        <w:rPr>
          <w:rFonts w:cs="Times New Roman"/>
          <w:b/>
          <w:szCs w:val="24"/>
        </w:rPr>
      </w:pPr>
    </w:p>
    <w:p w14:paraId="7B65BC41" w14:textId="45A41905" w:rsidR="00DE23E8" w:rsidRDefault="00DE23E8" w:rsidP="00654E8F">
      <w:pPr>
        <w:spacing w:before="240"/>
      </w:pPr>
    </w:p>
    <w:p w14:paraId="4360AC1C" w14:textId="6EB77919" w:rsidR="00C6140B" w:rsidRDefault="00C6140B" w:rsidP="00654E8F">
      <w:pPr>
        <w:spacing w:before="240"/>
      </w:pPr>
    </w:p>
    <w:p w14:paraId="0FADA680" w14:textId="13D93E11" w:rsidR="00C6140B" w:rsidRDefault="00C6140B" w:rsidP="00654E8F">
      <w:pPr>
        <w:spacing w:before="240"/>
      </w:pPr>
    </w:p>
    <w:p w14:paraId="102EC32F" w14:textId="27124C13" w:rsidR="00C6140B" w:rsidRDefault="00C6140B" w:rsidP="00C6140B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15FF619B" wp14:editId="0150392D">
            <wp:extent cx="5943600" cy="4681140"/>
            <wp:effectExtent l="0" t="0" r="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8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5CF5F" w14:textId="59D3A108" w:rsidR="00C6140B" w:rsidRPr="00646C62" w:rsidRDefault="00C6140B" w:rsidP="00C6140B">
      <w:pPr>
        <w:adjustRightInd w:val="0"/>
        <w:snapToGrid w:val="0"/>
        <w:spacing w:line="228" w:lineRule="auto"/>
        <w:rPr>
          <w:rFonts w:eastAsia="Times New Roman"/>
          <w:sz w:val="18"/>
          <w:lang w:eastAsia="de-DE" w:bidi="en-US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D34815"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C6140B">
        <w:rPr>
          <w:rFonts w:eastAsia="Times New Roman"/>
          <w:szCs w:val="24"/>
          <w:lang w:eastAsia="de-DE" w:bidi="en-US"/>
        </w:rPr>
        <w:t>Cytotoxic effect of antitumor peptide 2 on hepatocellular carcinoma HepG2 cells. Proliferations and morphological changes of HepG2 cells treated with different concentrations (5.5, 11, 22, 44, 88, 176, and 352 µgmL</w:t>
      </w:r>
      <w:r w:rsidRPr="00C6140B">
        <w:rPr>
          <w:rFonts w:eastAsia="Times New Roman"/>
          <w:szCs w:val="24"/>
          <w:vertAlign w:val="superscript"/>
          <w:lang w:eastAsia="de-DE" w:bidi="en-US"/>
        </w:rPr>
        <w:t>-1</w:t>
      </w:r>
      <w:r w:rsidRPr="00C6140B">
        <w:rPr>
          <w:rFonts w:eastAsia="Times New Roman"/>
          <w:szCs w:val="24"/>
          <w:lang w:eastAsia="de-DE" w:bidi="en-US"/>
        </w:rPr>
        <w:t>) of antitumor peptide 2, medium alone (negative control), and medium supplemented with 1% dimethyl sulfoxide (DMSO; diluent control) were observed at 24 h. They were visualized using an Olympus IX70 Inverted Tissue Culture Microscope (Olympus, Tokyo, Japan) at 200× magnification.</w:t>
      </w:r>
    </w:p>
    <w:p w14:paraId="03FD2E9A" w14:textId="0A4C3A57" w:rsidR="00C6140B" w:rsidRDefault="00C6140B" w:rsidP="00C6140B">
      <w:pPr>
        <w:spacing w:before="240"/>
      </w:pPr>
    </w:p>
    <w:p w14:paraId="2966C3B2" w14:textId="666E3DF5" w:rsidR="00C6140B" w:rsidRDefault="00C6140B" w:rsidP="00C6140B">
      <w:pPr>
        <w:spacing w:before="240"/>
      </w:pPr>
    </w:p>
    <w:p w14:paraId="2E4BC5FC" w14:textId="2BF71031" w:rsidR="00C6140B" w:rsidRDefault="00C6140B" w:rsidP="00C6140B">
      <w:pPr>
        <w:spacing w:before="240"/>
      </w:pPr>
    </w:p>
    <w:p w14:paraId="4034F1C1" w14:textId="4A2B5DAB" w:rsidR="00C6140B" w:rsidRDefault="00C6140B" w:rsidP="00C6140B">
      <w:pPr>
        <w:spacing w:before="240"/>
      </w:pPr>
    </w:p>
    <w:p w14:paraId="7CB539D1" w14:textId="4F77F8D1" w:rsidR="00C6140B" w:rsidRDefault="00C6140B" w:rsidP="00C6140B">
      <w:pPr>
        <w:spacing w:before="240"/>
      </w:pPr>
    </w:p>
    <w:p w14:paraId="4891475C" w14:textId="086B81AC" w:rsidR="00C6140B" w:rsidRDefault="00C6140B" w:rsidP="00C6140B">
      <w:pPr>
        <w:spacing w:before="240"/>
      </w:pPr>
    </w:p>
    <w:p w14:paraId="1F5A5085" w14:textId="66CFB829" w:rsidR="00C6140B" w:rsidRDefault="00C6140B" w:rsidP="00C6140B">
      <w:pPr>
        <w:spacing w:before="240"/>
      </w:pPr>
    </w:p>
    <w:p w14:paraId="49D8DF6D" w14:textId="575F0715" w:rsidR="00C6140B" w:rsidRDefault="00C6140B" w:rsidP="00C6140B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76EB2245" wp14:editId="358EB278">
            <wp:extent cx="5943600" cy="466872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F9122" w14:textId="26D5A4CC" w:rsidR="00C6140B" w:rsidRPr="00C6140B" w:rsidRDefault="00C6140B" w:rsidP="00C6140B">
      <w:pPr>
        <w:spacing w:before="240"/>
        <w:rPr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D34815">
        <w:rPr>
          <w:rFonts w:cs="Times New Roman"/>
          <w:b/>
          <w:szCs w:val="24"/>
        </w:rPr>
        <w:t>5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C6140B">
        <w:rPr>
          <w:rFonts w:eastAsia="Times New Roman"/>
          <w:szCs w:val="24"/>
          <w:lang w:eastAsia="de-DE" w:bidi="en-US"/>
        </w:rPr>
        <w:t>Cytotoxic effect of antitumor peptide 3 on hepatocellular carcinoma HepG2 cells. Proliferations and morphological changes of HepG2 cells treated with different concentrations (5.5, 11, 22, 44, 88, 176, and 352 µgmL</w:t>
      </w:r>
      <w:r w:rsidRPr="00C6140B">
        <w:rPr>
          <w:rFonts w:eastAsia="Times New Roman"/>
          <w:szCs w:val="24"/>
          <w:vertAlign w:val="superscript"/>
          <w:lang w:eastAsia="de-DE" w:bidi="en-US"/>
        </w:rPr>
        <w:t>-1</w:t>
      </w:r>
      <w:r w:rsidRPr="00C6140B">
        <w:rPr>
          <w:rFonts w:eastAsia="Times New Roman"/>
          <w:szCs w:val="24"/>
          <w:lang w:eastAsia="de-DE" w:bidi="en-US"/>
        </w:rPr>
        <w:t>) of antitumor peptide 3, medium alone (negative control), and medium supplemented with 1% dimethyl sulfoxide (DMSO; diluent control) were observed at 24 h. They were visualized using an Olympus IX70 Inverted Tissue Culture Microscope (Olympus, Tokyo, Japan) at 200× magnification.</w:t>
      </w:r>
    </w:p>
    <w:sectPr w:rsidR="00C6140B" w:rsidRPr="00C6140B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41CD3" w14:textId="77777777" w:rsidR="00CA3FF5" w:rsidRDefault="00CA3FF5" w:rsidP="00117666">
      <w:pPr>
        <w:spacing w:after="0"/>
      </w:pPr>
      <w:r>
        <w:separator/>
      </w:r>
    </w:p>
  </w:endnote>
  <w:endnote w:type="continuationSeparator" w:id="0">
    <w:p w14:paraId="633C593D" w14:textId="77777777" w:rsidR="00CA3FF5" w:rsidRDefault="00CA3FF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1F4341" w14:textId="77777777" w:rsidR="00CA3FF5" w:rsidRDefault="00CA3FF5" w:rsidP="00117666">
      <w:pPr>
        <w:spacing w:after="0"/>
      </w:pPr>
      <w:r>
        <w:separator/>
      </w:r>
    </w:p>
  </w:footnote>
  <w:footnote w:type="continuationSeparator" w:id="0">
    <w:p w14:paraId="7F2419C6" w14:textId="77777777" w:rsidR="00CA3FF5" w:rsidRDefault="00CA3FF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attachedTemplate r:id="rId1"/>
  <w:trackRevisions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D3FB1"/>
    <w:rsid w:val="00105FD9"/>
    <w:rsid w:val="00117666"/>
    <w:rsid w:val="001549D3"/>
    <w:rsid w:val="00160065"/>
    <w:rsid w:val="001670A7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7307C"/>
    <w:rsid w:val="00790BB3"/>
    <w:rsid w:val="007C206C"/>
    <w:rsid w:val="00812CEB"/>
    <w:rsid w:val="00817DD6"/>
    <w:rsid w:val="0083759F"/>
    <w:rsid w:val="00885156"/>
    <w:rsid w:val="00911F79"/>
    <w:rsid w:val="009151AA"/>
    <w:rsid w:val="0093429D"/>
    <w:rsid w:val="00943573"/>
    <w:rsid w:val="00964134"/>
    <w:rsid w:val="00970F7D"/>
    <w:rsid w:val="00994A3D"/>
    <w:rsid w:val="009C2B12"/>
    <w:rsid w:val="00A01A0F"/>
    <w:rsid w:val="00A174D9"/>
    <w:rsid w:val="00AA4D24"/>
    <w:rsid w:val="00AB6715"/>
    <w:rsid w:val="00B1671E"/>
    <w:rsid w:val="00B25EB8"/>
    <w:rsid w:val="00B37F4D"/>
    <w:rsid w:val="00C52A7B"/>
    <w:rsid w:val="00C56BAF"/>
    <w:rsid w:val="00C6140B"/>
    <w:rsid w:val="00C679AA"/>
    <w:rsid w:val="00C75972"/>
    <w:rsid w:val="00CA3FF5"/>
    <w:rsid w:val="00CD066B"/>
    <w:rsid w:val="00CE4FEE"/>
    <w:rsid w:val="00D060CF"/>
    <w:rsid w:val="00D34815"/>
    <w:rsid w:val="00D72AF4"/>
    <w:rsid w:val="00DA505A"/>
    <w:rsid w:val="00DB59C3"/>
    <w:rsid w:val="00DC259A"/>
    <w:rsid w:val="00DE23E8"/>
    <w:rsid w:val="00DF736E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F45F3"/>
    <w:rsid w:val="00FF5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87FC431F-A992-4C74-AE92-83E5E8587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5</Pages>
  <Words>389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Claire Percival</cp:lastModifiedBy>
  <cp:revision>29</cp:revision>
  <cp:lastPrinted>2013-10-03T12:51:00Z</cp:lastPrinted>
  <dcterms:created xsi:type="dcterms:W3CDTF">2022-02-14T07:56:00Z</dcterms:created>
  <dcterms:modified xsi:type="dcterms:W3CDTF">2022-03-29T11:56:00Z</dcterms:modified>
</cp:coreProperties>
</file>