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7BB" w:rsidRDefault="00FA756B">
      <w:pPr>
        <w:pBdr>
          <w:top w:val="nil"/>
          <w:left w:val="nil"/>
          <w:bottom w:val="nil"/>
          <w:right w:val="nil"/>
          <w:between w:val="nil"/>
        </w:pBdr>
        <w:spacing w:before="240" w:after="120"/>
        <w:jc w:val="center"/>
        <w:rPr>
          <w:b/>
          <w:i/>
          <w:color w:val="000000"/>
          <w:sz w:val="32"/>
          <w:szCs w:val="32"/>
        </w:rPr>
      </w:pPr>
      <w:r>
        <w:rPr>
          <w:b/>
          <w:i/>
          <w:color w:val="000000"/>
          <w:sz w:val="32"/>
          <w:szCs w:val="32"/>
        </w:rPr>
        <w:t>Supplementary Material</w:t>
      </w:r>
    </w:p>
    <w:p w:rsidR="002537BB" w:rsidRDefault="00FA756B">
      <w:pPr>
        <w:pStyle w:val="Heading1"/>
        <w:numPr>
          <w:ilvl w:val="0"/>
          <w:numId w:val="1"/>
        </w:numPr>
      </w:pPr>
      <w:r>
        <w:t xml:space="preserve">Supplementary Figures </w:t>
      </w:r>
    </w:p>
    <w:p w:rsidR="002537BB" w:rsidRDefault="002537BB">
      <w:pPr>
        <w:pStyle w:val="Heading1"/>
        <w:ind w:left="567" w:firstLine="0"/>
      </w:pPr>
    </w:p>
    <w:p w:rsidR="002537BB" w:rsidRDefault="00FA756B">
      <w:pPr>
        <w:pStyle w:val="Heading1"/>
        <w:ind w:left="567" w:firstLine="0"/>
        <w:jc w:val="center"/>
      </w:pPr>
      <w:r>
        <w:rPr>
          <w:noProof/>
          <w:lang w:val="en-PH" w:eastAsia="en-PH"/>
        </w:rPr>
        <w:drawing>
          <wp:inline distT="0" distB="0" distL="0" distR="0">
            <wp:extent cx="6208395" cy="18764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25802" b="28406"/>
                    <a:stretch>
                      <a:fillRect/>
                    </a:stretch>
                  </pic:blipFill>
                  <pic:spPr>
                    <a:xfrm>
                      <a:off x="0" y="0"/>
                      <a:ext cx="6208395" cy="1876425"/>
                    </a:xfrm>
                    <a:prstGeom prst="rect">
                      <a:avLst/>
                    </a:prstGeom>
                    <a:ln/>
                  </pic:spPr>
                </pic:pic>
              </a:graphicData>
            </a:graphic>
          </wp:inline>
        </w:drawing>
      </w:r>
      <w:r>
        <w:t xml:space="preserve">Supplementary Figure 1. </w:t>
      </w:r>
      <w:r>
        <w:rPr>
          <w:b w:val="0"/>
        </w:rPr>
        <w:t>Covid-19 chronology of restrictions.</w:t>
      </w:r>
    </w:p>
    <w:p w:rsidR="002537BB" w:rsidRDefault="002537BB">
      <w:pPr>
        <w:keepNext/>
        <w:rPr>
          <w:b/>
        </w:rPr>
      </w:pPr>
    </w:p>
    <w:p w:rsidR="002537BB" w:rsidRDefault="002537BB">
      <w:pPr>
        <w:keepNext/>
        <w:rPr>
          <w:b/>
        </w:rPr>
      </w:pPr>
    </w:p>
    <w:p w:rsidR="002537BB" w:rsidRDefault="002537BB"/>
    <w:p w:rsidR="002537BB" w:rsidRDefault="002537BB"/>
    <w:p w:rsidR="002537BB" w:rsidRDefault="002537BB"/>
    <w:p w:rsidR="002537BB" w:rsidRDefault="002537BB"/>
    <w:p w:rsidR="002537BB" w:rsidRDefault="002537BB"/>
    <w:p w:rsidR="002537BB" w:rsidRDefault="002537BB"/>
    <w:p w:rsidR="002537BB" w:rsidRDefault="002537BB"/>
    <w:p w:rsidR="002537BB" w:rsidRDefault="002537BB"/>
    <w:p w:rsidR="002537BB" w:rsidRDefault="002537BB"/>
    <w:p w:rsidR="002537BB" w:rsidRDefault="002537BB"/>
    <w:p w:rsidR="002537BB" w:rsidRDefault="002537BB"/>
    <w:p w:rsidR="002537BB" w:rsidRDefault="002537BB"/>
    <w:p w:rsidR="002537BB" w:rsidRDefault="00FA756B">
      <w:pPr>
        <w:pStyle w:val="Heading2"/>
        <w:numPr>
          <w:ilvl w:val="1"/>
          <w:numId w:val="1"/>
        </w:numPr>
      </w:pPr>
      <w:r>
        <w:lastRenderedPageBreak/>
        <w:t>Supplementary Tables</w:t>
      </w:r>
    </w:p>
    <w:p w:rsidR="002537BB" w:rsidRDefault="00FA756B">
      <w:r>
        <w:rPr>
          <w:b/>
        </w:rPr>
        <w:t xml:space="preserve">Supplementary Table I. </w:t>
      </w:r>
      <w:r>
        <w:t>Chronology of restrictions due to Covid-19 pandemic.</w:t>
      </w:r>
    </w:p>
    <w:tbl>
      <w:tblPr>
        <w:tblStyle w:val="a"/>
        <w:tblW w:w="9705"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
        <w:gridCol w:w="2361"/>
        <w:gridCol w:w="6846"/>
      </w:tblGrid>
      <w:tr w:rsidR="002537BB">
        <w:trPr>
          <w:trHeight w:val="725"/>
        </w:trPr>
        <w:tc>
          <w:tcPr>
            <w:tcW w:w="498" w:type="dxa"/>
            <w:vMerge w:val="restart"/>
            <w:vAlign w:val="center"/>
          </w:tcPr>
          <w:p w:rsidR="002537BB" w:rsidRDefault="00FA756B">
            <w:pPr>
              <w:spacing w:before="0"/>
              <w:ind w:left="113" w:right="113"/>
              <w:jc w:val="center"/>
            </w:pPr>
            <w:r>
              <w:t>2020</w:t>
            </w:r>
          </w:p>
        </w:tc>
        <w:tc>
          <w:tcPr>
            <w:tcW w:w="2361" w:type="dxa"/>
            <w:shd w:val="clear" w:color="auto" w:fill="auto"/>
            <w:vAlign w:val="center"/>
          </w:tcPr>
          <w:p w:rsidR="002537BB" w:rsidRDefault="00FA756B">
            <w:pPr>
              <w:spacing w:before="0"/>
              <w:jc w:val="center"/>
            </w:pPr>
            <w:r>
              <w:t>February 23</w:t>
            </w:r>
            <w:r>
              <w:rPr>
                <w:vertAlign w:val="superscript"/>
              </w:rPr>
              <w:t>rd</w:t>
            </w:r>
          </w:p>
        </w:tc>
        <w:tc>
          <w:tcPr>
            <w:tcW w:w="6846" w:type="dxa"/>
            <w:shd w:val="clear" w:color="auto" w:fill="auto"/>
          </w:tcPr>
          <w:p w:rsidR="002537BB" w:rsidRDefault="00FA756B">
            <w:pPr>
              <w:spacing w:before="0"/>
              <w:jc w:val="both"/>
            </w:pPr>
            <w:r>
              <w:t>First restrictions in Lombardy and Veneto regions (lockdown in some cities).</w:t>
            </w:r>
          </w:p>
        </w:tc>
      </w:tr>
      <w:tr w:rsidR="002537BB">
        <w:tc>
          <w:tcPr>
            <w:tcW w:w="498" w:type="dxa"/>
            <w:vMerge/>
            <w:vAlign w:val="center"/>
          </w:tcPr>
          <w:p w:rsidR="002537BB" w:rsidRDefault="002537BB">
            <w:pPr>
              <w:widowControl w:val="0"/>
              <w:pBdr>
                <w:top w:val="nil"/>
                <w:left w:val="nil"/>
                <w:bottom w:val="nil"/>
                <w:right w:val="nil"/>
                <w:between w:val="nil"/>
              </w:pBdr>
              <w:spacing w:before="0" w:line="276" w:lineRule="auto"/>
            </w:pPr>
          </w:p>
        </w:tc>
        <w:tc>
          <w:tcPr>
            <w:tcW w:w="2361" w:type="dxa"/>
            <w:shd w:val="clear" w:color="auto" w:fill="auto"/>
            <w:vAlign w:val="center"/>
          </w:tcPr>
          <w:p w:rsidR="002537BB" w:rsidRDefault="00FA756B">
            <w:pPr>
              <w:spacing w:before="0"/>
              <w:jc w:val="center"/>
            </w:pPr>
            <w:r>
              <w:t>March 1</w:t>
            </w:r>
            <w:r>
              <w:rPr>
                <w:vertAlign w:val="superscript"/>
              </w:rPr>
              <w:t>st</w:t>
            </w:r>
          </w:p>
        </w:tc>
        <w:tc>
          <w:tcPr>
            <w:tcW w:w="6846" w:type="dxa"/>
            <w:shd w:val="clear" w:color="auto" w:fill="auto"/>
          </w:tcPr>
          <w:p w:rsidR="002537BB" w:rsidRDefault="00FA756B">
            <w:pPr>
              <w:spacing w:before="0"/>
              <w:jc w:val="both"/>
            </w:pPr>
            <w:r>
              <w:t>Lockdown extended in Marche region to the province of Pesaro-</w:t>
            </w:r>
            <w:proofErr w:type="spellStart"/>
            <w:r>
              <w:t>Urbino</w:t>
            </w:r>
            <w:proofErr w:type="spellEnd"/>
            <w:r>
              <w:t>.</w:t>
            </w:r>
          </w:p>
        </w:tc>
      </w:tr>
      <w:tr w:rsidR="002537BB">
        <w:tc>
          <w:tcPr>
            <w:tcW w:w="498" w:type="dxa"/>
            <w:vMerge/>
            <w:vAlign w:val="center"/>
          </w:tcPr>
          <w:p w:rsidR="002537BB" w:rsidRDefault="002537BB">
            <w:pPr>
              <w:widowControl w:val="0"/>
              <w:pBdr>
                <w:top w:val="nil"/>
                <w:left w:val="nil"/>
                <w:bottom w:val="nil"/>
                <w:right w:val="nil"/>
                <w:between w:val="nil"/>
              </w:pBdr>
              <w:spacing w:before="0" w:line="276" w:lineRule="auto"/>
            </w:pPr>
          </w:p>
        </w:tc>
        <w:tc>
          <w:tcPr>
            <w:tcW w:w="2361" w:type="dxa"/>
            <w:shd w:val="clear" w:color="auto" w:fill="auto"/>
            <w:vAlign w:val="center"/>
          </w:tcPr>
          <w:p w:rsidR="002537BB" w:rsidRDefault="00FA756B">
            <w:pPr>
              <w:spacing w:before="0"/>
              <w:jc w:val="center"/>
            </w:pPr>
            <w:r>
              <w:t>March 9</w:t>
            </w:r>
            <w:r>
              <w:rPr>
                <w:vertAlign w:val="superscript"/>
              </w:rPr>
              <w:t>th</w:t>
            </w:r>
          </w:p>
        </w:tc>
        <w:tc>
          <w:tcPr>
            <w:tcW w:w="6846" w:type="dxa"/>
            <w:shd w:val="clear" w:color="auto" w:fill="auto"/>
          </w:tcPr>
          <w:p w:rsidR="002537BB" w:rsidRDefault="00FA756B">
            <w:pPr>
              <w:spacing w:before="0"/>
              <w:jc w:val="both"/>
            </w:pPr>
            <w:r>
              <w:t>Lockdown declared for the whole Italy.</w:t>
            </w:r>
          </w:p>
        </w:tc>
      </w:tr>
      <w:tr w:rsidR="002537BB">
        <w:tc>
          <w:tcPr>
            <w:tcW w:w="498" w:type="dxa"/>
            <w:vMerge/>
            <w:vAlign w:val="center"/>
          </w:tcPr>
          <w:p w:rsidR="002537BB" w:rsidRDefault="002537BB">
            <w:pPr>
              <w:widowControl w:val="0"/>
              <w:pBdr>
                <w:top w:val="nil"/>
                <w:left w:val="nil"/>
                <w:bottom w:val="nil"/>
                <w:right w:val="nil"/>
                <w:between w:val="nil"/>
              </w:pBdr>
              <w:spacing w:before="0" w:line="276" w:lineRule="auto"/>
            </w:pPr>
          </w:p>
        </w:tc>
        <w:tc>
          <w:tcPr>
            <w:tcW w:w="2361" w:type="dxa"/>
            <w:shd w:val="clear" w:color="auto" w:fill="auto"/>
            <w:vAlign w:val="center"/>
          </w:tcPr>
          <w:p w:rsidR="002537BB" w:rsidRDefault="00FA756B">
            <w:pPr>
              <w:spacing w:before="0"/>
              <w:jc w:val="center"/>
            </w:pPr>
            <w:r>
              <w:t>April</w:t>
            </w:r>
          </w:p>
        </w:tc>
        <w:tc>
          <w:tcPr>
            <w:tcW w:w="6846" w:type="dxa"/>
            <w:shd w:val="clear" w:color="auto" w:fill="auto"/>
          </w:tcPr>
          <w:p w:rsidR="002537BB" w:rsidRDefault="00FA756B">
            <w:pPr>
              <w:spacing w:before="0"/>
              <w:jc w:val="both"/>
            </w:pPr>
            <w:r>
              <w:t>First requests for attention from the Italian fishing federations (FIPSAS and FIOPS). Formal letter sent to the president of the Council of Ministers for the resumption of RF. Different petitions were also launched.</w:t>
            </w:r>
          </w:p>
        </w:tc>
      </w:tr>
      <w:tr w:rsidR="002537BB">
        <w:tc>
          <w:tcPr>
            <w:tcW w:w="498" w:type="dxa"/>
            <w:vMerge/>
            <w:vAlign w:val="center"/>
          </w:tcPr>
          <w:p w:rsidR="002537BB" w:rsidRDefault="002537BB">
            <w:pPr>
              <w:widowControl w:val="0"/>
              <w:pBdr>
                <w:top w:val="nil"/>
                <w:left w:val="nil"/>
                <w:bottom w:val="nil"/>
                <w:right w:val="nil"/>
                <w:between w:val="nil"/>
              </w:pBdr>
              <w:spacing w:before="0" w:line="276" w:lineRule="auto"/>
            </w:pPr>
          </w:p>
        </w:tc>
        <w:tc>
          <w:tcPr>
            <w:tcW w:w="2361" w:type="dxa"/>
            <w:shd w:val="clear" w:color="auto" w:fill="auto"/>
            <w:vAlign w:val="center"/>
          </w:tcPr>
          <w:p w:rsidR="002537BB" w:rsidRDefault="00FA756B">
            <w:pPr>
              <w:spacing w:before="0"/>
              <w:jc w:val="center"/>
            </w:pPr>
            <w:r>
              <w:t>May 4</w:t>
            </w:r>
            <w:r>
              <w:rPr>
                <w:vertAlign w:val="superscript"/>
              </w:rPr>
              <w:t>th</w:t>
            </w:r>
          </w:p>
        </w:tc>
        <w:tc>
          <w:tcPr>
            <w:tcW w:w="6846" w:type="dxa"/>
            <w:shd w:val="clear" w:color="auto" w:fill="auto"/>
          </w:tcPr>
          <w:p w:rsidR="002537BB" w:rsidRDefault="00FA756B">
            <w:pPr>
              <w:spacing w:before="0"/>
              <w:jc w:val="both"/>
            </w:pPr>
            <w:r>
              <w:t xml:space="preserve">Outdoor sports officially re-practicable. </w:t>
            </w:r>
          </w:p>
        </w:tc>
      </w:tr>
      <w:tr w:rsidR="002537BB">
        <w:tc>
          <w:tcPr>
            <w:tcW w:w="498" w:type="dxa"/>
            <w:vMerge/>
            <w:vAlign w:val="center"/>
          </w:tcPr>
          <w:p w:rsidR="002537BB" w:rsidRDefault="002537BB">
            <w:pPr>
              <w:widowControl w:val="0"/>
              <w:pBdr>
                <w:top w:val="nil"/>
                <w:left w:val="nil"/>
                <w:bottom w:val="nil"/>
                <w:right w:val="nil"/>
                <w:between w:val="nil"/>
              </w:pBdr>
              <w:spacing w:before="0" w:line="276" w:lineRule="auto"/>
            </w:pPr>
          </w:p>
        </w:tc>
        <w:tc>
          <w:tcPr>
            <w:tcW w:w="2361" w:type="dxa"/>
            <w:shd w:val="clear" w:color="auto" w:fill="auto"/>
            <w:vAlign w:val="center"/>
          </w:tcPr>
          <w:p w:rsidR="002537BB" w:rsidRDefault="00FA756B">
            <w:pPr>
              <w:spacing w:before="0"/>
              <w:jc w:val="center"/>
            </w:pPr>
            <w:r>
              <w:t>October 18</w:t>
            </w:r>
            <w:r>
              <w:rPr>
                <w:vertAlign w:val="superscript"/>
              </w:rPr>
              <w:t>th</w:t>
            </w:r>
          </w:p>
        </w:tc>
        <w:tc>
          <w:tcPr>
            <w:tcW w:w="6846" w:type="dxa"/>
            <w:shd w:val="clear" w:color="auto" w:fill="auto"/>
          </w:tcPr>
          <w:p w:rsidR="002537BB" w:rsidRDefault="00FA756B">
            <w:pPr>
              <w:spacing w:before="0"/>
              <w:jc w:val="both"/>
            </w:pPr>
            <w:r>
              <w:t>New ban for outdoor sports (only for amateurs).</w:t>
            </w:r>
          </w:p>
        </w:tc>
      </w:tr>
      <w:tr w:rsidR="002537BB">
        <w:tc>
          <w:tcPr>
            <w:tcW w:w="498" w:type="dxa"/>
            <w:vMerge/>
            <w:vAlign w:val="center"/>
          </w:tcPr>
          <w:p w:rsidR="002537BB" w:rsidRDefault="002537BB">
            <w:pPr>
              <w:widowControl w:val="0"/>
              <w:pBdr>
                <w:top w:val="nil"/>
                <w:left w:val="nil"/>
                <w:bottom w:val="nil"/>
                <w:right w:val="nil"/>
                <w:between w:val="nil"/>
              </w:pBdr>
              <w:spacing w:before="0" w:line="276" w:lineRule="auto"/>
            </w:pPr>
          </w:p>
        </w:tc>
        <w:tc>
          <w:tcPr>
            <w:tcW w:w="2361" w:type="dxa"/>
            <w:shd w:val="clear" w:color="auto" w:fill="auto"/>
            <w:vAlign w:val="center"/>
          </w:tcPr>
          <w:p w:rsidR="002537BB" w:rsidRDefault="00FA756B">
            <w:pPr>
              <w:spacing w:before="0"/>
              <w:jc w:val="center"/>
            </w:pPr>
            <w:r>
              <w:t>November 4</w:t>
            </w:r>
            <w:r>
              <w:rPr>
                <w:vertAlign w:val="superscript"/>
              </w:rPr>
              <w:t>th</w:t>
            </w:r>
          </w:p>
        </w:tc>
        <w:tc>
          <w:tcPr>
            <w:tcW w:w="6846" w:type="dxa"/>
            <w:shd w:val="clear" w:color="auto" w:fill="auto"/>
          </w:tcPr>
          <w:p w:rsidR="002537BB" w:rsidRDefault="00FA756B">
            <w:pPr>
              <w:spacing w:before="0"/>
              <w:jc w:val="both"/>
            </w:pPr>
            <w:r>
              <w:t>Establishment of the “traffic light” system for the regions. The restrictions on RF activities, from now on, are subject to the category of the region.</w:t>
            </w:r>
          </w:p>
        </w:tc>
      </w:tr>
      <w:tr w:rsidR="002537BB">
        <w:tc>
          <w:tcPr>
            <w:tcW w:w="498" w:type="dxa"/>
            <w:vMerge/>
            <w:vAlign w:val="center"/>
          </w:tcPr>
          <w:p w:rsidR="002537BB" w:rsidRDefault="002537BB">
            <w:pPr>
              <w:widowControl w:val="0"/>
              <w:pBdr>
                <w:top w:val="nil"/>
                <w:left w:val="nil"/>
                <w:bottom w:val="nil"/>
                <w:right w:val="nil"/>
                <w:between w:val="nil"/>
              </w:pBdr>
              <w:spacing w:before="0" w:line="276" w:lineRule="auto"/>
            </w:pPr>
          </w:p>
        </w:tc>
        <w:tc>
          <w:tcPr>
            <w:tcW w:w="2361" w:type="dxa"/>
            <w:shd w:val="clear" w:color="auto" w:fill="auto"/>
            <w:vAlign w:val="center"/>
          </w:tcPr>
          <w:p w:rsidR="002537BB" w:rsidRDefault="00FA756B">
            <w:pPr>
              <w:spacing w:before="0"/>
              <w:jc w:val="center"/>
            </w:pPr>
            <w:r>
              <w:t>November 6</w:t>
            </w:r>
            <w:r>
              <w:rPr>
                <w:vertAlign w:val="superscript"/>
              </w:rPr>
              <w:t>th</w:t>
            </w:r>
          </w:p>
        </w:tc>
        <w:tc>
          <w:tcPr>
            <w:tcW w:w="6846" w:type="dxa"/>
            <w:shd w:val="clear" w:color="auto" w:fill="auto"/>
          </w:tcPr>
          <w:p w:rsidR="002537BB" w:rsidRDefault="00FA756B">
            <w:pPr>
              <w:spacing w:before="0"/>
              <w:jc w:val="both"/>
            </w:pPr>
            <w:r>
              <w:t>Marche region declared in Orange zone.</w:t>
            </w:r>
          </w:p>
        </w:tc>
      </w:tr>
      <w:tr w:rsidR="002537BB">
        <w:tc>
          <w:tcPr>
            <w:tcW w:w="498" w:type="dxa"/>
            <w:vMerge/>
            <w:vAlign w:val="center"/>
          </w:tcPr>
          <w:p w:rsidR="002537BB" w:rsidRDefault="002537BB">
            <w:pPr>
              <w:widowControl w:val="0"/>
              <w:pBdr>
                <w:top w:val="nil"/>
                <w:left w:val="nil"/>
                <w:bottom w:val="nil"/>
                <w:right w:val="nil"/>
                <w:between w:val="nil"/>
              </w:pBdr>
              <w:spacing w:before="0" w:line="276" w:lineRule="auto"/>
            </w:pPr>
          </w:p>
        </w:tc>
        <w:tc>
          <w:tcPr>
            <w:tcW w:w="2361" w:type="dxa"/>
            <w:shd w:val="clear" w:color="auto" w:fill="auto"/>
            <w:vAlign w:val="center"/>
          </w:tcPr>
          <w:p w:rsidR="002537BB" w:rsidRDefault="00FA756B">
            <w:pPr>
              <w:spacing w:before="0"/>
              <w:jc w:val="center"/>
            </w:pPr>
            <w:r>
              <w:t>December 24</w:t>
            </w:r>
            <w:r>
              <w:rPr>
                <w:vertAlign w:val="superscript"/>
              </w:rPr>
              <w:t>th</w:t>
            </w:r>
            <w:r>
              <w:t>-27</w:t>
            </w:r>
            <w:r>
              <w:rPr>
                <w:vertAlign w:val="superscript"/>
              </w:rPr>
              <w:t>th</w:t>
            </w:r>
            <w:r>
              <w:t xml:space="preserve"> and 31</w:t>
            </w:r>
            <w:r>
              <w:rPr>
                <w:vertAlign w:val="superscript"/>
              </w:rPr>
              <w:t>st</w:t>
            </w:r>
          </w:p>
        </w:tc>
        <w:tc>
          <w:tcPr>
            <w:tcW w:w="6846" w:type="dxa"/>
            <w:shd w:val="clear" w:color="auto" w:fill="auto"/>
          </w:tcPr>
          <w:p w:rsidR="002537BB" w:rsidRDefault="00FA756B">
            <w:pPr>
              <w:spacing w:before="0"/>
              <w:jc w:val="both"/>
            </w:pPr>
            <w:r>
              <w:t>Red zone along the whole Italy.</w:t>
            </w:r>
          </w:p>
        </w:tc>
      </w:tr>
    </w:tbl>
    <w:p w:rsidR="002537BB" w:rsidRDefault="002537BB">
      <w:pPr>
        <w:rPr>
          <w:b/>
        </w:rPr>
      </w:pPr>
    </w:p>
    <w:p w:rsidR="002537BB" w:rsidRDefault="002537BB">
      <w:pPr>
        <w:rPr>
          <w:b/>
        </w:rPr>
      </w:pPr>
    </w:p>
    <w:p w:rsidR="002537BB" w:rsidRDefault="002537BB">
      <w:pPr>
        <w:rPr>
          <w:b/>
        </w:rPr>
      </w:pPr>
    </w:p>
    <w:p w:rsidR="002537BB" w:rsidRDefault="00FA756B">
      <w:pPr>
        <w:rPr>
          <w:b/>
        </w:rPr>
      </w:pPr>
      <w:r>
        <w:rPr>
          <w:b/>
        </w:rPr>
        <w:t xml:space="preserve">Supplementary Table II. </w:t>
      </w:r>
      <w:r>
        <w:t>“Traffic light” approach effects description on MRF.</w:t>
      </w:r>
    </w:p>
    <w:tbl>
      <w:tblPr>
        <w:tblStyle w:val="a0"/>
        <w:tblW w:w="9628"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9207"/>
      </w:tblGrid>
      <w:tr w:rsidR="002537BB">
        <w:tc>
          <w:tcPr>
            <w:tcW w:w="421" w:type="dxa"/>
            <w:vAlign w:val="center"/>
          </w:tcPr>
          <w:p w:rsidR="002537BB" w:rsidRDefault="002537BB">
            <w:pPr>
              <w:pStyle w:val="Heading2"/>
              <w:numPr>
                <w:ilvl w:val="1"/>
                <w:numId w:val="2"/>
              </w:numPr>
              <w:spacing w:before="0" w:after="0"/>
              <w:jc w:val="center"/>
              <w:outlineLvl w:val="1"/>
              <w:rPr>
                <w:rFonts w:ascii="Arial" w:eastAsia="Arial" w:hAnsi="Arial" w:cs="Arial"/>
                <w:color w:val="FFCC00"/>
                <w:sz w:val="32"/>
                <w:szCs w:val="32"/>
              </w:rPr>
            </w:pPr>
          </w:p>
        </w:tc>
        <w:tc>
          <w:tcPr>
            <w:tcW w:w="9207" w:type="dxa"/>
            <w:vAlign w:val="center"/>
          </w:tcPr>
          <w:p w:rsidR="002537BB" w:rsidRDefault="00FA756B">
            <w:pPr>
              <w:jc w:val="both"/>
            </w:pPr>
            <w:r>
              <w:rPr>
                <w:color w:val="000000"/>
              </w:rPr>
              <w:t>WHITE ZONE: MRF freely exercisable throughout the region.</w:t>
            </w:r>
          </w:p>
        </w:tc>
      </w:tr>
      <w:tr w:rsidR="002537BB">
        <w:tc>
          <w:tcPr>
            <w:tcW w:w="421" w:type="dxa"/>
            <w:shd w:val="clear" w:color="auto" w:fill="FFFF00"/>
            <w:vAlign w:val="center"/>
          </w:tcPr>
          <w:p w:rsidR="002537BB" w:rsidRDefault="002537BB">
            <w:pPr>
              <w:pStyle w:val="Heading2"/>
              <w:numPr>
                <w:ilvl w:val="1"/>
                <w:numId w:val="2"/>
              </w:numPr>
              <w:spacing w:before="0" w:after="0"/>
              <w:jc w:val="center"/>
              <w:outlineLvl w:val="1"/>
              <w:rPr>
                <w:rFonts w:ascii="Arial" w:eastAsia="Arial" w:hAnsi="Arial" w:cs="Arial"/>
                <w:color w:val="FFFFFF"/>
                <w:sz w:val="32"/>
                <w:szCs w:val="32"/>
              </w:rPr>
            </w:pPr>
          </w:p>
        </w:tc>
        <w:tc>
          <w:tcPr>
            <w:tcW w:w="9207" w:type="dxa"/>
            <w:vAlign w:val="center"/>
          </w:tcPr>
          <w:p w:rsidR="002537BB" w:rsidRDefault="00FA756B">
            <w:pPr>
              <w:jc w:val="both"/>
              <w:rPr>
                <w:color w:val="000000"/>
              </w:rPr>
            </w:pPr>
            <w:r>
              <w:rPr>
                <w:color w:val="000000"/>
              </w:rPr>
              <w:t>YELLOW ZONE: MRF </w:t>
            </w:r>
            <w:r>
              <w:t>freely exercisable, with the sole limitation NOT to leave the regional borders and to respect the curfew time which remains confirmed from 22:00 to 5:00. Self-certification is not required for travel.</w:t>
            </w:r>
          </w:p>
        </w:tc>
      </w:tr>
      <w:tr w:rsidR="002537BB">
        <w:tc>
          <w:tcPr>
            <w:tcW w:w="421" w:type="dxa"/>
            <w:shd w:val="clear" w:color="auto" w:fill="E36C09"/>
            <w:vAlign w:val="center"/>
          </w:tcPr>
          <w:p w:rsidR="002537BB" w:rsidRDefault="002537BB">
            <w:pPr>
              <w:pStyle w:val="Heading2"/>
              <w:numPr>
                <w:ilvl w:val="1"/>
                <w:numId w:val="2"/>
              </w:numPr>
              <w:spacing w:before="0" w:after="0"/>
              <w:jc w:val="center"/>
              <w:outlineLvl w:val="1"/>
            </w:pPr>
          </w:p>
        </w:tc>
        <w:tc>
          <w:tcPr>
            <w:tcW w:w="9207" w:type="dxa"/>
            <w:vAlign w:val="center"/>
          </w:tcPr>
          <w:p w:rsidR="002537BB" w:rsidRDefault="00FA756B">
            <w:pPr>
              <w:jc w:val="both"/>
            </w:pPr>
            <w:r>
              <w:t>ORANGE ZONE: MRF allowed within the municipality of residence. In addition, residents in municipalities of less than 5000 inhabitants can also move up to 30 km from the municipal boundaries (without however going to the capitals) to go fishing. (*2)</w:t>
            </w:r>
          </w:p>
        </w:tc>
      </w:tr>
      <w:tr w:rsidR="002537BB">
        <w:tc>
          <w:tcPr>
            <w:tcW w:w="421" w:type="dxa"/>
            <w:shd w:val="clear" w:color="auto" w:fill="FF0000"/>
            <w:vAlign w:val="center"/>
          </w:tcPr>
          <w:p w:rsidR="002537BB" w:rsidRDefault="002537BB">
            <w:pPr>
              <w:pStyle w:val="Heading2"/>
              <w:numPr>
                <w:ilvl w:val="1"/>
                <w:numId w:val="2"/>
              </w:numPr>
              <w:spacing w:before="0" w:after="0"/>
              <w:jc w:val="center"/>
              <w:outlineLvl w:val="1"/>
            </w:pPr>
          </w:p>
        </w:tc>
        <w:tc>
          <w:tcPr>
            <w:tcW w:w="9207" w:type="dxa"/>
            <w:vAlign w:val="center"/>
          </w:tcPr>
          <w:p w:rsidR="002537BB" w:rsidRDefault="00FA756B">
            <w:pPr>
              <w:jc w:val="both"/>
              <w:rPr>
                <w:color w:val="000000"/>
              </w:rPr>
            </w:pPr>
            <w:r>
              <w:rPr>
                <w:color w:val="000000"/>
              </w:rPr>
              <w:t>RED ZONE: it is allowed to carry out sporting activities exclusively within the municipality of residence, from 5.00 to 22.00, individually, maintaining an interpersonal distance of two meters. It is not allowed to move to start fishing in a territory other than that of the Municipality of residence.</w:t>
            </w:r>
          </w:p>
        </w:tc>
      </w:tr>
    </w:tbl>
    <w:p w:rsidR="002537BB" w:rsidRDefault="002537BB">
      <w:pPr>
        <w:rPr>
          <w:b/>
        </w:rPr>
      </w:pPr>
    </w:p>
    <w:p w:rsidR="002537BB" w:rsidRDefault="002537BB">
      <w:pPr>
        <w:rPr>
          <w:b/>
        </w:rPr>
      </w:pPr>
    </w:p>
    <w:p w:rsidR="002537BB" w:rsidRDefault="00FA756B">
      <w:r>
        <w:rPr>
          <w:b/>
        </w:rPr>
        <w:lastRenderedPageBreak/>
        <w:t xml:space="preserve">Supplementary Table III. </w:t>
      </w:r>
      <w:r>
        <w:t xml:space="preserve">Information collected through on-site survey (referred at the single fishing day) and recall survey (referred at the previous month).  </w:t>
      </w:r>
    </w:p>
    <w:tbl>
      <w:tblPr>
        <w:tblStyle w:val="a1"/>
        <w:tblW w:w="9766"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503"/>
      </w:tblGrid>
      <w:tr w:rsidR="002537BB">
        <w:tc>
          <w:tcPr>
            <w:tcW w:w="2263" w:type="dxa"/>
            <w:vAlign w:val="center"/>
          </w:tcPr>
          <w:p w:rsidR="002537BB" w:rsidRDefault="00FA756B">
            <w:pPr>
              <w:spacing w:before="0"/>
              <w:jc w:val="both"/>
              <w:rPr>
                <w:b/>
              </w:rPr>
            </w:pPr>
            <w:r>
              <w:t>Personal data</w:t>
            </w:r>
          </w:p>
        </w:tc>
        <w:tc>
          <w:tcPr>
            <w:tcW w:w="7503" w:type="dxa"/>
            <w:vAlign w:val="center"/>
          </w:tcPr>
          <w:p w:rsidR="002537BB" w:rsidRDefault="00FA756B">
            <w:pPr>
              <w:spacing w:before="0"/>
              <w:jc w:val="both"/>
              <w:rPr>
                <w:b/>
              </w:rPr>
            </w:pPr>
            <w:r>
              <w:t>Age, gender, possible presence of other fishers</w:t>
            </w:r>
          </w:p>
        </w:tc>
      </w:tr>
      <w:tr w:rsidR="002537BB">
        <w:tc>
          <w:tcPr>
            <w:tcW w:w="2263" w:type="dxa"/>
            <w:vAlign w:val="center"/>
          </w:tcPr>
          <w:p w:rsidR="002537BB" w:rsidRDefault="00FA756B">
            <w:pPr>
              <w:spacing w:before="0"/>
              <w:jc w:val="both"/>
              <w:rPr>
                <w:b/>
              </w:rPr>
            </w:pPr>
            <w:r>
              <w:t>Fishing effort</w:t>
            </w:r>
          </w:p>
        </w:tc>
        <w:tc>
          <w:tcPr>
            <w:tcW w:w="7503" w:type="dxa"/>
            <w:vAlign w:val="center"/>
          </w:tcPr>
          <w:p w:rsidR="002537BB" w:rsidRDefault="00FA756B">
            <w:pPr>
              <w:spacing w:before="0"/>
              <w:jc w:val="both"/>
              <w:rPr>
                <w:b/>
              </w:rPr>
            </w:pPr>
            <w:r>
              <w:t>Preferred fishing modality, fishing hours</w:t>
            </w:r>
          </w:p>
        </w:tc>
      </w:tr>
      <w:tr w:rsidR="002537BB">
        <w:tc>
          <w:tcPr>
            <w:tcW w:w="2263" w:type="dxa"/>
            <w:vAlign w:val="center"/>
          </w:tcPr>
          <w:p w:rsidR="002537BB" w:rsidRDefault="00FA756B">
            <w:pPr>
              <w:spacing w:before="0"/>
              <w:jc w:val="both"/>
              <w:rPr>
                <w:b/>
              </w:rPr>
            </w:pPr>
            <w:r>
              <w:t>Catches</w:t>
            </w:r>
          </w:p>
        </w:tc>
        <w:tc>
          <w:tcPr>
            <w:tcW w:w="7503" w:type="dxa"/>
            <w:vAlign w:val="center"/>
          </w:tcPr>
          <w:p w:rsidR="002537BB" w:rsidRDefault="00FA756B">
            <w:pPr>
              <w:spacing w:before="0"/>
              <w:jc w:val="both"/>
              <w:rPr>
                <w:b/>
              </w:rPr>
            </w:pPr>
            <w:r>
              <w:t>Total catch and release quantity</w:t>
            </w:r>
          </w:p>
        </w:tc>
      </w:tr>
      <w:tr w:rsidR="002537BB">
        <w:tc>
          <w:tcPr>
            <w:tcW w:w="2263" w:type="dxa"/>
            <w:vAlign w:val="center"/>
          </w:tcPr>
          <w:p w:rsidR="002537BB" w:rsidRDefault="00FA756B">
            <w:pPr>
              <w:spacing w:before="0"/>
              <w:jc w:val="both"/>
              <w:rPr>
                <w:b/>
              </w:rPr>
            </w:pPr>
            <w:r>
              <w:t>Economic data</w:t>
            </w:r>
          </w:p>
        </w:tc>
        <w:tc>
          <w:tcPr>
            <w:tcW w:w="7503" w:type="dxa"/>
            <w:vAlign w:val="center"/>
          </w:tcPr>
          <w:p w:rsidR="002537BB" w:rsidRDefault="00FA756B">
            <w:pPr>
              <w:spacing w:before="0"/>
              <w:jc w:val="both"/>
              <w:rPr>
                <w:b/>
              </w:rPr>
            </w:pPr>
            <w:r>
              <w:t xml:space="preserve">Expenditures for equipment, natural or artificial bait, fuel, etc. </w:t>
            </w:r>
          </w:p>
        </w:tc>
      </w:tr>
      <w:tr w:rsidR="002537BB">
        <w:tc>
          <w:tcPr>
            <w:tcW w:w="2263" w:type="dxa"/>
            <w:vAlign w:val="center"/>
          </w:tcPr>
          <w:p w:rsidR="002537BB" w:rsidRDefault="00FA756B">
            <w:pPr>
              <w:spacing w:before="0"/>
              <w:jc w:val="both"/>
            </w:pPr>
            <w:r>
              <w:t>Panel</w:t>
            </w:r>
          </w:p>
        </w:tc>
        <w:tc>
          <w:tcPr>
            <w:tcW w:w="7503" w:type="dxa"/>
            <w:vAlign w:val="center"/>
          </w:tcPr>
          <w:p w:rsidR="002537BB" w:rsidRDefault="00FA756B">
            <w:pPr>
              <w:spacing w:before="0"/>
              <w:jc w:val="both"/>
            </w:pPr>
            <w:r>
              <w:t xml:space="preserve">Willingness to be </w:t>
            </w:r>
            <w:proofErr w:type="spellStart"/>
            <w:r>
              <w:t>recontacted</w:t>
            </w:r>
            <w:proofErr w:type="spellEnd"/>
          </w:p>
        </w:tc>
      </w:tr>
    </w:tbl>
    <w:p w:rsidR="002537BB" w:rsidRDefault="002537BB">
      <w:pPr>
        <w:rPr>
          <w:b/>
        </w:rPr>
      </w:pPr>
    </w:p>
    <w:p w:rsidR="002537BB" w:rsidRDefault="002537BB">
      <w:pPr>
        <w:rPr>
          <w:b/>
        </w:rPr>
      </w:pPr>
    </w:p>
    <w:p w:rsidR="002537BB" w:rsidRDefault="002537BB">
      <w:pPr>
        <w:rPr>
          <w:b/>
        </w:rPr>
      </w:pPr>
    </w:p>
    <w:p w:rsidR="002537BB" w:rsidRDefault="00FA756B">
      <w:pPr>
        <w:rPr>
          <w:b/>
        </w:rPr>
      </w:pPr>
      <w:r>
        <w:rPr>
          <w:b/>
        </w:rPr>
        <w:t>Supplementary Table IV. C</w:t>
      </w:r>
      <w:r>
        <w:t>onfidence intervals extremes of the two distributions and the p-value obtained by applying the second bootstrap algorithm.</w:t>
      </w:r>
    </w:p>
    <w:tbl>
      <w:tblPr>
        <w:tblStyle w:val="a2"/>
        <w:tblW w:w="9628"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9"/>
        <w:gridCol w:w="3209"/>
        <w:gridCol w:w="3210"/>
      </w:tblGrid>
      <w:tr w:rsidR="002537BB">
        <w:tc>
          <w:tcPr>
            <w:tcW w:w="3209" w:type="dxa"/>
            <w:vAlign w:val="center"/>
          </w:tcPr>
          <w:p w:rsidR="002537BB" w:rsidRDefault="00FA756B">
            <w:pPr>
              <w:rPr>
                <w:b/>
              </w:rPr>
            </w:pPr>
            <w:r>
              <w:rPr>
                <w:b/>
              </w:rPr>
              <w:t>Distribution</w:t>
            </w:r>
          </w:p>
        </w:tc>
        <w:tc>
          <w:tcPr>
            <w:tcW w:w="3209" w:type="dxa"/>
          </w:tcPr>
          <w:p w:rsidR="002537BB" w:rsidRDefault="00FA756B">
            <w:pPr>
              <w:jc w:val="center"/>
              <w:rPr>
                <w:b/>
              </w:rPr>
            </w:pPr>
            <w:proofErr w:type="spellStart"/>
            <w:r>
              <w:rPr>
                <w:b/>
              </w:rPr>
              <w:t>Inf</w:t>
            </w:r>
            <w:proofErr w:type="spellEnd"/>
            <w:r>
              <w:rPr>
                <w:b/>
              </w:rPr>
              <w:t xml:space="preserve"> CI</w:t>
            </w:r>
          </w:p>
        </w:tc>
        <w:tc>
          <w:tcPr>
            <w:tcW w:w="3210" w:type="dxa"/>
          </w:tcPr>
          <w:p w:rsidR="002537BB" w:rsidRDefault="00FA756B">
            <w:pPr>
              <w:jc w:val="center"/>
              <w:rPr>
                <w:b/>
              </w:rPr>
            </w:pPr>
            <w:r>
              <w:rPr>
                <w:b/>
              </w:rPr>
              <w:t>Sup CI</w:t>
            </w:r>
          </w:p>
        </w:tc>
      </w:tr>
      <w:tr w:rsidR="002537BB">
        <w:tc>
          <w:tcPr>
            <w:tcW w:w="3209" w:type="dxa"/>
            <w:vAlign w:val="center"/>
          </w:tcPr>
          <w:p w:rsidR="002537BB" w:rsidRDefault="00FA756B">
            <w:proofErr w:type="spellStart"/>
            <w:r>
              <w:t>Panelists</w:t>
            </w:r>
            <w:proofErr w:type="spellEnd"/>
          </w:p>
        </w:tc>
        <w:tc>
          <w:tcPr>
            <w:tcW w:w="3209" w:type="dxa"/>
            <w:vAlign w:val="center"/>
          </w:tcPr>
          <w:p w:rsidR="002537BB" w:rsidRDefault="00FA756B">
            <w:pPr>
              <w:jc w:val="center"/>
            </w:pPr>
            <w:r>
              <w:t>14.11</w:t>
            </w:r>
          </w:p>
        </w:tc>
        <w:tc>
          <w:tcPr>
            <w:tcW w:w="3210" w:type="dxa"/>
            <w:vAlign w:val="center"/>
          </w:tcPr>
          <w:p w:rsidR="002537BB" w:rsidRDefault="00FA756B">
            <w:pPr>
              <w:jc w:val="center"/>
            </w:pPr>
            <w:r>
              <w:t>28.42</w:t>
            </w:r>
          </w:p>
        </w:tc>
      </w:tr>
      <w:tr w:rsidR="002537BB">
        <w:tc>
          <w:tcPr>
            <w:tcW w:w="3209" w:type="dxa"/>
            <w:tcBorders>
              <w:bottom w:val="single" w:sz="4" w:space="0" w:color="000000"/>
            </w:tcBorders>
            <w:vAlign w:val="center"/>
          </w:tcPr>
          <w:p w:rsidR="002537BB" w:rsidRDefault="00FA756B">
            <w:r>
              <w:t>GSA 17 sample</w:t>
            </w:r>
          </w:p>
        </w:tc>
        <w:tc>
          <w:tcPr>
            <w:tcW w:w="3209" w:type="dxa"/>
            <w:tcBorders>
              <w:bottom w:val="single" w:sz="4" w:space="0" w:color="000000"/>
            </w:tcBorders>
            <w:vAlign w:val="center"/>
          </w:tcPr>
          <w:p w:rsidR="002537BB" w:rsidRDefault="00FA756B">
            <w:pPr>
              <w:jc w:val="center"/>
            </w:pPr>
            <w:r>
              <w:t>17.18</w:t>
            </w:r>
          </w:p>
        </w:tc>
        <w:tc>
          <w:tcPr>
            <w:tcW w:w="3210" w:type="dxa"/>
            <w:tcBorders>
              <w:bottom w:val="single" w:sz="4" w:space="0" w:color="000000"/>
            </w:tcBorders>
            <w:vAlign w:val="center"/>
          </w:tcPr>
          <w:p w:rsidR="002537BB" w:rsidRDefault="00FA756B">
            <w:pPr>
              <w:jc w:val="center"/>
            </w:pPr>
            <w:r>
              <w:t>20.83</w:t>
            </w:r>
          </w:p>
        </w:tc>
      </w:tr>
      <w:tr w:rsidR="002537BB">
        <w:tc>
          <w:tcPr>
            <w:tcW w:w="9628" w:type="dxa"/>
            <w:gridSpan w:val="3"/>
            <w:tcBorders>
              <w:left w:val="nil"/>
              <w:right w:val="nil"/>
            </w:tcBorders>
          </w:tcPr>
          <w:p w:rsidR="002537BB" w:rsidRDefault="002537BB"/>
        </w:tc>
      </w:tr>
      <w:tr w:rsidR="002537BB">
        <w:tc>
          <w:tcPr>
            <w:tcW w:w="3209" w:type="dxa"/>
          </w:tcPr>
          <w:p w:rsidR="002537BB" w:rsidRDefault="00FA756B">
            <w:r>
              <w:t xml:space="preserve">p-value </w:t>
            </w:r>
          </w:p>
        </w:tc>
        <w:tc>
          <w:tcPr>
            <w:tcW w:w="6419" w:type="dxa"/>
            <w:gridSpan w:val="2"/>
          </w:tcPr>
          <w:p w:rsidR="002537BB" w:rsidRDefault="00FA756B">
            <w:pPr>
              <w:jc w:val="center"/>
            </w:pPr>
            <w:r>
              <w:t>0.92</w:t>
            </w:r>
          </w:p>
        </w:tc>
      </w:tr>
    </w:tbl>
    <w:p w:rsidR="002537BB" w:rsidRDefault="002537BB">
      <w:pPr>
        <w:rPr>
          <w:b/>
        </w:rPr>
      </w:pPr>
    </w:p>
    <w:p w:rsidR="002537BB" w:rsidRDefault="002537BB">
      <w:pPr>
        <w:rPr>
          <w:b/>
        </w:rPr>
      </w:pPr>
    </w:p>
    <w:p w:rsidR="002537BB" w:rsidRDefault="002537BB">
      <w:pPr>
        <w:rPr>
          <w:b/>
        </w:rPr>
      </w:pPr>
      <w:bookmarkStart w:id="0" w:name="_GoBack"/>
      <w:bookmarkEnd w:id="0"/>
    </w:p>
    <w:p w:rsidR="002537BB" w:rsidRDefault="002537BB">
      <w:pPr>
        <w:rPr>
          <w:b/>
        </w:rPr>
      </w:pPr>
    </w:p>
    <w:p w:rsidR="002537BB" w:rsidRDefault="002537BB">
      <w:pPr>
        <w:rPr>
          <w:b/>
        </w:rPr>
      </w:pPr>
    </w:p>
    <w:p w:rsidR="002537BB" w:rsidRDefault="002537BB">
      <w:pPr>
        <w:rPr>
          <w:b/>
        </w:rPr>
      </w:pPr>
    </w:p>
    <w:p w:rsidR="002537BB" w:rsidRDefault="002537BB">
      <w:pPr>
        <w:rPr>
          <w:b/>
        </w:rPr>
      </w:pPr>
    </w:p>
    <w:p w:rsidR="002537BB" w:rsidRDefault="002537BB">
      <w:pPr>
        <w:rPr>
          <w:b/>
        </w:rPr>
      </w:pPr>
    </w:p>
    <w:p w:rsidR="001C1EFC" w:rsidRDefault="001C1EFC">
      <w:pPr>
        <w:rPr>
          <w:b/>
        </w:rPr>
      </w:pPr>
    </w:p>
    <w:p w:rsidR="001C1EFC" w:rsidRDefault="001C1EFC">
      <w:pPr>
        <w:rPr>
          <w:b/>
        </w:rPr>
      </w:pPr>
    </w:p>
    <w:p w:rsidR="002537BB" w:rsidRDefault="002537BB">
      <w:pPr>
        <w:rPr>
          <w:b/>
        </w:rPr>
      </w:pPr>
    </w:p>
    <w:p w:rsidR="002537BB" w:rsidRDefault="002537BB">
      <w:pPr>
        <w:tabs>
          <w:tab w:val="left" w:pos="2175"/>
        </w:tabs>
      </w:pPr>
    </w:p>
    <w:sectPr w:rsidR="002537BB">
      <w:headerReference w:type="even" r:id="rId8"/>
      <w:footerReference w:type="even" r:id="rId9"/>
      <w:footerReference w:type="default" r:id="rId10"/>
      <w:headerReference w:type="first" r:id="rId11"/>
      <w:pgSz w:w="12240" w:h="15840"/>
      <w:pgMar w:top="1138" w:right="1181" w:bottom="1138" w:left="1282"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56B" w:rsidRDefault="00FA756B">
      <w:pPr>
        <w:spacing w:before="0" w:after="0"/>
      </w:pPr>
      <w:r>
        <w:separator/>
      </w:r>
    </w:p>
  </w:endnote>
  <w:endnote w:type="continuationSeparator" w:id="0">
    <w:p w:rsidR="00FA756B" w:rsidRDefault="00FA75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7BB" w:rsidRDefault="00FA756B">
    <w:pPr>
      <w:rPr>
        <w:color w:val="C00000"/>
      </w:rPr>
    </w:pPr>
    <w:r>
      <w:rPr>
        <w:noProof/>
        <w:lang w:val="en-PH" w:eastAsia="en-PH"/>
      </w:rPr>
      <mc:AlternateContent>
        <mc:Choice Requires="wpg">
          <w:drawing>
            <wp:anchor distT="0" distB="0" distL="114300" distR="114300" simplePos="0" relativeHeight="251659264" behindDoc="0" locked="0" layoutInCell="1" hidden="0" allowOverlap="1">
              <wp:simplePos x="0" y="0"/>
              <wp:positionH relativeFrom="column">
                <wp:posOffset>4673600</wp:posOffset>
              </wp:positionH>
              <wp:positionV relativeFrom="paragraph">
                <wp:posOffset>0</wp:posOffset>
              </wp:positionV>
              <wp:extent cx="1527810" cy="414655"/>
              <wp:effectExtent l="0" t="0" r="0" b="0"/>
              <wp:wrapNone/>
              <wp:docPr id="1" name="Rettangolo 1"/>
              <wp:cNvGraphicFramePr/>
              <a:graphic xmlns:a="http://schemas.openxmlformats.org/drawingml/2006/main">
                <a:graphicData uri="http://schemas.microsoft.com/office/word/2010/wordprocessingShape">
                  <wps:wsp>
                    <wps:cNvSpPr/>
                    <wps:spPr>
                      <a:xfrm>
                        <a:off x="4591620" y="3582198"/>
                        <a:ext cx="1508760" cy="395605"/>
                      </a:xfrm>
                      <a:prstGeom prst="rect">
                        <a:avLst/>
                      </a:prstGeom>
                      <a:noFill/>
                      <a:ln>
                        <a:noFill/>
                      </a:ln>
                    </wps:spPr>
                    <wps:txbx>
                      <w:txbxContent>
                        <w:p w:rsidR="002537BB" w:rsidRDefault="00FA756B">
                          <w:pPr>
                            <w:jc w:val="right"/>
                            <w:textDirection w:val="btLr"/>
                          </w:pPr>
                          <w:r>
                            <w:rPr>
                              <w:color w:val="000000"/>
                            </w:rPr>
                            <w:t xml:space="preserve"> </w:t>
                          </w:r>
                          <w:proofErr w:type="gramStart"/>
                          <w:r>
                            <w:rPr>
                              <w:color w:val="000000"/>
                            </w:rPr>
                            <w:t>PAGE  \</w:t>
                          </w:r>
                          <w:proofErr w:type="gramEnd"/>
                          <w:r>
                            <w:rPr>
                              <w:color w:val="000000"/>
                            </w:rPr>
                            <w:t>* Arabic  \* MERGEFORMAT 2</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4673600</wp:posOffset>
              </wp:positionH>
              <wp:positionV relativeFrom="paragraph">
                <wp:posOffset>0</wp:posOffset>
              </wp:positionV>
              <wp:extent cx="1527810" cy="414655"/>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527810" cy="414655"/>
                      </a:xfrm>
                      <a:prstGeom prst="rect"/>
                      <a:ln/>
                    </pic:spPr>
                  </pic:pic>
                </a:graphicData>
              </a:graphic>
            </wp:anchor>
          </w:drawing>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7BB" w:rsidRDefault="00FA756B">
    <w:pPr>
      <w:rPr>
        <w:b/>
        <w:sz w:val="20"/>
        <w:szCs w:val="20"/>
      </w:rPr>
    </w:pPr>
    <w:r>
      <w:rPr>
        <w:noProof/>
        <w:lang w:val="en-PH" w:eastAsia="en-PH"/>
      </w:rPr>
      <mc:AlternateContent>
        <mc:Choice Requires="wpg">
          <w:drawing>
            <wp:anchor distT="0" distB="0" distL="114300" distR="114300" simplePos="0" relativeHeight="251658240" behindDoc="0" locked="0" layoutInCell="1" hidden="0" allowOverlap="1">
              <wp:simplePos x="0" y="0"/>
              <wp:positionH relativeFrom="column">
                <wp:posOffset>4673600</wp:posOffset>
              </wp:positionH>
              <wp:positionV relativeFrom="paragraph">
                <wp:posOffset>0</wp:posOffset>
              </wp:positionV>
              <wp:extent cx="1527810" cy="414655"/>
              <wp:effectExtent l="0" t="0" r="0" b="0"/>
              <wp:wrapNone/>
              <wp:docPr id="2" name="Rettangolo 2"/>
              <wp:cNvGraphicFramePr/>
              <a:graphic xmlns:a="http://schemas.openxmlformats.org/drawingml/2006/main">
                <a:graphicData uri="http://schemas.microsoft.com/office/word/2010/wordprocessingShape">
                  <wps:wsp>
                    <wps:cNvSpPr/>
                    <wps:spPr>
                      <a:xfrm>
                        <a:off x="4591620" y="3582198"/>
                        <a:ext cx="1508760" cy="395605"/>
                      </a:xfrm>
                      <a:prstGeom prst="rect">
                        <a:avLst/>
                      </a:prstGeom>
                      <a:noFill/>
                      <a:ln>
                        <a:noFill/>
                      </a:ln>
                    </wps:spPr>
                    <wps:txbx>
                      <w:txbxContent>
                        <w:p w:rsidR="002537BB" w:rsidRDefault="00FA756B">
                          <w:pPr>
                            <w:jc w:val="right"/>
                            <w:textDirection w:val="btLr"/>
                          </w:pPr>
                          <w:r>
                            <w:rPr>
                              <w:color w:val="000000"/>
                            </w:rPr>
                            <w:t xml:space="preserve"> </w:t>
                          </w:r>
                          <w:proofErr w:type="gramStart"/>
                          <w:r>
                            <w:rPr>
                              <w:color w:val="000000"/>
                            </w:rPr>
                            <w:t>PAGE  \</w:t>
                          </w:r>
                          <w:proofErr w:type="gramEnd"/>
                          <w:r>
                            <w:rPr>
                              <w:color w:val="000000"/>
                            </w:rPr>
                            <w:t>* Arabic  \* MERGEFORMAT 3</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4673600</wp:posOffset>
              </wp:positionH>
              <wp:positionV relativeFrom="paragraph">
                <wp:posOffset>0</wp:posOffset>
              </wp:positionV>
              <wp:extent cx="1527810" cy="414655"/>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527810" cy="414655"/>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56B" w:rsidRDefault="00FA756B">
      <w:pPr>
        <w:spacing w:before="0" w:after="0"/>
      </w:pPr>
      <w:r>
        <w:separator/>
      </w:r>
    </w:p>
  </w:footnote>
  <w:footnote w:type="continuationSeparator" w:id="0">
    <w:p w:rsidR="00FA756B" w:rsidRDefault="00FA756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7BB" w:rsidRDefault="00FA756B">
    <w: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7BB" w:rsidRDefault="00FA756B">
    <w:r>
      <w:rPr>
        <w:b/>
        <w:noProof/>
        <w:color w:val="A6A6A6"/>
        <w:lang w:val="en-PH" w:eastAsia="en-PH"/>
      </w:rPr>
      <w:drawing>
        <wp:inline distT="0" distB="0" distL="0" distR="0">
          <wp:extent cx="1534909" cy="551877"/>
          <wp:effectExtent l="0" t="0" r="0" b="0"/>
          <wp:docPr id="4" name="image2.jpg" descr="C:\Users\Elaine.Scott\Documents\LaTex\____TEST____Frontiers_LaTeX_Templates_V2.5\Frontiers LaTeX (Science, Health and Engineering) V2.5 - with Supplementary material (V1.2)\logo1.jpg"/>
          <wp:cNvGraphicFramePr/>
          <a:graphic xmlns:a="http://schemas.openxmlformats.org/drawingml/2006/main">
            <a:graphicData uri="http://schemas.openxmlformats.org/drawingml/2006/picture">
              <pic:pic xmlns:pic="http://schemas.openxmlformats.org/drawingml/2006/picture">
                <pic:nvPicPr>
                  <pic:cNvPr id="0" name="image2.jpg" descr="C:\Users\Elaine.Scott\Documents\LaTex\____TEST____Frontiers_LaTeX_Templates_V2.5\Frontiers LaTeX (Science, Health and Engineering) V2.5 - with Supplementary material (V1.2)\logo1.jpg"/>
                  <pic:cNvPicPr preferRelativeResize="0"/>
                </pic:nvPicPr>
                <pic:blipFill>
                  <a:blip r:embed="rId1"/>
                  <a:srcRect/>
                  <a:stretch>
                    <a:fillRect/>
                  </a:stretch>
                </pic:blipFill>
                <pic:spPr>
                  <a:xfrm>
                    <a:off x="0" y="0"/>
                    <a:ext cx="1534909" cy="551877"/>
                  </a:xfrm>
                  <a:prstGeom prst="rect">
                    <a:avLst/>
                  </a:prstGeom>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996476"/>
    <w:multiLevelType w:val="multilevel"/>
    <w:tmpl w:val="B6DE156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
    <w:nsid w:val="72FE4F22"/>
    <w:multiLevelType w:val="multilevel"/>
    <w:tmpl w:val="41747BF2"/>
    <w:lvl w:ilvl="0">
      <w:start w:val="1"/>
      <w:numFmt w:val="decima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567" w:hanging="567"/>
      </w:pPr>
    </w:lvl>
    <w:lvl w:ilvl="5">
      <w:start w:val="1"/>
      <w:numFmt w:val="lowerRoman"/>
      <w:lvlText w:val="%6."/>
      <w:lvlJc w:val="right"/>
      <w:pPr>
        <w:ind w:left="567" w:hanging="567"/>
      </w:pPr>
    </w:lvl>
    <w:lvl w:ilvl="6">
      <w:start w:val="1"/>
      <w:numFmt w:val="decimal"/>
      <w:lvlText w:val="%7."/>
      <w:lvlJc w:val="left"/>
      <w:pPr>
        <w:ind w:left="567" w:hanging="567"/>
      </w:pPr>
    </w:lvl>
    <w:lvl w:ilvl="7">
      <w:start w:val="1"/>
      <w:numFmt w:val="lowerLetter"/>
      <w:lvlText w:val="%8."/>
      <w:lvlJc w:val="left"/>
      <w:pPr>
        <w:ind w:left="567" w:hanging="567"/>
      </w:pPr>
    </w:lvl>
    <w:lvl w:ilvl="8">
      <w:start w:val="1"/>
      <w:numFmt w:val="lowerRoman"/>
      <w:lvlText w:val="%9."/>
      <w:lvlJc w:val="right"/>
      <w:pPr>
        <w:ind w:left="567" w:hanging="567"/>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QwNDU2N7E0NTM3tDRW0lEKTi0uzszPAykwrAUAzY0fwCwAAAA="/>
  </w:docVars>
  <w:rsids>
    <w:rsidRoot w:val="002537BB"/>
    <w:rsid w:val="001C1EFC"/>
    <w:rsid w:val="002537BB"/>
    <w:rsid w:val="00E758D5"/>
    <w:rsid w:val="00FA75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716E3-4018-4F25-B877-43BFC7A9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it-IT" w:bidi="ar-SA"/>
      </w:rPr>
    </w:rPrDefault>
    <w:pPrDefault>
      <w:pPr>
        <w:spacing w:before="12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before="240"/>
      <w:ind w:left="720" w:hanging="720"/>
      <w:outlineLvl w:val="0"/>
    </w:pPr>
    <w:rPr>
      <w:b/>
    </w:rPr>
  </w:style>
  <w:style w:type="paragraph" w:styleId="Heading2">
    <w:name w:val="heading 2"/>
    <w:basedOn w:val="Normal"/>
    <w:next w:val="Normal"/>
    <w:uiPriority w:val="9"/>
    <w:unhideWhenUsed/>
    <w:qFormat/>
    <w:pPr>
      <w:spacing w:before="240" w:after="200"/>
      <w:ind w:left="720" w:hanging="720"/>
      <w:outlineLvl w:val="1"/>
    </w:pPr>
    <w:rPr>
      <w:b/>
    </w:rPr>
  </w:style>
  <w:style w:type="paragraph" w:styleId="Heading3">
    <w:name w:val="heading 3"/>
    <w:basedOn w:val="Normal"/>
    <w:next w:val="Normal"/>
    <w:uiPriority w:val="9"/>
    <w:semiHidden/>
    <w:unhideWhenUsed/>
    <w:qFormat/>
    <w:pPr>
      <w:keepNext/>
      <w:keepLines/>
      <w:spacing w:before="40" w:after="120"/>
      <w:ind w:left="2160" w:hanging="720"/>
      <w:outlineLvl w:val="2"/>
    </w:pPr>
    <w:rPr>
      <w:b/>
    </w:rPr>
  </w:style>
  <w:style w:type="paragraph" w:styleId="Heading4">
    <w:name w:val="heading 4"/>
    <w:basedOn w:val="Normal"/>
    <w:next w:val="Normal"/>
    <w:uiPriority w:val="9"/>
    <w:semiHidden/>
    <w:unhideWhenUsed/>
    <w:qFormat/>
    <w:pPr>
      <w:keepNext/>
      <w:keepLines/>
      <w:spacing w:before="40" w:after="120"/>
      <w:ind w:left="2160" w:hanging="720"/>
      <w:outlineLvl w:val="3"/>
    </w:pPr>
    <w:rPr>
      <w:b/>
    </w:rPr>
  </w:style>
  <w:style w:type="paragraph" w:styleId="Heading5">
    <w:name w:val="heading 5"/>
    <w:basedOn w:val="Normal"/>
    <w:next w:val="Normal"/>
    <w:uiPriority w:val="9"/>
    <w:semiHidden/>
    <w:unhideWhenUsed/>
    <w:qFormat/>
    <w:pPr>
      <w:keepNext/>
      <w:keepLines/>
      <w:spacing w:before="40" w:after="120"/>
      <w:ind w:left="2160" w:hanging="72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spacing w:before="240" w:after="360"/>
      <w:jc w:val="center"/>
    </w:pPr>
    <w:rPr>
      <w:b/>
      <w:sz w:val="32"/>
      <w:szCs w:val="32"/>
    </w:rPr>
  </w:style>
  <w:style w:type="paragraph" w:styleId="Subtitle">
    <w:name w:val="Subtitle"/>
    <w:basedOn w:val="Normal"/>
    <w:next w:val="Normal"/>
    <w:uiPriority w:val="11"/>
    <w:qFormat/>
    <w:pPr>
      <w:spacing w:before="240"/>
    </w:pPr>
    <w:rPr>
      <w:b/>
    </w:rPr>
  </w:style>
  <w:style w:type="table" w:customStyle="1" w:styleId="a">
    <w:basedOn w:val="TableNormal1"/>
    <w:pPr>
      <w:spacing w:after="0"/>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0">
    <w:basedOn w:val="TableNormal1"/>
    <w:pPr>
      <w:spacing w:after="0"/>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1">
    <w:basedOn w:val="TableNormal1"/>
    <w:pPr>
      <w:spacing w:after="0"/>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2">
    <w:basedOn w:val="TableNormal1"/>
    <w:pPr>
      <w:spacing w:after="0"/>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3">
    <w:basedOn w:val="TableNormal1"/>
    <w:pPr>
      <w:spacing w:after="0"/>
    </w:pPr>
    <w:rPr>
      <w:rFonts w:ascii="Cambria" w:eastAsia="Cambria" w:hAnsi="Cambria" w:cs="Cambria"/>
    </w:r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1EF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EFC"/>
    <w:rPr>
      <w:rFonts w:ascii="Segoe UI" w:hAnsi="Segoe UI" w:cs="Segoe UI"/>
      <w:sz w:val="18"/>
      <w:szCs w:val="18"/>
    </w:rPr>
  </w:style>
  <w:style w:type="table" w:styleId="TableGrid">
    <w:name w:val="Table Grid"/>
    <w:basedOn w:val="TableNormal"/>
    <w:uiPriority w:val="39"/>
    <w:rsid w:val="001C1EF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Kristine Crizelle Devillena</cp:lastModifiedBy>
  <cp:revision>3</cp:revision>
  <dcterms:created xsi:type="dcterms:W3CDTF">2022-03-15T10:56:00Z</dcterms:created>
  <dcterms:modified xsi:type="dcterms:W3CDTF">2022-04-19T05:01:00Z</dcterms:modified>
</cp:coreProperties>
</file>