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19394" w14:textId="55649DFD" w:rsidR="00BD4FE0" w:rsidRPr="00BD4FE0" w:rsidRDefault="00654E8F" w:rsidP="00BD4FE0">
      <w:pPr>
        <w:pStyle w:val="SupplementaryMaterial"/>
      </w:pPr>
      <w:r w:rsidRPr="001549D3">
        <w:t>Supplementary Material</w:t>
      </w:r>
    </w:p>
    <w:p w14:paraId="3C419443" w14:textId="20C7B418" w:rsidR="00994A3D" w:rsidRPr="001549D3" w:rsidRDefault="00BD4FE0" w:rsidP="00994A3D">
      <w:pPr>
        <w:keepNext/>
        <w:jc w:val="center"/>
        <w:rPr>
          <w:rFonts w:cs="Times New Roman"/>
          <w:szCs w:val="24"/>
        </w:rPr>
      </w:pPr>
      <w:r>
        <w:rPr>
          <w:noProof/>
        </w:rPr>
        <w:drawing>
          <wp:inline distT="0" distB="0" distL="0" distR="0" wp14:anchorId="2854CB78" wp14:editId="580E90C3">
            <wp:extent cx="2927350" cy="5101471"/>
            <wp:effectExtent l="0" t="0" r="6350" b="444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4568" cy="5114050"/>
                    </a:xfrm>
                    <a:prstGeom prst="rect">
                      <a:avLst/>
                    </a:prstGeom>
                    <a:noFill/>
                    <a:ln>
                      <a:noFill/>
                    </a:ln>
                  </pic:spPr>
                </pic:pic>
              </a:graphicData>
            </a:graphic>
          </wp:inline>
        </w:drawing>
      </w:r>
    </w:p>
    <w:p w14:paraId="27AFD474" w14:textId="0F11AB97" w:rsidR="0003557F" w:rsidRPr="0003557F" w:rsidRDefault="0003557F" w:rsidP="0003557F">
      <w:pPr>
        <w:spacing w:before="240"/>
        <w:rPr>
          <w:rFonts w:cs="Times New Roman"/>
          <w:b/>
          <w:bCs/>
          <w:szCs w:val="24"/>
        </w:rPr>
      </w:pPr>
      <w:r w:rsidRPr="0003557F">
        <w:rPr>
          <w:rFonts w:cs="Times New Roman"/>
          <w:b/>
          <w:szCs w:val="24"/>
        </w:rPr>
        <w:t>Supplementary Figure 1</w:t>
      </w:r>
      <w:r>
        <w:rPr>
          <w:rFonts w:cs="Times New Roman"/>
          <w:b/>
          <w:szCs w:val="24"/>
        </w:rPr>
        <w:t>.</w:t>
      </w:r>
      <w:r w:rsidRPr="0003557F">
        <w:rPr>
          <w:rFonts w:cs="Times New Roman"/>
          <w:b/>
          <w:szCs w:val="24"/>
        </w:rPr>
        <w:t xml:space="preserve"> </w:t>
      </w:r>
      <w:r w:rsidRPr="0003557F">
        <w:rPr>
          <w:rFonts w:cs="Times New Roman"/>
          <w:szCs w:val="24"/>
        </w:rPr>
        <w:t>Collection of plasma samples used in miRNA extraction and NGS</w:t>
      </w:r>
    </w:p>
    <w:p w14:paraId="7B65BC41" w14:textId="33F06B3D" w:rsidR="0003557F" w:rsidRDefault="0003557F">
      <w:pPr>
        <w:spacing w:before="0" w:after="200" w:line="276" w:lineRule="auto"/>
      </w:pPr>
      <w:r>
        <w:br w:type="page"/>
      </w:r>
    </w:p>
    <w:p w14:paraId="04BAAA26" w14:textId="42D1703C" w:rsidR="00610C98" w:rsidRDefault="008F2D94" w:rsidP="00074399">
      <w:pPr>
        <w:spacing w:before="240"/>
        <w:jc w:val="center"/>
        <w:rPr>
          <w:bCs/>
        </w:rPr>
      </w:pPr>
      <w:r w:rsidRPr="0028374B">
        <w:rPr>
          <w:rFonts w:ascii="Arial" w:hAnsi="Arial" w:cs="Arial"/>
          <w:noProof/>
        </w:rPr>
        <w:lastRenderedPageBreak/>
        <w:drawing>
          <wp:inline distT="0" distB="0" distL="0" distR="0" wp14:anchorId="32A86C13" wp14:editId="0246F3B1">
            <wp:extent cx="3079115" cy="2941607"/>
            <wp:effectExtent l="0" t="0" r="6985" b="11430"/>
            <wp:docPr id="4" name="Diagramma 4">
              <a:extLst xmlns:a="http://schemas.openxmlformats.org/drawingml/2006/main">
                <a:ext uri="{FF2B5EF4-FFF2-40B4-BE49-F238E27FC236}">
                  <a16:creationId xmlns:a16="http://schemas.microsoft.com/office/drawing/2014/main" id="{C421F72F-29F5-4295-8C7F-CAF3B9176A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72630B" w:rsidRPr="0028374B">
        <w:rPr>
          <w:rFonts w:ascii="Arial" w:hAnsi="Arial" w:cs="Arial"/>
          <w:noProof/>
        </w:rPr>
        <w:drawing>
          <wp:inline distT="0" distB="0" distL="0" distR="0" wp14:anchorId="0BD783C5" wp14:editId="65E6D403">
            <wp:extent cx="2736850" cy="2941320"/>
            <wp:effectExtent l="0" t="0" r="6350" b="11430"/>
            <wp:docPr id="8" name="Diagramma 8">
              <a:extLst xmlns:a="http://schemas.openxmlformats.org/drawingml/2006/main">
                <a:ext uri="{FF2B5EF4-FFF2-40B4-BE49-F238E27FC236}">
                  <a16:creationId xmlns:a16="http://schemas.microsoft.com/office/drawing/2014/main" id="{EFAD9CB1-E4EE-4FBA-B092-F66D74409C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DFB418D" w14:textId="04D6B956" w:rsidR="00E60D6C" w:rsidRPr="00E60D6C" w:rsidRDefault="00E60D6C" w:rsidP="00E60D6C">
      <w:pPr>
        <w:spacing w:before="240"/>
        <w:jc w:val="both"/>
        <w:rPr>
          <w:bCs/>
        </w:rPr>
      </w:pPr>
      <w:r w:rsidRPr="00E60D6C">
        <w:rPr>
          <w:b/>
          <w:bCs/>
        </w:rPr>
        <w:t xml:space="preserve">Supplementary Figure </w:t>
      </w:r>
      <w:r w:rsidR="005209A3">
        <w:rPr>
          <w:b/>
          <w:bCs/>
        </w:rPr>
        <w:t>2</w:t>
      </w:r>
      <w:r>
        <w:rPr>
          <w:b/>
          <w:bCs/>
        </w:rPr>
        <w:t>.</w:t>
      </w:r>
      <w:r w:rsidRPr="00E60D6C">
        <w:rPr>
          <w:bCs/>
        </w:rPr>
        <w:t xml:space="preserve"> Ct Values and ΔCt values of UniSp100/UniSp101 spike-in qPCR. According to the user manual of used kit (QIAseq miRNA Library QC qPCR Assay Kit, Qiagen, Germany) the Ct values of UniSp100/UniSp100 should not vary by more than 3 between samples. The ΔCt values (UniSp100 – UniSp101) should be between 5 and 7.</w:t>
      </w:r>
    </w:p>
    <w:p w14:paraId="77CB76B3" w14:textId="77777777" w:rsidR="0072630B" w:rsidRPr="00610C98" w:rsidRDefault="0072630B" w:rsidP="00610C98">
      <w:pPr>
        <w:spacing w:before="240"/>
        <w:rPr>
          <w:bCs/>
        </w:rPr>
      </w:pPr>
    </w:p>
    <w:p w14:paraId="294EE385" w14:textId="05680165" w:rsidR="00DE23E8" w:rsidRDefault="000B055F" w:rsidP="000B055F">
      <w:pPr>
        <w:spacing w:before="240"/>
        <w:jc w:val="center"/>
      </w:pPr>
      <w:r w:rsidRPr="0028374B">
        <w:rPr>
          <w:rFonts w:ascii="Arial" w:hAnsi="Arial" w:cs="Arial"/>
          <w:noProof/>
        </w:rPr>
        <w:drawing>
          <wp:inline distT="0" distB="0" distL="0" distR="0" wp14:anchorId="41012F4D" wp14:editId="658075E9">
            <wp:extent cx="3079630" cy="2769079"/>
            <wp:effectExtent l="0" t="0" r="6985" b="12700"/>
            <wp:docPr id="6" name="Diagramma 6">
              <a:extLst xmlns:a="http://schemas.openxmlformats.org/drawingml/2006/main">
                <a:ext uri="{FF2B5EF4-FFF2-40B4-BE49-F238E27FC236}">
                  <a16:creationId xmlns:a16="http://schemas.microsoft.com/office/drawing/2014/main" id="{36AFD172-7BE9-4B47-A1C1-6AA243E474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39E8A66" w14:textId="34BD5C88" w:rsidR="00301173" w:rsidRPr="00301173" w:rsidRDefault="00301173" w:rsidP="00301173">
      <w:pPr>
        <w:spacing w:before="240"/>
        <w:jc w:val="both"/>
        <w:rPr>
          <w:bCs/>
        </w:rPr>
      </w:pPr>
      <w:r w:rsidRPr="00301173">
        <w:rPr>
          <w:b/>
        </w:rPr>
        <w:t xml:space="preserve">Supplementary Figure </w:t>
      </w:r>
      <w:r w:rsidR="006642D5">
        <w:rPr>
          <w:b/>
        </w:rPr>
        <w:t>3</w:t>
      </w:r>
      <w:r>
        <w:rPr>
          <w:b/>
        </w:rPr>
        <w:t>.</w:t>
      </w:r>
      <w:r w:rsidRPr="00301173">
        <w:rPr>
          <w:bCs/>
        </w:rPr>
        <w:t xml:space="preserve"> Ct values of UniSp6 to evaluate synthesis efficiency of cDNA used in quality control qPCR. According to the user manual of used kit (QIAseq miRNA Library QC qPCR Assay Kit, Qiagen, Germany) the Ct values of UniSp6 should be &lt; 20. </w:t>
      </w:r>
    </w:p>
    <w:p w14:paraId="020A37AB" w14:textId="1518EA89" w:rsidR="000B055F" w:rsidRDefault="00AF1F0E" w:rsidP="00B548A0">
      <w:pPr>
        <w:spacing w:before="240"/>
        <w:jc w:val="center"/>
      </w:pPr>
      <w:r w:rsidRPr="0028374B">
        <w:rPr>
          <w:rFonts w:ascii="Arial" w:hAnsi="Arial" w:cs="Arial"/>
          <w:noProof/>
        </w:rPr>
        <w:lastRenderedPageBreak/>
        <w:drawing>
          <wp:inline distT="0" distB="0" distL="0" distR="0" wp14:anchorId="3FD8F089" wp14:editId="00907CEF">
            <wp:extent cx="4344217" cy="3422333"/>
            <wp:effectExtent l="0" t="0" r="18415" b="6985"/>
            <wp:docPr id="11" name="Diagramma 11">
              <a:extLst xmlns:a="http://schemas.openxmlformats.org/drawingml/2006/main">
                <a:ext uri="{FF2B5EF4-FFF2-40B4-BE49-F238E27FC236}">
                  <a16:creationId xmlns:a16="http://schemas.microsoft.com/office/drawing/2014/main" id="{4A063409-2591-425B-A9B9-8B6755DFAB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3775D3" w14:textId="3BF1AB2D" w:rsidR="006F5D07" w:rsidRPr="006F5D07" w:rsidRDefault="006F5D07" w:rsidP="006F5D07">
      <w:pPr>
        <w:spacing w:before="240"/>
        <w:jc w:val="both"/>
        <w:rPr>
          <w:bCs/>
        </w:rPr>
      </w:pPr>
      <w:r w:rsidRPr="006F5D07">
        <w:rPr>
          <w:b/>
        </w:rPr>
        <w:t xml:space="preserve">Supplementary Figure </w:t>
      </w:r>
      <w:r w:rsidR="006642D5">
        <w:rPr>
          <w:b/>
        </w:rPr>
        <w:t>4</w:t>
      </w:r>
      <w:r>
        <w:rPr>
          <w:b/>
        </w:rPr>
        <w:t>.</w:t>
      </w:r>
      <w:r w:rsidRPr="006F5D07">
        <w:rPr>
          <w:bCs/>
        </w:rPr>
        <w:t xml:space="preserve"> Hemolysis assessment (ΔCt values of miR-23a-3p – miR-451a). According to the user manual the of used kit (QIAseq miRNA Library QC qPCR Assay Kit, Qiagen, Germany) the ΔCt values of &lt;5 represent no hemolysis risk, 5 – 7 represent low hemolysis risk, &gt;7 represent hemolyzed sample. </w:t>
      </w:r>
    </w:p>
    <w:p w14:paraId="77EA34DA" w14:textId="77777777" w:rsidR="006F5D07" w:rsidRDefault="006F5D07" w:rsidP="006F5D07">
      <w:pPr>
        <w:spacing w:before="240"/>
        <w:jc w:val="both"/>
      </w:pPr>
    </w:p>
    <w:p w14:paraId="4E55868C" w14:textId="433CDC6C" w:rsidR="00B548A0" w:rsidRDefault="003A1E86" w:rsidP="00B548A0">
      <w:pPr>
        <w:spacing w:before="240"/>
        <w:jc w:val="center"/>
      </w:pPr>
      <w:r w:rsidRPr="0028374B">
        <w:rPr>
          <w:rFonts w:ascii="Arial" w:hAnsi="Arial" w:cs="Arial"/>
          <w:noProof/>
        </w:rPr>
        <w:drawing>
          <wp:inline distT="0" distB="0" distL="0" distR="0" wp14:anchorId="39FC40A0" wp14:editId="10E3DFCA">
            <wp:extent cx="4344035" cy="2859206"/>
            <wp:effectExtent l="0" t="0" r="18415" b="17780"/>
            <wp:docPr id="14" name="Diagramma 14">
              <a:extLst xmlns:a="http://schemas.openxmlformats.org/drawingml/2006/main">
                <a:ext uri="{FF2B5EF4-FFF2-40B4-BE49-F238E27FC236}">
                  <a16:creationId xmlns:a16="http://schemas.microsoft.com/office/drawing/2014/main" id="{8270AC9B-BB1D-4739-8A7F-116E5D0AAD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B6AA45E" w14:textId="6861F965" w:rsidR="009A2308" w:rsidRPr="00E74A71" w:rsidRDefault="00597D4D" w:rsidP="00E74A71">
      <w:pPr>
        <w:spacing w:before="240"/>
        <w:jc w:val="both"/>
      </w:pPr>
      <w:r w:rsidRPr="00597D4D">
        <w:rPr>
          <w:b/>
          <w:bCs/>
        </w:rPr>
        <w:t xml:space="preserve">Supplementary Figure </w:t>
      </w:r>
      <w:r w:rsidR="006642D5">
        <w:rPr>
          <w:b/>
          <w:bCs/>
        </w:rPr>
        <w:t>5</w:t>
      </w:r>
      <w:r w:rsidRPr="00597D4D">
        <w:rPr>
          <w:b/>
          <w:bCs/>
        </w:rPr>
        <w:t xml:space="preserve">. </w:t>
      </w:r>
      <w:r w:rsidRPr="00597D4D">
        <w:t>Endogenous miRNA controls assessment. According to the user manual of the used kit (QIAseq miRNA Library QC qPCR Assay Kit, Qiagen, Germany) if the extraction was successful these three miRNAs should be detected in plasma at any Ct value.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433"/>
      </w:tblGrid>
      <w:tr w:rsidR="009A2308" w:rsidRPr="0028374B" w14:paraId="16036081" w14:textId="77777777" w:rsidTr="00EA64D0">
        <w:trPr>
          <w:trHeight w:hRule="exact" w:val="340"/>
        </w:trPr>
        <w:tc>
          <w:tcPr>
            <w:tcW w:w="4524" w:type="dxa"/>
            <w:tcBorders>
              <w:bottom w:val="single" w:sz="4" w:space="0" w:color="auto"/>
              <w:right w:val="single" w:sz="4" w:space="0" w:color="auto"/>
            </w:tcBorders>
          </w:tcPr>
          <w:p w14:paraId="55DC1DBA" w14:textId="77777777" w:rsidR="009A2308" w:rsidRPr="00EA64D0" w:rsidRDefault="009A2308" w:rsidP="00B0059A">
            <w:pPr>
              <w:jc w:val="center"/>
              <w:rPr>
                <w:rFonts w:ascii="Arial" w:hAnsi="Arial" w:cs="Arial"/>
                <w:b/>
                <w:bCs/>
                <w:noProof/>
                <w:sz w:val="20"/>
                <w:szCs w:val="20"/>
              </w:rPr>
            </w:pPr>
            <w:r w:rsidRPr="00EA64D0">
              <w:rPr>
                <w:rFonts w:ascii="Arial" w:hAnsi="Arial" w:cs="Arial"/>
                <w:b/>
                <w:bCs/>
                <w:noProof/>
                <w:sz w:val="20"/>
                <w:szCs w:val="20"/>
              </w:rPr>
              <w:lastRenderedPageBreak/>
              <w:t>Before trimming</w:t>
            </w:r>
          </w:p>
        </w:tc>
        <w:tc>
          <w:tcPr>
            <w:tcW w:w="4433" w:type="dxa"/>
            <w:tcBorders>
              <w:left w:val="single" w:sz="4" w:space="0" w:color="auto"/>
              <w:bottom w:val="single" w:sz="4" w:space="0" w:color="auto"/>
            </w:tcBorders>
          </w:tcPr>
          <w:p w14:paraId="786D592F" w14:textId="77777777" w:rsidR="009A2308" w:rsidRPr="00EA64D0" w:rsidRDefault="009A2308" w:rsidP="00B0059A">
            <w:pPr>
              <w:jc w:val="center"/>
              <w:rPr>
                <w:rFonts w:ascii="Arial" w:hAnsi="Arial" w:cs="Arial"/>
                <w:b/>
                <w:bCs/>
                <w:sz w:val="20"/>
                <w:szCs w:val="20"/>
              </w:rPr>
            </w:pPr>
            <w:r w:rsidRPr="00EA64D0">
              <w:rPr>
                <w:rFonts w:ascii="Arial" w:hAnsi="Arial" w:cs="Arial"/>
                <w:b/>
                <w:bCs/>
                <w:sz w:val="20"/>
                <w:szCs w:val="20"/>
              </w:rPr>
              <w:t>After trimming</w:t>
            </w:r>
          </w:p>
        </w:tc>
      </w:tr>
      <w:tr w:rsidR="009A2308" w:rsidRPr="0028374B" w14:paraId="7C6C5960" w14:textId="77777777" w:rsidTr="00EA64D0">
        <w:trPr>
          <w:trHeight w:hRule="exact" w:val="3119"/>
        </w:trPr>
        <w:tc>
          <w:tcPr>
            <w:tcW w:w="4524" w:type="dxa"/>
            <w:tcBorders>
              <w:top w:val="single" w:sz="4" w:space="0" w:color="auto"/>
              <w:right w:val="single" w:sz="4" w:space="0" w:color="auto"/>
            </w:tcBorders>
          </w:tcPr>
          <w:p w14:paraId="1A99F53B" w14:textId="77777777" w:rsidR="009A2308" w:rsidRPr="0028374B" w:rsidRDefault="009A2308" w:rsidP="00B0059A">
            <w:pPr>
              <w:rPr>
                <w:rFonts w:ascii="Arial" w:hAnsi="Arial" w:cs="Arial"/>
                <w:b/>
              </w:rPr>
            </w:pPr>
            <w:r w:rsidRPr="0028374B">
              <w:rPr>
                <w:rFonts w:ascii="Arial" w:hAnsi="Arial" w:cs="Arial"/>
                <w:noProof/>
              </w:rPr>
              <w:drawing>
                <wp:inline distT="0" distB="0" distL="0" distR="0" wp14:anchorId="6382DE14" wp14:editId="2E8E9609">
                  <wp:extent cx="2627194" cy="1928012"/>
                  <wp:effectExtent l="0" t="0" r="190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5580" cy="1948844"/>
                          </a:xfrm>
                          <a:prstGeom prst="rect">
                            <a:avLst/>
                          </a:prstGeom>
                        </pic:spPr>
                      </pic:pic>
                    </a:graphicData>
                  </a:graphic>
                </wp:inline>
              </w:drawing>
            </w:r>
          </w:p>
        </w:tc>
        <w:tc>
          <w:tcPr>
            <w:tcW w:w="4433" w:type="dxa"/>
            <w:tcBorders>
              <w:top w:val="single" w:sz="4" w:space="0" w:color="auto"/>
              <w:left w:val="single" w:sz="4" w:space="0" w:color="auto"/>
            </w:tcBorders>
          </w:tcPr>
          <w:p w14:paraId="1F618D09" w14:textId="77777777" w:rsidR="009A2308" w:rsidRPr="0028374B" w:rsidRDefault="009A2308" w:rsidP="00B0059A">
            <w:pPr>
              <w:rPr>
                <w:rFonts w:ascii="Arial" w:hAnsi="Arial" w:cs="Arial"/>
                <w:b/>
              </w:rPr>
            </w:pPr>
            <w:r w:rsidRPr="0028374B">
              <w:rPr>
                <w:rFonts w:ascii="Arial" w:hAnsi="Arial" w:cs="Arial"/>
                <w:noProof/>
              </w:rPr>
              <w:drawing>
                <wp:inline distT="0" distB="0" distL="0" distR="0" wp14:anchorId="2F1E98E8" wp14:editId="43DCDA9E">
                  <wp:extent cx="2610266" cy="1927860"/>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7330" cy="1947849"/>
                          </a:xfrm>
                          <a:prstGeom prst="rect">
                            <a:avLst/>
                          </a:prstGeom>
                        </pic:spPr>
                      </pic:pic>
                    </a:graphicData>
                  </a:graphic>
                </wp:inline>
              </w:drawing>
            </w:r>
          </w:p>
        </w:tc>
      </w:tr>
      <w:tr w:rsidR="009A2308" w:rsidRPr="0028374B" w14:paraId="0CC58350" w14:textId="77777777" w:rsidTr="00EA64D0">
        <w:trPr>
          <w:trHeight w:hRule="exact" w:val="3119"/>
        </w:trPr>
        <w:tc>
          <w:tcPr>
            <w:tcW w:w="4524" w:type="dxa"/>
            <w:tcBorders>
              <w:right w:val="single" w:sz="4" w:space="0" w:color="auto"/>
            </w:tcBorders>
          </w:tcPr>
          <w:p w14:paraId="63ADA02C" w14:textId="77777777" w:rsidR="009A2308" w:rsidRPr="0028374B" w:rsidRDefault="009A2308" w:rsidP="00B0059A">
            <w:pPr>
              <w:rPr>
                <w:rFonts w:ascii="Arial" w:hAnsi="Arial" w:cs="Arial"/>
                <w:noProof/>
              </w:rPr>
            </w:pPr>
            <w:r w:rsidRPr="0028374B">
              <w:rPr>
                <w:rFonts w:ascii="Arial" w:hAnsi="Arial" w:cs="Arial"/>
                <w:noProof/>
              </w:rPr>
              <w:drawing>
                <wp:inline distT="0" distB="0" distL="0" distR="0" wp14:anchorId="0ABBAD2D" wp14:editId="5CEF5FA7">
                  <wp:extent cx="2674961" cy="1801883"/>
                  <wp:effectExtent l="0" t="0" r="0" b="8255"/>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8916" cy="1858436"/>
                          </a:xfrm>
                          <a:prstGeom prst="rect">
                            <a:avLst/>
                          </a:prstGeom>
                        </pic:spPr>
                      </pic:pic>
                    </a:graphicData>
                  </a:graphic>
                </wp:inline>
              </w:drawing>
            </w:r>
          </w:p>
        </w:tc>
        <w:tc>
          <w:tcPr>
            <w:tcW w:w="4433" w:type="dxa"/>
            <w:tcBorders>
              <w:left w:val="single" w:sz="4" w:space="0" w:color="auto"/>
            </w:tcBorders>
          </w:tcPr>
          <w:p w14:paraId="16E6B232" w14:textId="77777777" w:rsidR="009A2308" w:rsidRPr="00EA64D0" w:rsidRDefault="009A2308" w:rsidP="00B0059A">
            <w:pPr>
              <w:rPr>
                <w:rFonts w:ascii="Arial" w:hAnsi="Arial" w:cs="Arial"/>
                <w:noProof/>
                <w:sz w:val="20"/>
                <w:szCs w:val="20"/>
              </w:rPr>
            </w:pPr>
            <w:r w:rsidRPr="00EA64D0">
              <w:rPr>
                <w:rFonts w:ascii="Arial" w:hAnsi="Arial" w:cs="Arial"/>
                <w:noProof/>
                <w:sz w:val="20"/>
                <w:szCs w:val="20"/>
              </w:rPr>
              <w:t>All reads with ambigous bases were discared.</w:t>
            </w:r>
          </w:p>
          <w:p w14:paraId="2B4EE575" w14:textId="77777777" w:rsidR="009A2308" w:rsidRPr="003530E3" w:rsidRDefault="009A2308" w:rsidP="00B0059A">
            <w:pPr>
              <w:rPr>
                <w:rFonts w:cs="Times New Roman"/>
                <w:noProof/>
                <w:sz w:val="20"/>
                <w:szCs w:val="20"/>
              </w:rPr>
            </w:pPr>
            <w:r w:rsidRPr="00EA64D0">
              <w:rPr>
                <w:rFonts w:ascii="Arial" w:hAnsi="Arial" w:cs="Arial"/>
                <w:sz w:val="20"/>
                <w:szCs w:val="20"/>
              </w:rPr>
              <w:t>No data available.</w:t>
            </w:r>
          </w:p>
        </w:tc>
      </w:tr>
      <w:tr w:rsidR="009A2308" w:rsidRPr="0028374B" w14:paraId="40E2D0ED" w14:textId="77777777" w:rsidTr="00EA64D0">
        <w:trPr>
          <w:trHeight w:hRule="exact" w:val="3119"/>
        </w:trPr>
        <w:tc>
          <w:tcPr>
            <w:tcW w:w="4524" w:type="dxa"/>
            <w:tcBorders>
              <w:right w:val="single" w:sz="4" w:space="0" w:color="auto"/>
            </w:tcBorders>
          </w:tcPr>
          <w:p w14:paraId="104B4452" w14:textId="77777777" w:rsidR="009A2308" w:rsidRPr="0028374B" w:rsidRDefault="009A2308" w:rsidP="00B0059A">
            <w:pPr>
              <w:rPr>
                <w:rFonts w:ascii="Arial" w:hAnsi="Arial" w:cs="Arial"/>
                <w:noProof/>
              </w:rPr>
            </w:pPr>
            <w:r w:rsidRPr="0028374B">
              <w:rPr>
                <w:rFonts w:ascii="Arial" w:hAnsi="Arial" w:cs="Arial"/>
                <w:noProof/>
              </w:rPr>
              <w:drawing>
                <wp:inline distT="0" distB="0" distL="0" distR="0" wp14:anchorId="66356E5F" wp14:editId="2AD81126">
                  <wp:extent cx="2674620" cy="1645348"/>
                  <wp:effectExtent l="0" t="0" r="0" b="3175"/>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4620" cy="1645348"/>
                          </a:xfrm>
                          <a:prstGeom prst="rect">
                            <a:avLst/>
                          </a:prstGeom>
                        </pic:spPr>
                      </pic:pic>
                    </a:graphicData>
                  </a:graphic>
                </wp:inline>
              </w:drawing>
            </w:r>
          </w:p>
        </w:tc>
        <w:tc>
          <w:tcPr>
            <w:tcW w:w="4433" w:type="dxa"/>
            <w:tcBorders>
              <w:left w:val="single" w:sz="4" w:space="0" w:color="auto"/>
            </w:tcBorders>
          </w:tcPr>
          <w:p w14:paraId="3288B05E" w14:textId="77777777" w:rsidR="009A2308" w:rsidRPr="0028374B" w:rsidRDefault="009A2308" w:rsidP="00B0059A">
            <w:pPr>
              <w:rPr>
                <w:rFonts w:ascii="Arial" w:hAnsi="Arial" w:cs="Arial"/>
                <w:noProof/>
              </w:rPr>
            </w:pPr>
            <w:r w:rsidRPr="0028374B">
              <w:rPr>
                <w:rFonts w:ascii="Arial" w:hAnsi="Arial" w:cs="Arial"/>
                <w:noProof/>
              </w:rPr>
              <w:drawing>
                <wp:inline distT="0" distB="0" distL="0" distR="0" wp14:anchorId="3E16A217" wp14:editId="05552A8B">
                  <wp:extent cx="2654489" cy="1633815"/>
                  <wp:effectExtent l="0" t="0" r="0" b="508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89868" cy="1717139"/>
                          </a:xfrm>
                          <a:prstGeom prst="rect">
                            <a:avLst/>
                          </a:prstGeom>
                        </pic:spPr>
                      </pic:pic>
                    </a:graphicData>
                  </a:graphic>
                </wp:inline>
              </w:drawing>
            </w:r>
          </w:p>
        </w:tc>
      </w:tr>
      <w:tr w:rsidR="009A2308" w:rsidRPr="0028374B" w14:paraId="3C354AC9" w14:textId="77777777" w:rsidTr="00EA64D0">
        <w:trPr>
          <w:trHeight w:hRule="exact" w:val="3119"/>
        </w:trPr>
        <w:tc>
          <w:tcPr>
            <w:tcW w:w="4524" w:type="dxa"/>
            <w:tcBorders>
              <w:right w:val="single" w:sz="4" w:space="0" w:color="auto"/>
            </w:tcBorders>
          </w:tcPr>
          <w:p w14:paraId="5875F893" w14:textId="77777777" w:rsidR="009A2308" w:rsidRPr="0028374B" w:rsidRDefault="009A2308" w:rsidP="00B0059A">
            <w:pPr>
              <w:rPr>
                <w:rFonts w:ascii="Arial" w:hAnsi="Arial" w:cs="Arial"/>
                <w:noProof/>
              </w:rPr>
            </w:pPr>
            <w:r w:rsidRPr="0028374B">
              <w:rPr>
                <w:rFonts w:ascii="Arial" w:hAnsi="Arial" w:cs="Arial"/>
                <w:noProof/>
              </w:rPr>
              <w:drawing>
                <wp:inline distT="0" distB="0" distL="0" distR="0" wp14:anchorId="2F4DD656" wp14:editId="68594D77">
                  <wp:extent cx="2729552" cy="1895231"/>
                  <wp:effectExtent l="0" t="0" r="635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29552" cy="1895231"/>
                          </a:xfrm>
                          <a:prstGeom prst="rect">
                            <a:avLst/>
                          </a:prstGeom>
                        </pic:spPr>
                      </pic:pic>
                    </a:graphicData>
                  </a:graphic>
                </wp:inline>
              </w:drawing>
            </w:r>
          </w:p>
        </w:tc>
        <w:tc>
          <w:tcPr>
            <w:tcW w:w="4433" w:type="dxa"/>
            <w:tcBorders>
              <w:left w:val="single" w:sz="4" w:space="0" w:color="auto"/>
            </w:tcBorders>
          </w:tcPr>
          <w:p w14:paraId="40CE0F7F" w14:textId="77777777" w:rsidR="009A2308" w:rsidRPr="0028374B" w:rsidRDefault="009A2308" w:rsidP="00B0059A">
            <w:pPr>
              <w:rPr>
                <w:rFonts w:ascii="Arial" w:hAnsi="Arial" w:cs="Arial"/>
                <w:noProof/>
              </w:rPr>
            </w:pPr>
            <w:r w:rsidRPr="0028374B">
              <w:rPr>
                <w:rFonts w:ascii="Arial" w:hAnsi="Arial" w:cs="Arial"/>
                <w:noProof/>
              </w:rPr>
              <w:drawing>
                <wp:inline distT="0" distB="0" distL="0" distR="0" wp14:anchorId="092E3657" wp14:editId="4CE766EB">
                  <wp:extent cx="2674620" cy="1856233"/>
                  <wp:effectExtent l="0" t="0" r="3175" b="698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4620" cy="1856233"/>
                          </a:xfrm>
                          <a:prstGeom prst="rect">
                            <a:avLst/>
                          </a:prstGeom>
                        </pic:spPr>
                      </pic:pic>
                    </a:graphicData>
                  </a:graphic>
                </wp:inline>
              </w:drawing>
            </w:r>
          </w:p>
        </w:tc>
      </w:tr>
    </w:tbl>
    <w:p w14:paraId="6195303C" w14:textId="1D06B6CE" w:rsidR="00452B16" w:rsidRPr="00452B16" w:rsidRDefault="00452B16" w:rsidP="00452B16">
      <w:pPr>
        <w:spacing w:before="240"/>
        <w:jc w:val="both"/>
        <w:rPr>
          <w:bCs/>
        </w:rPr>
      </w:pPr>
      <w:r w:rsidRPr="00452B16">
        <w:rPr>
          <w:b/>
        </w:rPr>
        <w:lastRenderedPageBreak/>
        <w:t xml:space="preserve">Supplementary Figure </w:t>
      </w:r>
      <w:r w:rsidR="00E30555">
        <w:rPr>
          <w:b/>
        </w:rPr>
        <w:t>6</w:t>
      </w:r>
      <w:r w:rsidRPr="00452B16">
        <w:rPr>
          <w:b/>
        </w:rPr>
        <w:t xml:space="preserve"> –</w:t>
      </w:r>
      <w:r w:rsidRPr="00452B16">
        <w:rPr>
          <w:bCs/>
        </w:rPr>
        <w:t xml:space="preserve"> summary of sequence quality statistics before and after trimming. </w:t>
      </w:r>
    </w:p>
    <w:p w14:paraId="46C139A6" w14:textId="2E8FD350" w:rsidR="00452B16" w:rsidRPr="00452B16" w:rsidRDefault="00452B16" w:rsidP="00452B16">
      <w:pPr>
        <w:spacing w:before="240"/>
        <w:jc w:val="both"/>
        <w:rPr>
          <w:b/>
        </w:rPr>
      </w:pPr>
      <w:r w:rsidRPr="00452B16">
        <w:rPr>
          <w:b/>
        </w:rPr>
        <w:t>Read length distribution</w:t>
      </w:r>
      <w:r>
        <w:rPr>
          <w:b/>
        </w:rPr>
        <w:t xml:space="preserve">: </w:t>
      </w:r>
      <w:r w:rsidRPr="00452B16">
        <w:t>The box plot is based on 10 samples.</w:t>
      </w:r>
    </w:p>
    <w:p w14:paraId="1A4E56E2" w14:textId="00976655" w:rsidR="00452B16" w:rsidRPr="00452B16" w:rsidRDefault="00452B16" w:rsidP="00452B16">
      <w:pPr>
        <w:spacing w:before="240"/>
        <w:jc w:val="both"/>
        <w:rPr>
          <w:b/>
          <w:bCs/>
        </w:rPr>
      </w:pPr>
      <w:r w:rsidRPr="00452B16">
        <w:rPr>
          <w:b/>
          <w:bCs/>
        </w:rPr>
        <w:t>Ambiguous base-content</w:t>
      </w:r>
      <w:r>
        <w:rPr>
          <w:b/>
          <w:bCs/>
        </w:rPr>
        <w:t xml:space="preserve">: </w:t>
      </w:r>
      <w:r w:rsidRPr="00452B16">
        <w:t>Summarizes the distribution of N-contents. The N-content of a sequence is calculated as the number of ambiguous bases compared to all bases. x: p% - r%: percentage range y: the number of sequences featuring particular N-percentages normalized to the total number of sequences The box plot is based on 10 samples.</w:t>
      </w:r>
    </w:p>
    <w:p w14:paraId="0D3C9F4D" w14:textId="076D94C8" w:rsidR="00452B16" w:rsidRPr="00452B16" w:rsidRDefault="00452B16" w:rsidP="00452B16">
      <w:pPr>
        <w:spacing w:before="240"/>
        <w:jc w:val="both"/>
        <w:rPr>
          <w:b/>
          <w:bCs/>
        </w:rPr>
      </w:pPr>
      <w:r w:rsidRPr="00452B16">
        <w:rPr>
          <w:b/>
          <w:bCs/>
        </w:rPr>
        <w:t>Quality distribution</w:t>
      </w:r>
      <w:r>
        <w:rPr>
          <w:b/>
          <w:bCs/>
        </w:rPr>
        <w:t xml:space="preserve">: </w:t>
      </w:r>
      <w:r w:rsidRPr="00452B16">
        <w:t>Summarizes the distribution of average sequence quality scores. The quality of a sequence is calculated as the arithmetic mean of its base qualities. x - y: PHRED range y: the number of sequences observed at that qual. score normalized to the total number of sequences The box plot is based on 10 samples.</w:t>
      </w:r>
    </w:p>
    <w:p w14:paraId="537A4780" w14:textId="4767112D" w:rsidR="00452B16" w:rsidRPr="00452B16" w:rsidRDefault="00452B16" w:rsidP="00452B16">
      <w:pPr>
        <w:spacing w:before="240"/>
        <w:jc w:val="both"/>
        <w:rPr>
          <w:b/>
          <w:bCs/>
        </w:rPr>
      </w:pPr>
      <w:r w:rsidRPr="00452B16">
        <w:rPr>
          <w:b/>
          <w:bCs/>
        </w:rPr>
        <w:t>GC-content</w:t>
      </w:r>
      <w:r>
        <w:rPr>
          <w:b/>
          <w:bCs/>
        </w:rPr>
        <w:t xml:space="preserve">: </w:t>
      </w:r>
      <w:r w:rsidRPr="00452B16">
        <w:t>Summarizes the distribution of GC-contents. The GC-content of a sequence is calculated as the number of GC-bases compared to all bases (including ambiguous bases). x: p% - r%: percentage range y: the number of sequences featuring the particular GC-percentage range normalized to the total number of sequences The box plot is based on 10 samples.</w:t>
      </w:r>
    </w:p>
    <w:p w14:paraId="4985BE0E" w14:textId="31D81517" w:rsidR="00597D4D" w:rsidRPr="00E03636" w:rsidRDefault="00597D4D" w:rsidP="00E03636">
      <w:pPr>
        <w:spacing w:before="0" w:after="200" w:line="276" w:lineRule="auto"/>
        <w:rPr>
          <w:b/>
          <w:bCs/>
        </w:rPr>
      </w:pPr>
    </w:p>
    <w:sectPr w:rsidR="00597D4D" w:rsidRPr="00E03636" w:rsidSect="0093429D">
      <w:headerReference w:type="even" r:id="rId21"/>
      <w:footerReference w:type="even" r:id="rId22"/>
      <w:footerReference w:type="default" r:id="rId23"/>
      <w:headerReference w:type="first" r:id="rId2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2233C" w14:textId="77777777" w:rsidR="00511DB4" w:rsidRDefault="00511DB4" w:rsidP="00117666">
      <w:pPr>
        <w:spacing w:after="0"/>
      </w:pPr>
      <w:r>
        <w:separator/>
      </w:r>
    </w:p>
  </w:endnote>
  <w:endnote w:type="continuationSeparator" w:id="0">
    <w:p w14:paraId="3BFF2C05" w14:textId="77777777" w:rsidR="00511DB4" w:rsidRDefault="00511DB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D4483" w14:textId="77777777" w:rsidR="00511DB4" w:rsidRDefault="00511DB4" w:rsidP="00117666">
      <w:pPr>
        <w:spacing w:after="0"/>
      </w:pPr>
      <w:r>
        <w:separator/>
      </w:r>
    </w:p>
  </w:footnote>
  <w:footnote w:type="continuationSeparator" w:id="0">
    <w:p w14:paraId="6936988E" w14:textId="77777777" w:rsidR="00511DB4" w:rsidRDefault="00511DB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3557F"/>
    <w:rsid w:val="00046306"/>
    <w:rsid w:val="00052A14"/>
    <w:rsid w:val="00074399"/>
    <w:rsid w:val="00077D53"/>
    <w:rsid w:val="000B055F"/>
    <w:rsid w:val="00105FD9"/>
    <w:rsid w:val="00117666"/>
    <w:rsid w:val="001439BA"/>
    <w:rsid w:val="001549D3"/>
    <w:rsid w:val="00160065"/>
    <w:rsid w:val="00177D84"/>
    <w:rsid w:val="002411F1"/>
    <w:rsid w:val="00267D18"/>
    <w:rsid w:val="00274347"/>
    <w:rsid w:val="002868E2"/>
    <w:rsid w:val="002869C3"/>
    <w:rsid w:val="002936E4"/>
    <w:rsid w:val="002B4A57"/>
    <w:rsid w:val="002C74CA"/>
    <w:rsid w:val="00301173"/>
    <w:rsid w:val="003123F4"/>
    <w:rsid w:val="003530E3"/>
    <w:rsid w:val="003544FB"/>
    <w:rsid w:val="003A1E86"/>
    <w:rsid w:val="003A3136"/>
    <w:rsid w:val="003D2F2D"/>
    <w:rsid w:val="00401590"/>
    <w:rsid w:val="00447801"/>
    <w:rsid w:val="00452B16"/>
    <w:rsid w:val="00452E9C"/>
    <w:rsid w:val="004735C8"/>
    <w:rsid w:val="004947A6"/>
    <w:rsid w:val="004961FF"/>
    <w:rsid w:val="004D3864"/>
    <w:rsid w:val="00511DB4"/>
    <w:rsid w:val="00517A89"/>
    <w:rsid w:val="005209A3"/>
    <w:rsid w:val="005250F2"/>
    <w:rsid w:val="00593EEA"/>
    <w:rsid w:val="00597D4D"/>
    <w:rsid w:val="005A5EEE"/>
    <w:rsid w:val="00610C98"/>
    <w:rsid w:val="006375C7"/>
    <w:rsid w:val="00654E8F"/>
    <w:rsid w:val="00660D05"/>
    <w:rsid w:val="006642D5"/>
    <w:rsid w:val="006820B1"/>
    <w:rsid w:val="00697270"/>
    <w:rsid w:val="006A740D"/>
    <w:rsid w:val="006B7D14"/>
    <w:rsid w:val="006C37D5"/>
    <w:rsid w:val="006F5D07"/>
    <w:rsid w:val="00701727"/>
    <w:rsid w:val="0070566C"/>
    <w:rsid w:val="00714C50"/>
    <w:rsid w:val="00725A7D"/>
    <w:rsid w:val="0072630B"/>
    <w:rsid w:val="007501BE"/>
    <w:rsid w:val="00790BB3"/>
    <w:rsid w:val="007C206C"/>
    <w:rsid w:val="00817DD6"/>
    <w:rsid w:val="0083759F"/>
    <w:rsid w:val="00885156"/>
    <w:rsid w:val="008F2D94"/>
    <w:rsid w:val="009151AA"/>
    <w:rsid w:val="0093429D"/>
    <w:rsid w:val="00943573"/>
    <w:rsid w:val="00964134"/>
    <w:rsid w:val="00970F7D"/>
    <w:rsid w:val="00994A3D"/>
    <w:rsid w:val="009A2308"/>
    <w:rsid w:val="009C2B12"/>
    <w:rsid w:val="009F61A1"/>
    <w:rsid w:val="00A174D9"/>
    <w:rsid w:val="00AA4D24"/>
    <w:rsid w:val="00AB6715"/>
    <w:rsid w:val="00AF1F0E"/>
    <w:rsid w:val="00B1671E"/>
    <w:rsid w:val="00B25EB8"/>
    <w:rsid w:val="00B37F4D"/>
    <w:rsid w:val="00B548A0"/>
    <w:rsid w:val="00BD4FE0"/>
    <w:rsid w:val="00C455D3"/>
    <w:rsid w:val="00C52A7B"/>
    <w:rsid w:val="00C56BAF"/>
    <w:rsid w:val="00C679AA"/>
    <w:rsid w:val="00C75972"/>
    <w:rsid w:val="00CD066B"/>
    <w:rsid w:val="00CE4FEE"/>
    <w:rsid w:val="00D060CF"/>
    <w:rsid w:val="00D76594"/>
    <w:rsid w:val="00DB59C3"/>
    <w:rsid w:val="00DC259A"/>
    <w:rsid w:val="00DE23E8"/>
    <w:rsid w:val="00E03636"/>
    <w:rsid w:val="00E30555"/>
    <w:rsid w:val="00E52377"/>
    <w:rsid w:val="00E537AD"/>
    <w:rsid w:val="00E60D6C"/>
    <w:rsid w:val="00E64E17"/>
    <w:rsid w:val="00E74A71"/>
    <w:rsid w:val="00E866C9"/>
    <w:rsid w:val="00EA3D3C"/>
    <w:rsid w:val="00EA64D0"/>
    <w:rsid w:val="00EC090A"/>
    <w:rsid w:val="00ED20B5"/>
    <w:rsid w:val="00F46900"/>
    <w:rsid w:val="00F61D89"/>
    <w:rsid w:val="40074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72b77d34cc46e0ec/Katetriz&#257;cijas%20publik&#257;cija/Katetriz&#257;cijas_paraugs/qPCR%20results%20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72b77d34cc46e0ec/Katetriz&#257;cijas%20publik&#257;cija/Katetriz&#257;cijas_paraugs/qPCR%20results%20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72b77d34cc46e0ec/Katetriz&#257;cijas%20publik&#257;cija/Katetriz&#257;cijas_paraugs/qPCR%20results%20summa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72b77d34cc46e0ec/Katetriz&#257;cijas%20publik&#257;cija/Katetriz&#257;cijas_paraugs/qPCR%20results%20summar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72b77d34cc46e0ec/Katetriz&#257;cijas%20publik&#257;cija/Katetriz&#257;cijas_paraugs/qPCR%20results%20summary.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lv-LV"/>
              <a:t>UniSp 100 / UniSp101</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UniSp100</c:v>
          </c:tx>
          <c:spPr>
            <a:solidFill>
              <a:schemeClr val="tx1"/>
            </a:solidFill>
            <a:ln>
              <a:noFill/>
            </a:ln>
            <a:effectLst/>
          </c:spPr>
          <c:invertIfNegative val="0"/>
          <c:cat>
            <c:strRef>
              <c:f>Sheet1!$A$3:$A$12</c:f>
              <c:strCache>
                <c:ptCount val="10"/>
                <c:pt idx="0">
                  <c:v>BIPSS-0-DX</c:v>
                </c:pt>
                <c:pt idx="1">
                  <c:v>BIPSS-0-SIN</c:v>
                </c:pt>
                <c:pt idx="2">
                  <c:v>BIPSS-5-DX</c:v>
                </c:pt>
                <c:pt idx="3">
                  <c:v>BIPSS-5-SIN</c:v>
                </c:pt>
                <c:pt idx="4">
                  <c:v>BIPSS-15-DX</c:v>
                </c:pt>
                <c:pt idx="5">
                  <c:v>BIPSS-15-SIN</c:v>
                </c:pt>
                <c:pt idx="6">
                  <c:v>PVB-24 hrs. Before BIPSS</c:v>
                </c:pt>
                <c:pt idx="7">
                  <c:v>PVB-24 hrs. After BIPSS</c:v>
                </c:pt>
                <c:pt idx="8">
                  <c:v>PVB-before surgery</c:v>
                </c:pt>
                <c:pt idx="9">
                  <c:v>PVB-24 hrs. after surgery</c:v>
                </c:pt>
              </c:strCache>
            </c:strRef>
          </c:cat>
          <c:val>
            <c:numRef>
              <c:f>Sheet1!$C$3:$C$12</c:f>
              <c:numCache>
                <c:formatCode>0.00</c:formatCode>
                <c:ptCount val="10"/>
                <c:pt idx="0">
                  <c:v>30.368856430053711</c:v>
                </c:pt>
                <c:pt idx="1">
                  <c:v>30.347511291503906</c:v>
                </c:pt>
                <c:pt idx="2">
                  <c:v>31.124629974365234</c:v>
                </c:pt>
                <c:pt idx="3">
                  <c:v>32.079185485839844</c:v>
                </c:pt>
                <c:pt idx="4">
                  <c:v>31.016094207763672</c:v>
                </c:pt>
                <c:pt idx="5">
                  <c:v>29.3707275390625</c:v>
                </c:pt>
                <c:pt idx="6">
                  <c:v>28.536815643310547</c:v>
                </c:pt>
                <c:pt idx="7">
                  <c:v>28.563739776611328</c:v>
                </c:pt>
                <c:pt idx="8">
                  <c:v>28.772174835205078</c:v>
                </c:pt>
                <c:pt idx="9">
                  <c:v>28.632707595825099</c:v>
                </c:pt>
              </c:numCache>
            </c:numRef>
          </c:val>
          <c:extLst>
            <c:ext xmlns:c16="http://schemas.microsoft.com/office/drawing/2014/chart" uri="{C3380CC4-5D6E-409C-BE32-E72D297353CC}">
              <c16:uniqueId val="{00000000-9E34-4FA1-9D89-EDA9A998F248}"/>
            </c:ext>
          </c:extLst>
        </c:ser>
        <c:ser>
          <c:idx val="1"/>
          <c:order val="1"/>
          <c:tx>
            <c:v>UniSp101</c:v>
          </c:tx>
          <c:spPr>
            <a:solidFill>
              <a:schemeClr val="bg1">
                <a:lumMod val="75000"/>
              </a:schemeClr>
            </a:solidFill>
            <a:ln w="3175">
              <a:solidFill>
                <a:schemeClr val="tx1"/>
              </a:solidFill>
            </a:ln>
            <a:effectLst/>
          </c:spPr>
          <c:invertIfNegative val="0"/>
          <c:cat>
            <c:strRef>
              <c:f>Sheet1!$A$3:$A$12</c:f>
              <c:strCache>
                <c:ptCount val="10"/>
                <c:pt idx="0">
                  <c:v>BIPSS-0-DX</c:v>
                </c:pt>
                <c:pt idx="1">
                  <c:v>BIPSS-0-SIN</c:v>
                </c:pt>
                <c:pt idx="2">
                  <c:v>BIPSS-5-DX</c:v>
                </c:pt>
                <c:pt idx="3">
                  <c:v>BIPSS-5-SIN</c:v>
                </c:pt>
                <c:pt idx="4">
                  <c:v>BIPSS-15-DX</c:v>
                </c:pt>
                <c:pt idx="5">
                  <c:v>BIPSS-15-SIN</c:v>
                </c:pt>
                <c:pt idx="6">
                  <c:v>PVB-24 hrs. Before BIPSS</c:v>
                </c:pt>
                <c:pt idx="7">
                  <c:v>PVB-24 hrs. After BIPSS</c:v>
                </c:pt>
                <c:pt idx="8">
                  <c:v>PVB-before surgery</c:v>
                </c:pt>
                <c:pt idx="9">
                  <c:v>PVB-24 hrs. after surgery</c:v>
                </c:pt>
              </c:strCache>
            </c:strRef>
          </c:cat>
          <c:val>
            <c:numRef>
              <c:f>Sheet1!$D$3:$D$12</c:f>
              <c:numCache>
                <c:formatCode>0.00</c:formatCode>
                <c:ptCount val="10"/>
                <c:pt idx="0">
                  <c:v>27.155130386352539</c:v>
                </c:pt>
                <c:pt idx="1">
                  <c:v>27.354621887207031</c:v>
                </c:pt>
                <c:pt idx="2">
                  <c:v>27.940528869628906</c:v>
                </c:pt>
                <c:pt idx="3">
                  <c:v>28.692611694335938</c:v>
                </c:pt>
                <c:pt idx="4">
                  <c:v>27.809785842895508</c:v>
                </c:pt>
                <c:pt idx="5">
                  <c:v>26.068843841552734</c:v>
                </c:pt>
                <c:pt idx="6">
                  <c:v>24.817821502685547</c:v>
                </c:pt>
                <c:pt idx="7">
                  <c:v>25.047592163085938</c:v>
                </c:pt>
                <c:pt idx="8">
                  <c:v>25.180702209472656</c:v>
                </c:pt>
                <c:pt idx="9">
                  <c:v>24.834901809692383</c:v>
                </c:pt>
              </c:numCache>
            </c:numRef>
          </c:val>
          <c:extLst>
            <c:ext xmlns:c16="http://schemas.microsoft.com/office/drawing/2014/chart" uri="{C3380CC4-5D6E-409C-BE32-E72D297353CC}">
              <c16:uniqueId val="{00000001-9E34-4FA1-9D89-EDA9A998F248}"/>
            </c:ext>
          </c:extLst>
        </c:ser>
        <c:dLbls>
          <c:showLegendKey val="0"/>
          <c:showVal val="0"/>
          <c:showCatName val="0"/>
          <c:showSerName val="0"/>
          <c:showPercent val="0"/>
          <c:showBubbleSize val="0"/>
        </c:dLbls>
        <c:gapWidth val="219"/>
        <c:overlap val="-27"/>
        <c:axId val="921100607"/>
        <c:axId val="1112542287"/>
      </c:barChart>
      <c:catAx>
        <c:axId val="921100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12542287"/>
        <c:crosses val="autoZero"/>
        <c:auto val="1"/>
        <c:lblAlgn val="ctr"/>
        <c:lblOffset val="100"/>
        <c:noMultiLvlLbl val="0"/>
      </c:catAx>
      <c:valAx>
        <c:axId val="11125422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lv-LV"/>
                  <a:t>cT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21100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lv-LV"/>
              <a:t>dcT UniSp100/UniSp101</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tx1"/>
            </a:solidFill>
            <a:ln>
              <a:noFill/>
            </a:ln>
            <a:effectLst/>
          </c:spPr>
          <c:invertIfNegative val="0"/>
          <c:cat>
            <c:strRef>
              <c:f>Sheet1!$A$3:$A$12</c:f>
              <c:strCache>
                <c:ptCount val="10"/>
                <c:pt idx="0">
                  <c:v>BIPSS-0-DX</c:v>
                </c:pt>
                <c:pt idx="1">
                  <c:v>BIPSS-0-SIN</c:v>
                </c:pt>
                <c:pt idx="2">
                  <c:v>BIPSS-5-DX</c:v>
                </c:pt>
                <c:pt idx="3">
                  <c:v>BIPSS-5-SIN</c:v>
                </c:pt>
                <c:pt idx="4">
                  <c:v>BIPSS-15-DX</c:v>
                </c:pt>
                <c:pt idx="5">
                  <c:v>BIPSS-15-SIN</c:v>
                </c:pt>
                <c:pt idx="6">
                  <c:v>PVB-24 hrs. Before BIPSS</c:v>
                </c:pt>
                <c:pt idx="7">
                  <c:v>PVB-24 hrs. After BIPSS</c:v>
                </c:pt>
                <c:pt idx="8">
                  <c:v>PVB-before surgery</c:v>
                </c:pt>
                <c:pt idx="9">
                  <c:v>PVB-24 hrs. after surgery</c:v>
                </c:pt>
              </c:strCache>
            </c:strRef>
          </c:cat>
          <c:val>
            <c:numRef>
              <c:f>Sheet1!$E$3:$E$12</c:f>
              <c:numCache>
                <c:formatCode>0.00</c:formatCode>
                <c:ptCount val="10"/>
                <c:pt idx="0">
                  <c:v>3.2137260437011719</c:v>
                </c:pt>
                <c:pt idx="1">
                  <c:v>2.992889404296875</c:v>
                </c:pt>
                <c:pt idx="2">
                  <c:v>3.1841011047363281</c:v>
                </c:pt>
                <c:pt idx="3">
                  <c:v>3.3865737915039063</c:v>
                </c:pt>
                <c:pt idx="4">
                  <c:v>3.2063083648681641</c:v>
                </c:pt>
                <c:pt idx="5">
                  <c:v>3.3018836975097656</c:v>
                </c:pt>
                <c:pt idx="6">
                  <c:v>3.718994140625</c:v>
                </c:pt>
                <c:pt idx="7">
                  <c:v>3.5161476135253906</c:v>
                </c:pt>
                <c:pt idx="8">
                  <c:v>3.5914726257324219</c:v>
                </c:pt>
                <c:pt idx="9">
                  <c:v>3.7978057861327166</c:v>
                </c:pt>
              </c:numCache>
            </c:numRef>
          </c:val>
          <c:extLst>
            <c:ext xmlns:c16="http://schemas.microsoft.com/office/drawing/2014/chart" uri="{C3380CC4-5D6E-409C-BE32-E72D297353CC}">
              <c16:uniqueId val="{00000000-26BE-4816-B76F-B4CF481CC07A}"/>
            </c:ext>
          </c:extLst>
        </c:ser>
        <c:dLbls>
          <c:showLegendKey val="0"/>
          <c:showVal val="0"/>
          <c:showCatName val="0"/>
          <c:showSerName val="0"/>
          <c:showPercent val="0"/>
          <c:showBubbleSize val="0"/>
        </c:dLbls>
        <c:gapWidth val="219"/>
        <c:overlap val="-27"/>
        <c:axId val="1111824687"/>
        <c:axId val="1112537711"/>
      </c:barChart>
      <c:catAx>
        <c:axId val="111182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12537711"/>
        <c:crosses val="autoZero"/>
        <c:auto val="1"/>
        <c:lblAlgn val="ctr"/>
        <c:lblOffset val="100"/>
        <c:noMultiLvlLbl val="0"/>
      </c:catAx>
      <c:valAx>
        <c:axId val="11125377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lv-LV"/>
                  <a:t>dcT (UniSp100 - UniSp101)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11824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lv-LV"/>
              <a:t>UniSp6</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Sheet1!$F$3:$F$12</c:f>
              <c:strCache>
                <c:ptCount val="10"/>
                <c:pt idx="0">
                  <c:v>18,48</c:v>
                </c:pt>
                <c:pt idx="1">
                  <c:v>18,32</c:v>
                </c:pt>
                <c:pt idx="2">
                  <c:v>19,94</c:v>
                </c:pt>
                <c:pt idx="3">
                  <c:v>19,97</c:v>
                </c:pt>
                <c:pt idx="4">
                  <c:v>18,40</c:v>
                </c:pt>
                <c:pt idx="5">
                  <c:v>18,22</c:v>
                </c:pt>
                <c:pt idx="6">
                  <c:v>18,09</c:v>
                </c:pt>
                <c:pt idx="7">
                  <c:v>18,21</c:v>
                </c:pt>
                <c:pt idx="8">
                  <c:v>19,84</c:v>
                </c:pt>
                <c:pt idx="9">
                  <c:v>18,21</c:v>
                </c:pt>
              </c:strCache>
            </c:strRef>
          </c:tx>
          <c:spPr>
            <a:solidFill>
              <a:schemeClr val="tx1"/>
            </a:solidFill>
            <a:ln>
              <a:noFill/>
            </a:ln>
            <a:effectLst/>
          </c:spPr>
          <c:invertIfNegative val="0"/>
          <c:cat>
            <c:strRef>
              <c:f>Sheet1!$A$3:$A$12</c:f>
              <c:strCache>
                <c:ptCount val="10"/>
                <c:pt idx="0">
                  <c:v>BIPSS-0-DX</c:v>
                </c:pt>
                <c:pt idx="1">
                  <c:v>BIPSS-0-SIN</c:v>
                </c:pt>
                <c:pt idx="2">
                  <c:v>BIPSS-5-DX</c:v>
                </c:pt>
                <c:pt idx="3">
                  <c:v>BIPSS-5-SIN</c:v>
                </c:pt>
                <c:pt idx="4">
                  <c:v>BIPSS-15-DX</c:v>
                </c:pt>
                <c:pt idx="5">
                  <c:v>BIPSS-15-SIN</c:v>
                </c:pt>
                <c:pt idx="6">
                  <c:v>PVB-24 hrs. Before BIPSS</c:v>
                </c:pt>
                <c:pt idx="7">
                  <c:v>PVB-24 hrs. After BIPSS</c:v>
                </c:pt>
                <c:pt idx="8">
                  <c:v>PVB-before surgery</c:v>
                </c:pt>
                <c:pt idx="9">
                  <c:v>PVB-24 hrs. after surgery</c:v>
                </c:pt>
              </c:strCache>
            </c:strRef>
          </c:cat>
          <c:val>
            <c:numRef>
              <c:f>Sheet1!$F$3:$F$12</c:f>
              <c:numCache>
                <c:formatCode>0.00</c:formatCode>
                <c:ptCount val="10"/>
                <c:pt idx="0">
                  <c:v>18.48051643371582</c:v>
                </c:pt>
                <c:pt idx="1">
                  <c:v>18.315792083740234</c:v>
                </c:pt>
                <c:pt idx="2">
                  <c:v>19.940425872802734</c:v>
                </c:pt>
                <c:pt idx="3">
                  <c:v>19.966489791870117</c:v>
                </c:pt>
                <c:pt idx="4">
                  <c:v>18.400321960449219</c:v>
                </c:pt>
                <c:pt idx="5">
                  <c:v>18.218696594238281</c:v>
                </c:pt>
                <c:pt idx="6">
                  <c:v>18.085323333740234</c:v>
                </c:pt>
                <c:pt idx="7">
                  <c:v>18.211280822753906</c:v>
                </c:pt>
                <c:pt idx="8">
                  <c:v>19.841556549072266</c:v>
                </c:pt>
                <c:pt idx="9">
                  <c:v>18.214906692504883</c:v>
                </c:pt>
              </c:numCache>
            </c:numRef>
          </c:val>
          <c:extLst>
            <c:ext xmlns:c16="http://schemas.microsoft.com/office/drawing/2014/chart" uri="{C3380CC4-5D6E-409C-BE32-E72D297353CC}">
              <c16:uniqueId val="{00000000-6919-4335-ACA7-ED590CE6C900}"/>
            </c:ext>
          </c:extLst>
        </c:ser>
        <c:dLbls>
          <c:showLegendKey val="0"/>
          <c:showVal val="0"/>
          <c:showCatName val="0"/>
          <c:showSerName val="0"/>
          <c:showPercent val="0"/>
          <c:showBubbleSize val="0"/>
        </c:dLbls>
        <c:gapWidth val="219"/>
        <c:overlap val="-27"/>
        <c:axId val="973534399"/>
        <c:axId val="1112556431"/>
      </c:barChart>
      <c:catAx>
        <c:axId val="973534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12556431"/>
        <c:crosses val="autoZero"/>
        <c:auto val="1"/>
        <c:lblAlgn val="ctr"/>
        <c:lblOffset val="100"/>
        <c:noMultiLvlLbl val="0"/>
      </c:catAx>
      <c:valAx>
        <c:axId val="1112556431"/>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lv-LV"/>
                  <a:t>cT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73534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lv-LV"/>
              <a:t>Haemolsysis assessment</a:t>
            </a:r>
          </a:p>
        </c:rich>
      </c:tx>
      <c:layout>
        <c:manualLayout>
          <c:xMode val="edge"/>
          <c:yMode val="edge"/>
          <c:x val="0.32348917459422477"/>
          <c:y val="2.77200277200277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Sheet1!$A$3:$A$12</c:f>
              <c:strCache>
                <c:ptCount val="10"/>
                <c:pt idx="0">
                  <c:v>BIPSS-0-DX</c:v>
                </c:pt>
                <c:pt idx="1">
                  <c:v>BIPSS-0-SIN</c:v>
                </c:pt>
                <c:pt idx="2">
                  <c:v>BIPSS-5-DX</c:v>
                </c:pt>
                <c:pt idx="3">
                  <c:v>BIPSS-5-SIN</c:v>
                </c:pt>
                <c:pt idx="4">
                  <c:v>BIPSS-15-DX</c:v>
                </c:pt>
                <c:pt idx="5">
                  <c:v>BIPSS-15-SIN</c:v>
                </c:pt>
                <c:pt idx="6">
                  <c:v>PVB-24 hrs. Before BIPSS</c:v>
                </c:pt>
                <c:pt idx="7">
                  <c:v>PVB-24 hrs. After BIPSS</c:v>
                </c:pt>
                <c:pt idx="8">
                  <c:v>PVB-before surgery</c:v>
                </c:pt>
                <c:pt idx="9">
                  <c:v>PVB-24 hrs. after surgery</c:v>
                </c:pt>
              </c:strCache>
            </c:strRef>
          </c:cat>
          <c:val>
            <c:numRef>
              <c:f>Sheet1!$B$3:$B$12</c:f>
              <c:numCache>
                <c:formatCode>0.00</c:formatCode>
                <c:ptCount val="10"/>
                <c:pt idx="0">
                  <c:v>6.0592918395996094</c:v>
                </c:pt>
                <c:pt idx="1">
                  <c:v>5.1497478485107422</c:v>
                </c:pt>
                <c:pt idx="2">
                  <c:v>1.7901554107666016</c:v>
                </c:pt>
                <c:pt idx="3">
                  <c:v>3.3344879150390625</c:v>
                </c:pt>
                <c:pt idx="4">
                  <c:v>3.1621875762939453</c:v>
                </c:pt>
                <c:pt idx="5">
                  <c:v>3.2358551025390625</c:v>
                </c:pt>
                <c:pt idx="6">
                  <c:v>3.8330421447753906</c:v>
                </c:pt>
                <c:pt idx="7">
                  <c:v>3.7484893798828125</c:v>
                </c:pt>
                <c:pt idx="8">
                  <c:v>2.7256355285644531</c:v>
                </c:pt>
                <c:pt idx="9">
                  <c:v>2.8881435394287109</c:v>
                </c:pt>
              </c:numCache>
            </c:numRef>
          </c:val>
          <c:extLst>
            <c:ext xmlns:c16="http://schemas.microsoft.com/office/drawing/2014/chart" uri="{C3380CC4-5D6E-409C-BE32-E72D297353CC}">
              <c16:uniqueId val="{00000000-B8BA-45DD-8696-463F7224DAAA}"/>
            </c:ext>
          </c:extLst>
        </c:ser>
        <c:dLbls>
          <c:showLegendKey val="0"/>
          <c:showVal val="0"/>
          <c:showCatName val="0"/>
          <c:showSerName val="0"/>
          <c:showPercent val="0"/>
          <c:showBubbleSize val="0"/>
        </c:dLbls>
        <c:gapWidth val="219"/>
        <c:overlap val="-27"/>
        <c:axId val="871783855"/>
        <c:axId val="923504591"/>
      </c:barChart>
      <c:catAx>
        <c:axId val="871783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23504591"/>
        <c:crosses val="autoZero"/>
        <c:auto val="1"/>
        <c:lblAlgn val="ctr"/>
        <c:lblOffset val="100"/>
        <c:noMultiLvlLbl val="0"/>
      </c:catAx>
      <c:valAx>
        <c:axId val="923504591"/>
        <c:scaling>
          <c:orientation val="minMax"/>
          <c:max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lv-LV"/>
                  <a:t>dcT (miR23a-3p - miR-451a)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717838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lv-LV"/>
              <a:t>Endogenous miRNA controls assessment</a:t>
            </a:r>
          </a:p>
        </c:rich>
      </c:tx>
      <c:layout>
        <c:manualLayout>
          <c:xMode val="edge"/>
          <c:yMode val="edge"/>
          <c:x val="0.25713055626111253"/>
          <c:y val="2.828282828282828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0587460640320118"/>
          <c:y val="0.1413488985437712"/>
          <c:w val="0.77088186480651888"/>
          <c:h val="0.5032134511749734"/>
        </c:manualLayout>
      </c:layout>
      <c:barChart>
        <c:barDir val="col"/>
        <c:grouping val="clustered"/>
        <c:varyColors val="0"/>
        <c:ser>
          <c:idx val="0"/>
          <c:order val="0"/>
          <c:tx>
            <c:v>miR-103a-3p</c:v>
          </c:tx>
          <c:spPr>
            <a:solidFill>
              <a:schemeClr val="tx1"/>
            </a:solidFill>
            <a:ln>
              <a:noFill/>
            </a:ln>
            <a:effectLst/>
          </c:spPr>
          <c:invertIfNegative val="0"/>
          <c:cat>
            <c:strRef>
              <c:f>Sheet1!$A$3:$A$12</c:f>
              <c:strCache>
                <c:ptCount val="10"/>
                <c:pt idx="0">
                  <c:v>BIPSS-0-DX</c:v>
                </c:pt>
                <c:pt idx="1">
                  <c:v>BIPSS-0-SIN</c:v>
                </c:pt>
                <c:pt idx="2">
                  <c:v>BIPSS-5-DX</c:v>
                </c:pt>
                <c:pt idx="3">
                  <c:v>BIPSS-5-SIN</c:v>
                </c:pt>
                <c:pt idx="4">
                  <c:v>BIPSS-15-DX</c:v>
                </c:pt>
                <c:pt idx="5">
                  <c:v>BIPSS-15-SIN</c:v>
                </c:pt>
                <c:pt idx="6">
                  <c:v>PVB-24 hrs. Before BIPSS</c:v>
                </c:pt>
                <c:pt idx="7">
                  <c:v>PVB-24 hrs. After BIPSS</c:v>
                </c:pt>
                <c:pt idx="8">
                  <c:v>PVB-before surgery</c:v>
                </c:pt>
                <c:pt idx="9">
                  <c:v>PVB-24 hrs. after surgery</c:v>
                </c:pt>
              </c:strCache>
            </c:strRef>
          </c:cat>
          <c:val>
            <c:numRef>
              <c:f>Sheet1!$G$3:$G$12</c:f>
              <c:numCache>
                <c:formatCode>0.00</c:formatCode>
                <c:ptCount val="10"/>
                <c:pt idx="0">
                  <c:v>34.878082275390625</c:v>
                </c:pt>
                <c:pt idx="1">
                  <c:v>31.286724090576172</c:v>
                </c:pt>
                <c:pt idx="2">
                  <c:v>33.639907836914063</c:v>
                </c:pt>
                <c:pt idx="3">
                  <c:v>36.204723358154297</c:v>
                </c:pt>
                <c:pt idx="4">
                  <c:v>34.990642547607422</c:v>
                </c:pt>
                <c:pt idx="5">
                  <c:v>28.502925872802734</c:v>
                </c:pt>
                <c:pt idx="6">
                  <c:v>25.51947021484375</c:v>
                </c:pt>
                <c:pt idx="7">
                  <c:v>25.731330871582031</c:v>
                </c:pt>
                <c:pt idx="8">
                  <c:v>24.541898727416992</c:v>
                </c:pt>
                <c:pt idx="9">
                  <c:v>24.557735443115234</c:v>
                </c:pt>
              </c:numCache>
            </c:numRef>
          </c:val>
          <c:extLst>
            <c:ext xmlns:c16="http://schemas.microsoft.com/office/drawing/2014/chart" uri="{C3380CC4-5D6E-409C-BE32-E72D297353CC}">
              <c16:uniqueId val="{00000000-1101-442E-AE68-1C3193F1FDAF}"/>
            </c:ext>
          </c:extLst>
        </c:ser>
        <c:ser>
          <c:idx val="1"/>
          <c:order val="1"/>
          <c:tx>
            <c:v>miR-191-5p</c:v>
          </c:tx>
          <c:spPr>
            <a:solidFill>
              <a:schemeClr val="bg1">
                <a:lumMod val="75000"/>
              </a:schemeClr>
            </a:solidFill>
            <a:ln w="3175">
              <a:solidFill>
                <a:schemeClr val="tx1"/>
              </a:solidFill>
            </a:ln>
            <a:effectLst/>
          </c:spPr>
          <c:invertIfNegative val="0"/>
          <c:cat>
            <c:strRef>
              <c:f>Sheet1!$A$3:$A$12</c:f>
              <c:strCache>
                <c:ptCount val="10"/>
                <c:pt idx="0">
                  <c:v>BIPSS-0-DX</c:v>
                </c:pt>
                <c:pt idx="1">
                  <c:v>BIPSS-0-SIN</c:v>
                </c:pt>
                <c:pt idx="2">
                  <c:v>BIPSS-5-DX</c:v>
                </c:pt>
                <c:pt idx="3">
                  <c:v>BIPSS-5-SIN</c:v>
                </c:pt>
                <c:pt idx="4">
                  <c:v>BIPSS-15-DX</c:v>
                </c:pt>
                <c:pt idx="5">
                  <c:v>BIPSS-15-SIN</c:v>
                </c:pt>
                <c:pt idx="6">
                  <c:v>PVB-24 hrs. Before BIPSS</c:v>
                </c:pt>
                <c:pt idx="7">
                  <c:v>PVB-24 hrs. After BIPSS</c:v>
                </c:pt>
                <c:pt idx="8">
                  <c:v>PVB-before surgery</c:v>
                </c:pt>
                <c:pt idx="9">
                  <c:v>PVB-24 hrs. after surgery</c:v>
                </c:pt>
              </c:strCache>
            </c:strRef>
          </c:cat>
          <c:val>
            <c:numRef>
              <c:f>Sheet1!$H$3:$H$12</c:f>
              <c:numCache>
                <c:formatCode>0.00</c:formatCode>
                <c:ptCount val="10"/>
                <c:pt idx="0">
                  <c:v>31.552829742431641</c:v>
                </c:pt>
                <c:pt idx="1">
                  <c:v>30.442234039306641</c:v>
                </c:pt>
                <c:pt idx="2">
                  <c:v>29.645038604736328</c:v>
                </c:pt>
                <c:pt idx="3">
                  <c:v>31.310518264770508</c:v>
                </c:pt>
                <c:pt idx="4">
                  <c:v>30.428230285644531</c:v>
                </c:pt>
                <c:pt idx="5">
                  <c:v>28.092208862304688</c:v>
                </c:pt>
                <c:pt idx="6">
                  <c:v>25.982337951660156</c:v>
                </c:pt>
                <c:pt idx="7">
                  <c:v>26.052509307861328</c:v>
                </c:pt>
                <c:pt idx="8">
                  <c:v>24.891817092895508</c:v>
                </c:pt>
                <c:pt idx="9">
                  <c:v>24.899185180664063</c:v>
                </c:pt>
              </c:numCache>
            </c:numRef>
          </c:val>
          <c:extLst>
            <c:ext xmlns:c16="http://schemas.microsoft.com/office/drawing/2014/chart" uri="{C3380CC4-5D6E-409C-BE32-E72D297353CC}">
              <c16:uniqueId val="{00000001-1101-442E-AE68-1C3193F1FDAF}"/>
            </c:ext>
          </c:extLst>
        </c:ser>
        <c:ser>
          <c:idx val="2"/>
          <c:order val="2"/>
          <c:tx>
            <c:v>miR-30c-5p</c:v>
          </c:tx>
          <c:spPr>
            <a:pattFill prst="wdUpDiag">
              <a:fgClr>
                <a:schemeClr val="tx1"/>
              </a:fgClr>
              <a:bgClr>
                <a:schemeClr val="bg1"/>
              </a:bgClr>
            </a:pattFill>
            <a:ln w="3175">
              <a:solidFill>
                <a:schemeClr val="tx1"/>
              </a:solidFill>
            </a:ln>
            <a:effectLst/>
          </c:spPr>
          <c:invertIfNegative val="0"/>
          <c:cat>
            <c:strRef>
              <c:f>Sheet1!$A$3:$A$12</c:f>
              <c:strCache>
                <c:ptCount val="10"/>
                <c:pt idx="0">
                  <c:v>BIPSS-0-DX</c:v>
                </c:pt>
                <c:pt idx="1">
                  <c:v>BIPSS-0-SIN</c:v>
                </c:pt>
                <c:pt idx="2">
                  <c:v>BIPSS-5-DX</c:v>
                </c:pt>
                <c:pt idx="3">
                  <c:v>BIPSS-5-SIN</c:v>
                </c:pt>
                <c:pt idx="4">
                  <c:v>BIPSS-15-DX</c:v>
                </c:pt>
                <c:pt idx="5">
                  <c:v>BIPSS-15-SIN</c:v>
                </c:pt>
                <c:pt idx="6">
                  <c:v>PVB-24 hrs. Before BIPSS</c:v>
                </c:pt>
                <c:pt idx="7">
                  <c:v>PVB-24 hrs. After BIPSS</c:v>
                </c:pt>
                <c:pt idx="8">
                  <c:v>PVB-before surgery</c:v>
                </c:pt>
                <c:pt idx="9">
                  <c:v>PVB-24 hrs. after surgery</c:v>
                </c:pt>
              </c:strCache>
            </c:strRef>
          </c:cat>
          <c:val>
            <c:numRef>
              <c:f>Sheet1!$I$3:$I$12</c:f>
              <c:numCache>
                <c:formatCode>0.00</c:formatCode>
                <c:ptCount val="10"/>
                <c:pt idx="0">
                  <c:v>32.260826110839844</c:v>
                </c:pt>
                <c:pt idx="1">
                  <c:v>31.614702224731445</c:v>
                </c:pt>
                <c:pt idx="2">
                  <c:v>32.718040466308594</c:v>
                </c:pt>
                <c:pt idx="3">
                  <c:v>33.539257049560547</c:v>
                </c:pt>
                <c:pt idx="4">
                  <c:v>32.166999816894531</c:v>
                </c:pt>
                <c:pt idx="5">
                  <c:v>29.591800689697266</c:v>
                </c:pt>
                <c:pt idx="6">
                  <c:v>27.099365234375</c:v>
                </c:pt>
                <c:pt idx="7">
                  <c:v>26.293045043945313</c:v>
                </c:pt>
                <c:pt idx="8">
                  <c:v>26.293045043945313</c:v>
                </c:pt>
                <c:pt idx="9">
                  <c:v>26.291233062744141</c:v>
                </c:pt>
              </c:numCache>
            </c:numRef>
          </c:val>
          <c:extLst>
            <c:ext xmlns:c16="http://schemas.microsoft.com/office/drawing/2014/chart" uri="{C3380CC4-5D6E-409C-BE32-E72D297353CC}">
              <c16:uniqueId val="{00000002-1101-442E-AE68-1C3193F1FDAF}"/>
            </c:ext>
          </c:extLst>
        </c:ser>
        <c:dLbls>
          <c:showLegendKey val="0"/>
          <c:showVal val="0"/>
          <c:showCatName val="0"/>
          <c:showSerName val="0"/>
          <c:showPercent val="0"/>
          <c:showBubbleSize val="0"/>
        </c:dLbls>
        <c:gapWidth val="219"/>
        <c:overlap val="-27"/>
        <c:axId val="1126138751"/>
        <c:axId val="1112576815"/>
      </c:barChart>
      <c:catAx>
        <c:axId val="1126138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12576815"/>
        <c:crosses val="autoZero"/>
        <c:auto val="1"/>
        <c:lblAlgn val="ctr"/>
        <c:lblOffset val="100"/>
        <c:noMultiLvlLbl val="0"/>
      </c:catAx>
      <c:valAx>
        <c:axId val="11125768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lv-LV"/>
                  <a:t>cT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26138751"/>
        <c:crosses val="autoZero"/>
        <c:crossBetween val="between"/>
      </c:valAx>
      <c:spPr>
        <a:noFill/>
        <a:ln>
          <a:noFill/>
        </a:ln>
        <a:effectLst/>
      </c:spPr>
    </c:plotArea>
    <c:legend>
      <c:legendPos val="b"/>
      <c:layout>
        <c:manualLayout>
          <c:xMode val="edge"/>
          <c:yMode val="edge"/>
          <c:x val="4.5901639344262293E-2"/>
          <c:y val="0.92315722172555548"/>
          <c:w val="0.9341181532636289"/>
          <c:h val="7.41844927511873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16</TotalTime>
  <Pages>5</Pages>
  <Words>383</Words>
  <Characters>2188</Characters>
  <Application>Microsoft Office Word</Application>
  <DocSecurity>0</DocSecurity>
  <Lines>18</Lines>
  <Paragraphs>5</Paragraphs>
  <ScaleCrop>false</ScaleCrop>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Helvijs Niedra</cp:lastModifiedBy>
  <cp:revision>34</cp:revision>
  <cp:lastPrinted>2013-10-03T12:51:00Z</cp:lastPrinted>
  <dcterms:created xsi:type="dcterms:W3CDTF">2021-02-01T10:54:00Z</dcterms:created>
  <dcterms:modified xsi:type="dcterms:W3CDTF">2022-03-08T11:21:00Z</dcterms:modified>
</cp:coreProperties>
</file>