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D5E46" w14:textId="77777777" w:rsidR="00660E9D" w:rsidRDefault="00660E9D" w:rsidP="00660E9D">
      <w:pPr>
        <w:spacing w:line="360" w:lineRule="auto"/>
        <w:jc w:val="both"/>
        <w:rPr>
          <w:rFonts w:ascii="Arial" w:hAnsi="Arial" w:cs="Arial"/>
          <w:b/>
          <w:szCs w:val="24"/>
        </w:rPr>
      </w:pPr>
      <w:r>
        <w:rPr>
          <w:rFonts w:ascii="Arial" w:hAnsi="Arial" w:cs="Arial"/>
          <w:b/>
          <w:szCs w:val="24"/>
        </w:rPr>
        <w:t>Supplementary Figures</w:t>
      </w:r>
    </w:p>
    <w:p w14:paraId="3772438C" w14:textId="2C85CE5D" w:rsidR="00660E9D" w:rsidRDefault="00F5412D" w:rsidP="00660E9D">
      <w:pPr>
        <w:spacing w:line="360" w:lineRule="auto"/>
        <w:jc w:val="both"/>
        <w:rPr>
          <w:rFonts w:ascii="Arial" w:hAnsi="Arial" w:cs="Arial"/>
          <w:szCs w:val="24"/>
        </w:rPr>
      </w:pPr>
      <w:r>
        <w:rPr>
          <w:rFonts w:ascii="Arial" w:hAnsi="Arial" w:cs="Arial"/>
          <w:b/>
          <w:noProof/>
          <w:szCs w:val="24"/>
        </w:rPr>
        <w:drawing>
          <wp:inline distT="0" distB="0" distL="0" distR="0" wp14:anchorId="59948469" wp14:editId="31A896A6">
            <wp:extent cx="5734050" cy="7600950"/>
            <wp:effectExtent l="0" t="0" r="0" b="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7600950"/>
                    </a:xfrm>
                    <a:prstGeom prst="rect">
                      <a:avLst/>
                    </a:prstGeom>
                    <a:noFill/>
                    <a:ln>
                      <a:noFill/>
                    </a:ln>
                  </pic:spPr>
                </pic:pic>
              </a:graphicData>
            </a:graphic>
          </wp:inline>
        </w:drawing>
      </w:r>
    </w:p>
    <w:p w14:paraId="59FDBB49" w14:textId="2422B15A" w:rsidR="00F5412D" w:rsidRDefault="00F5412D" w:rsidP="00F5412D">
      <w:pPr>
        <w:spacing w:line="360" w:lineRule="auto"/>
        <w:jc w:val="both"/>
        <w:rPr>
          <w:rFonts w:ascii="Arial" w:hAnsi="Arial" w:cs="Arial"/>
          <w:szCs w:val="24"/>
        </w:rPr>
      </w:pPr>
      <w:r>
        <w:rPr>
          <w:rFonts w:ascii="Arial" w:hAnsi="Arial" w:cs="Arial"/>
          <w:b/>
          <w:szCs w:val="24"/>
        </w:rPr>
        <w:lastRenderedPageBreak/>
        <w:t>Supplementary Figure 1. (A)</w:t>
      </w:r>
      <w:r>
        <w:rPr>
          <w:rFonts w:ascii="Arial" w:hAnsi="Arial" w:cs="Arial"/>
          <w:szCs w:val="24"/>
        </w:rPr>
        <w:t xml:space="preserve"> Illustration of human breast coil prototype. Efficacy validation method of the human breast coil prototype used in tissue culture </w:t>
      </w:r>
      <w:r>
        <w:rPr>
          <w:rFonts w:ascii="Arial" w:hAnsi="Arial" w:cs="Arial"/>
          <w:b/>
          <w:szCs w:val="24"/>
        </w:rPr>
        <w:t>(B)</w:t>
      </w:r>
      <w:r>
        <w:rPr>
          <w:rFonts w:ascii="Arial" w:hAnsi="Arial" w:cs="Arial"/>
          <w:szCs w:val="24"/>
        </w:rPr>
        <w:t xml:space="preserve"> and mice </w:t>
      </w:r>
      <w:r>
        <w:rPr>
          <w:rFonts w:ascii="Arial" w:hAnsi="Arial" w:cs="Arial"/>
          <w:b/>
          <w:szCs w:val="24"/>
        </w:rPr>
        <w:t>(C)</w:t>
      </w:r>
      <w:r>
        <w:rPr>
          <w:rFonts w:ascii="Arial" w:hAnsi="Arial" w:cs="Arial"/>
          <w:szCs w:val="24"/>
        </w:rPr>
        <w:t xml:space="preserve"> experiments.</w:t>
      </w:r>
      <w:r>
        <w:rPr>
          <w:rFonts w:ascii="Arial" w:hAnsi="Arial" w:cs="Arial"/>
          <w:b/>
          <w:szCs w:val="24"/>
        </w:rPr>
        <w:t xml:space="preserve"> (D) </w:t>
      </w:r>
      <w:r>
        <w:rPr>
          <w:rFonts w:ascii="Arial" w:hAnsi="Arial" w:cs="Arial"/>
          <w:szCs w:val="24"/>
        </w:rPr>
        <w:t>Photograph of fully assembled breast coil system to be ultimately employed in human clinical trials. The lumen of the PEMF breast coil was roughly based on the dimensions of existing clinical MRI breast scanning coil devices that are designed to accommodate the human female breast.</w:t>
      </w:r>
    </w:p>
    <w:p w14:paraId="244A85DA" w14:textId="77777777" w:rsidR="00F5412D" w:rsidRDefault="00F5412D" w:rsidP="00660E9D">
      <w:pPr>
        <w:spacing w:line="360" w:lineRule="auto"/>
        <w:jc w:val="both"/>
        <w:rPr>
          <w:rFonts w:ascii="Arial" w:hAnsi="Arial" w:cs="Arial"/>
          <w:szCs w:val="24"/>
        </w:rPr>
      </w:pPr>
    </w:p>
    <w:p w14:paraId="59E68D61" w14:textId="779F5AFB" w:rsidR="00660E9D" w:rsidRDefault="00660E9D" w:rsidP="00660E9D">
      <w:pPr>
        <w:spacing w:line="360" w:lineRule="auto"/>
        <w:jc w:val="center"/>
        <w:rPr>
          <w:rFonts w:ascii="Arial" w:hAnsi="Arial" w:cs="Arial"/>
          <w:szCs w:val="24"/>
        </w:rPr>
      </w:pPr>
      <w:r>
        <w:rPr>
          <w:rFonts w:asciiTheme="minorHAnsi" w:hAnsiTheme="minorHAnsi"/>
          <w:noProof/>
          <w:sz w:val="22"/>
        </w:rPr>
        <w:drawing>
          <wp:inline distT="0" distB="0" distL="0" distR="0" wp14:anchorId="1F1FC534" wp14:editId="6A83E36A">
            <wp:extent cx="4679950" cy="5843905"/>
            <wp:effectExtent l="0" t="0" r="6350" b="4445"/>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9950" cy="5843905"/>
                    </a:xfrm>
                    <a:prstGeom prst="rect">
                      <a:avLst/>
                    </a:prstGeom>
                    <a:noFill/>
                  </pic:spPr>
                </pic:pic>
              </a:graphicData>
            </a:graphic>
          </wp:inline>
        </w:drawing>
      </w:r>
    </w:p>
    <w:p w14:paraId="7CCA95EE" w14:textId="5A573539" w:rsidR="00660E9D" w:rsidRDefault="00F5412D" w:rsidP="00660E9D">
      <w:pPr>
        <w:spacing w:line="360" w:lineRule="auto"/>
        <w:jc w:val="both"/>
        <w:rPr>
          <w:rFonts w:ascii="Arial" w:hAnsi="Arial" w:cs="Arial"/>
          <w:szCs w:val="24"/>
        </w:rPr>
      </w:pPr>
      <w:r>
        <w:rPr>
          <w:rFonts w:ascii="Arial" w:hAnsi="Arial" w:cs="Arial"/>
          <w:b/>
          <w:szCs w:val="24"/>
        </w:rPr>
        <w:lastRenderedPageBreak/>
        <w:t>Supplementary Figure 2.</w:t>
      </w:r>
      <w:r w:rsidR="00660E9D">
        <w:rPr>
          <w:rFonts w:ascii="Arial" w:hAnsi="Arial" w:cs="Arial"/>
          <w:b/>
          <w:szCs w:val="24"/>
        </w:rPr>
        <w:t xml:space="preserve"> </w:t>
      </w:r>
      <w:r w:rsidR="0079541B" w:rsidRPr="00522F91">
        <w:rPr>
          <w:rFonts w:ascii="Arial" w:hAnsi="Arial" w:cs="Arial"/>
          <w:b/>
          <w:szCs w:val="24"/>
        </w:rPr>
        <w:t>Chemo</w:t>
      </w:r>
      <w:r w:rsidR="00660E9D" w:rsidRPr="00522F91">
        <w:rPr>
          <w:rFonts w:ascii="Arial" w:hAnsi="Arial" w:cs="Arial"/>
          <w:b/>
          <w:szCs w:val="24"/>
        </w:rPr>
        <w:t xml:space="preserve">-sensitivity of MCF-7 cancer cells to </w:t>
      </w:r>
      <w:r w:rsidR="0071610E" w:rsidRPr="00522F91">
        <w:rPr>
          <w:rFonts w:ascii="Arial" w:hAnsi="Arial" w:cs="Arial"/>
          <w:b/>
          <w:szCs w:val="24"/>
        </w:rPr>
        <w:t>p</w:t>
      </w:r>
      <w:r w:rsidR="00660E9D" w:rsidRPr="00522F91">
        <w:rPr>
          <w:rFonts w:ascii="Arial" w:hAnsi="Arial" w:cs="Arial"/>
          <w:b/>
          <w:szCs w:val="24"/>
        </w:rPr>
        <w:t xml:space="preserve">emetrexed and </w:t>
      </w:r>
      <w:r w:rsidR="0071610E" w:rsidRPr="00522F91">
        <w:rPr>
          <w:rFonts w:ascii="Arial" w:hAnsi="Arial" w:cs="Arial"/>
          <w:b/>
          <w:szCs w:val="24"/>
        </w:rPr>
        <w:t>c</w:t>
      </w:r>
      <w:r w:rsidR="00660E9D" w:rsidRPr="00522F91">
        <w:rPr>
          <w:rFonts w:ascii="Arial" w:hAnsi="Arial" w:cs="Arial"/>
          <w:b/>
          <w:szCs w:val="24"/>
        </w:rPr>
        <w:t>isplatin in combination with PEMF in comparison to DOX.</w:t>
      </w:r>
      <w:r w:rsidR="00660E9D">
        <w:rPr>
          <w:rFonts w:ascii="Arial" w:hAnsi="Arial" w:cs="Arial"/>
          <w:szCs w:val="24"/>
        </w:rPr>
        <w:t xml:space="preserve"> </w:t>
      </w:r>
      <w:r w:rsidR="0071610E" w:rsidRPr="0071610E">
        <w:rPr>
          <w:rFonts w:ascii="Arial" w:hAnsi="Arial" w:cs="Arial"/>
          <w:b/>
          <w:bCs/>
          <w:szCs w:val="24"/>
        </w:rPr>
        <w:t>(A)</w:t>
      </w:r>
      <w:r w:rsidR="0071610E">
        <w:rPr>
          <w:rFonts w:ascii="Arial" w:hAnsi="Arial" w:cs="Arial"/>
          <w:szCs w:val="24"/>
        </w:rPr>
        <w:t xml:space="preserve"> </w:t>
      </w:r>
      <w:r w:rsidR="00660E9D">
        <w:rPr>
          <w:rFonts w:ascii="Arial" w:hAnsi="Arial" w:cs="Arial"/>
          <w:szCs w:val="24"/>
        </w:rPr>
        <w:t xml:space="preserve">Cells were seeded in 96-well and exposed to 3 </w:t>
      </w:r>
      <w:proofErr w:type="spellStart"/>
      <w:r w:rsidR="00660E9D">
        <w:rPr>
          <w:rFonts w:ascii="Arial" w:hAnsi="Arial" w:cs="Arial"/>
          <w:szCs w:val="24"/>
        </w:rPr>
        <w:t>mT</w:t>
      </w:r>
      <w:proofErr w:type="spellEnd"/>
      <w:r w:rsidR="00660E9D">
        <w:rPr>
          <w:rFonts w:ascii="Arial" w:hAnsi="Arial" w:cs="Arial"/>
          <w:szCs w:val="24"/>
        </w:rPr>
        <w:t xml:space="preserve"> PEMF for 1 h per day for 3 days. Chemotherapeutic drugs were added (red arrow) on the final day of PEMF before the analysis of DNA content 24 h later. The corresponding bar charts show the absolute DNA content of cells in response to increasing doses of chemotherapeutic agents with or without PEMFs. </w:t>
      </w:r>
      <w:r w:rsidR="00660E9D">
        <w:rPr>
          <w:rFonts w:ascii="Arial" w:hAnsi="Arial" w:cs="Arial"/>
          <w:b/>
          <w:szCs w:val="24"/>
        </w:rPr>
        <w:t xml:space="preserve">(B) </w:t>
      </w:r>
      <w:r w:rsidR="00660E9D">
        <w:rPr>
          <w:rFonts w:ascii="Arial" w:hAnsi="Arial" w:cs="Arial"/>
          <w:szCs w:val="24"/>
        </w:rPr>
        <w:t>Representation of a dose</w:t>
      </w:r>
      <w:r w:rsidR="00660E9D">
        <w:rPr>
          <w:rFonts w:ascii="Arial" w:hAnsi="Arial" w:cs="Arial"/>
          <w:b/>
          <w:szCs w:val="24"/>
        </w:rPr>
        <w:t>-</w:t>
      </w:r>
      <w:r w:rsidR="00660E9D">
        <w:rPr>
          <w:rFonts w:ascii="Arial" w:hAnsi="Arial" w:cs="Arial"/>
          <w:szCs w:val="24"/>
        </w:rPr>
        <w:t xml:space="preserve">response curve of the same data in (A), treated with DOX, </w:t>
      </w:r>
      <w:r w:rsidR="00AE1978">
        <w:rPr>
          <w:rFonts w:ascii="Arial" w:hAnsi="Arial" w:cs="Arial"/>
          <w:szCs w:val="24"/>
        </w:rPr>
        <w:t>p</w:t>
      </w:r>
      <w:r w:rsidR="00660E9D">
        <w:rPr>
          <w:rFonts w:ascii="Arial" w:hAnsi="Arial" w:cs="Arial"/>
          <w:szCs w:val="24"/>
        </w:rPr>
        <w:t xml:space="preserve">emetrexed, and </w:t>
      </w:r>
      <w:r w:rsidR="00AE1978">
        <w:rPr>
          <w:rFonts w:ascii="Arial" w:hAnsi="Arial" w:cs="Arial"/>
          <w:szCs w:val="24"/>
        </w:rPr>
        <w:t>c</w:t>
      </w:r>
      <w:r w:rsidR="00660E9D">
        <w:rPr>
          <w:rFonts w:ascii="Arial" w:hAnsi="Arial" w:cs="Arial"/>
          <w:szCs w:val="24"/>
        </w:rPr>
        <w:t>isplatin. The X-axis represents log (concentration</w:t>
      </w:r>
      <w:r w:rsidR="006C64E9">
        <w:rPr>
          <w:rFonts w:ascii="Arial" w:hAnsi="Arial" w:cs="Arial"/>
          <w:szCs w:val="24"/>
        </w:rPr>
        <w:t>),</w:t>
      </w:r>
      <w:r w:rsidR="00660E9D">
        <w:rPr>
          <w:rFonts w:ascii="Arial" w:hAnsi="Arial" w:cs="Arial"/>
          <w:szCs w:val="24"/>
        </w:rPr>
        <w:t xml:space="preserve"> and the y-axis represents the absolute intensity of DNA content. Statistical analysis was performed using multiple unpaired </w:t>
      </w:r>
      <w:r w:rsidR="00660E9D">
        <w:rPr>
          <w:rFonts w:ascii="Arial" w:hAnsi="Arial" w:cs="Arial"/>
          <w:i/>
          <w:szCs w:val="24"/>
        </w:rPr>
        <w:t>t</w:t>
      </w:r>
      <w:r w:rsidR="00660E9D">
        <w:rPr>
          <w:rFonts w:ascii="Arial" w:hAnsi="Arial" w:cs="Arial"/>
          <w:szCs w:val="24"/>
        </w:rPr>
        <w:t xml:space="preserve">-tests, comparing between 0 </w:t>
      </w:r>
      <w:proofErr w:type="spellStart"/>
      <w:r w:rsidR="00660E9D">
        <w:rPr>
          <w:rFonts w:ascii="Arial" w:hAnsi="Arial" w:cs="Arial"/>
          <w:szCs w:val="24"/>
        </w:rPr>
        <w:t>mT</w:t>
      </w:r>
      <w:proofErr w:type="spellEnd"/>
      <w:r w:rsidR="00660E9D">
        <w:rPr>
          <w:rFonts w:ascii="Arial" w:hAnsi="Arial" w:cs="Arial"/>
          <w:szCs w:val="24"/>
        </w:rPr>
        <w:t xml:space="preserve"> and 3 </w:t>
      </w:r>
      <w:proofErr w:type="spellStart"/>
      <w:r w:rsidR="00660E9D">
        <w:rPr>
          <w:rFonts w:ascii="Arial" w:hAnsi="Arial" w:cs="Arial"/>
          <w:szCs w:val="24"/>
        </w:rPr>
        <w:t>mT</w:t>
      </w:r>
      <w:proofErr w:type="spellEnd"/>
      <w:r w:rsidR="00660E9D">
        <w:rPr>
          <w:rFonts w:ascii="Arial" w:hAnsi="Arial" w:cs="Arial"/>
          <w:szCs w:val="24"/>
        </w:rPr>
        <w:t xml:space="preserve"> within each concentration. All experiments were </w:t>
      </w:r>
      <w:r w:rsidR="00876C01">
        <w:rPr>
          <w:rFonts w:ascii="Arial" w:hAnsi="Arial" w:cs="Arial"/>
          <w:szCs w:val="24"/>
        </w:rPr>
        <w:t xml:space="preserve">from </w:t>
      </w:r>
      <w:r w:rsidR="00660E9D">
        <w:rPr>
          <w:rFonts w:ascii="Arial" w:hAnsi="Arial" w:cs="Arial"/>
          <w:szCs w:val="24"/>
        </w:rPr>
        <w:t>3</w:t>
      </w:r>
      <w:r w:rsidR="00876C01">
        <w:rPr>
          <w:rFonts w:ascii="Arial" w:hAnsi="Arial" w:cs="Arial"/>
          <w:szCs w:val="24"/>
        </w:rPr>
        <w:t xml:space="preserve"> to 5</w:t>
      </w:r>
      <w:r w:rsidR="00660E9D">
        <w:rPr>
          <w:rFonts w:ascii="Arial" w:hAnsi="Arial" w:cs="Arial"/>
          <w:szCs w:val="24"/>
        </w:rPr>
        <w:t xml:space="preserve"> independent experiments with *</w:t>
      </w:r>
      <w:r w:rsidR="00660E9D">
        <w:rPr>
          <w:rFonts w:ascii="Arial" w:hAnsi="Arial" w:cs="Arial"/>
          <w:i/>
          <w:iCs/>
          <w:szCs w:val="24"/>
        </w:rPr>
        <w:t>p</w:t>
      </w:r>
      <w:r w:rsidR="00660E9D">
        <w:rPr>
          <w:rFonts w:ascii="Arial" w:hAnsi="Arial" w:cs="Arial"/>
          <w:szCs w:val="24"/>
        </w:rPr>
        <w:t xml:space="preserve"> &lt; 0.05</w:t>
      </w:r>
      <w:r w:rsidR="00E81CAF">
        <w:rPr>
          <w:rFonts w:ascii="Arial" w:hAnsi="Arial" w:cs="Arial"/>
          <w:szCs w:val="24"/>
        </w:rPr>
        <w:t xml:space="preserve"> </w:t>
      </w:r>
      <w:r w:rsidR="00660E9D">
        <w:rPr>
          <w:rFonts w:ascii="Arial" w:hAnsi="Arial" w:cs="Arial"/>
          <w:szCs w:val="24"/>
        </w:rPr>
        <w:t xml:space="preserve">and </w:t>
      </w:r>
      <w:r w:rsidR="00660E9D">
        <w:rPr>
          <w:rFonts w:ascii="Arial" w:hAnsi="Arial" w:cs="Arial"/>
          <w:szCs w:val="24"/>
          <w:vertAlign w:val="superscript"/>
        </w:rPr>
        <w:t>#</w:t>
      </w:r>
      <w:r w:rsidR="00660E9D">
        <w:rPr>
          <w:rFonts w:ascii="Arial" w:hAnsi="Arial" w:cs="Arial"/>
          <w:i/>
          <w:iCs/>
          <w:szCs w:val="24"/>
        </w:rPr>
        <w:t>p</w:t>
      </w:r>
      <w:r w:rsidR="00660E9D">
        <w:rPr>
          <w:rFonts w:ascii="Arial" w:hAnsi="Arial" w:cs="Arial"/>
          <w:szCs w:val="24"/>
        </w:rPr>
        <w:t xml:space="preserve"> &lt; 0.0001. The error bars are expressed as the standard error of the mean.  </w:t>
      </w:r>
    </w:p>
    <w:p w14:paraId="02E6C78C" w14:textId="77777777" w:rsidR="00660E9D" w:rsidRDefault="00660E9D" w:rsidP="00660E9D">
      <w:pPr>
        <w:spacing w:line="360" w:lineRule="auto"/>
        <w:jc w:val="both"/>
        <w:rPr>
          <w:rFonts w:ascii="Arial" w:hAnsi="Arial" w:cs="Arial"/>
          <w:b/>
          <w:szCs w:val="24"/>
        </w:rPr>
      </w:pPr>
    </w:p>
    <w:p w14:paraId="6A81F18A" w14:textId="3ED75565" w:rsidR="00660E9D" w:rsidRDefault="00660E9D" w:rsidP="00660E9D">
      <w:pPr>
        <w:spacing w:line="360" w:lineRule="auto"/>
        <w:jc w:val="center"/>
        <w:rPr>
          <w:rFonts w:ascii="Arial" w:hAnsi="Arial" w:cs="Arial"/>
          <w:b/>
          <w:szCs w:val="24"/>
        </w:rPr>
      </w:pPr>
    </w:p>
    <w:p w14:paraId="5384E1C5" w14:textId="77777777" w:rsidR="00660E9D" w:rsidRDefault="00660E9D" w:rsidP="00660E9D">
      <w:pPr>
        <w:spacing w:line="360" w:lineRule="auto"/>
        <w:jc w:val="both"/>
        <w:rPr>
          <w:rFonts w:ascii="Arial" w:hAnsi="Arial" w:cs="Arial"/>
          <w:szCs w:val="24"/>
        </w:rPr>
      </w:pPr>
    </w:p>
    <w:p w14:paraId="2BD62D7E" w14:textId="49536DDE" w:rsidR="00660E9D" w:rsidRDefault="00660E9D" w:rsidP="00660E9D">
      <w:pPr>
        <w:spacing w:line="360" w:lineRule="auto"/>
        <w:jc w:val="center"/>
        <w:rPr>
          <w:rFonts w:ascii="Arial" w:hAnsi="Arial" w:cs="Arial"/>
          <w:szCs w:val="24"/>
        </w:rPr>
      </w:pPr>
      <w:r>
        <w:rPr>
          <w:rFonts w:ascii="Arial" w:hAnsi="Arial" w:cs="Arial"/>
          <w:noProof/>
          <w:szCs w:val="24"/>
        </w:rPr>
        <w:lastRenderedPageBreak/>
        <w:drawing>
          <wp:inline distT="0" distB="0" distL="0" distR="0" wp14:anchorId="5C913823" wp14:editId="0E14A6E6">
            <wp:extent cx="3600450" cy="6972300"/>
            <wp:effectExtent l="0" t="0" r="0" b="0"/>
            <wp:docPr id="4" name="Picture 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engineering drawing&#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450" cy="6972300"/>
                    </a:xfrm>
                    <a:prstGeom prst="rect">
                      <a:avLst/>
                    </a:prstGeom>
                    <a:noFill/>
                    <a:ln>
                      <a:noFill/>
                    </a:ln>
                  </pic:spPr>
                </pic:pic>
              </a:graphicData>
            </a:graphic>
          </wp:inline>
        </w:drawing>
      </w:r>
    </w:p>
    <w:p w14:paraId="529BF5F7" w14:textId="2DA93689" w:rsidR="00660E9D" w:rsidRDefault="00F5412D" w:rsidP="00660E9D">
      <w:pPr>
        <w:spacing w:line="360" w:lineRule="auto"/>
        <w:jc w:val="both"/>
        <w:rPr>
          <w:rFonts w:ascii="Arial" w:hAnsi="Arial" w:cs="Arial"/>
          <w:szCs w:val="24"/>
        </w:rPr>
      </w:pPr>
      <w:r>
        <w:rPr>
          <w:rFonts w:ascii="Arial" w:hAnsi="Arial" w:cs="Arial"/>
          <w:b/>
          <w:szCs w:val="24"/>
        </w:rPr>
        <w:t>Supplementary Figure 3.</w:t>
      </w:r>
      <w:r w:rsidR="00660E9D">
        <w:rPr>
          <w:rFonts w:ascii="Arial" w:hAnsi="Arial" w:cs="Arial"/>
          <w:b/>
          <w:szCs w:val="24"/>
        </w:rPr>
        <w:t xml:space="preserve"> PEMFs inhibit MDA-MB-231 tumor growth without affecting liver </w:t>
      </w:r>
      <w:r w:rsidR="00660E9D">
        <w:rPr>
          <w:rFonts w:ascii="Arial" w:hAnsi="Arial" w:cs="Arial"/>
          <w:b/>
          <w:i/>
          <w:iCs/>
          <w:szCs w:val="24"/>
        </w:rPr>
        <w:t>in vivo</w:t>
      </w:r>
      <w:r w:rsidR="00660E9D">
        <w:rPr>
          <w:rFonts w:ascii="Arial" w:hAnsi="Arial" w:cs="Arial"/>
          <w:b/>
          <w:szCs w:val="24"/>
        </w:rPr>
        <w:t xml:space="preserve">. (A) </w:t>
      </w:r>
      <w:r w:rsidR="00660E9D">
        <w:rPr>
          <w:rFonts w:ascii="Arial" w:hAnsi="Arial" w:cs="Arial"/>
          <w:szCs w:val="24"/>
        </w:rPr>
        <w:t xml:space="preserve">Schematic of PEMF exposure of NSG mice implanted with MDA-MB-231 tumors. Implanted tumors were allowed to grow for 3 weeks before the initiation of PEMF exposure once (3 </w:t>
      </w:r>
      <w:proofErr w:type="spellStart"/>
      <w:r w:rsidR="00660E9D">
        <w:rPr>
          <w:rFonts w:ascii="Arial" w:hAnsi="Arial" w:cs="Arial"/>
          <w:szCs w:val="24"/>
        </w:rPr>
        <w:t>mT</w:t>
      </w:r>
      <w:proofErr w:type="spellEnd"/>
      <w:r w:rsidR="00660E9D">
        <w:rPr>
          <w:rFonts w:ascii="Arial" w:hAnsi="Arial" w:cs="Arial"/>
          <w:szCs w:val="24"/>
        </w:rPr>
        <w:t xml:space="preserve"> x 1; 1 h, once a week) or twice (3 </w:t>
      </w:r>
      <w:proofErr w:type="spellStart"/>
      <w:r w:rsidR="00660E9D">
        <w:rPr>
          <w:rFonts w:ascii="Arial" w:hAnsi="Arial" w:cs="Arial"/>
          <w:szCs w:val="24"/>
        </w:rPr>
        <w:t>mT</w:t>
      </w:r>
      <w:proofErr w:type="spellEnd"/>
      <w:r w:rsidR="00660E9D">
        <w:rPr>
          <w:rFonts w:ascii="Arial" w:hAnsi="Arial" w:cs="Arial"/>
          <w:szCs w:val="24"/>
        </w:rPr>
        <w:t xml:space="preserve"> x 2; 1 h once a week for 2 weeks). </w:t>
      </w:r>
      <w:r w:rsidR="00660E9D">
        <w:rPr>
          <w:rFonts w:ascii="Arial" w:hAnsi="Arial" w:cs="Arial"/>
          <w:szCs w:val="24"/>
        </w:rPr>
        <w:lastRenderedPageBreak/>
        <w:t xml:space="preserve">Flow cytometric analysis was performed 1 week after the last PEMF exposure. Representative scatter dot-plots of </w:t>
      </w:r>
      <w:r w:rsidR="006C64E9" w:rsidRPr="006C64E9">
        <w:rPr>
          <w:rFonts w:ascii="Arial" w:hAnsi="Arial" w:cs="Arial"/>
          <w:b/>
          <w:bCs/>
          <w:szCs w:val="24"/>
        </w:rPr>
        <w:t>(</w:t>
      </w:r>
      <w:r w:rsidR="00660E9D" w:rsidRPr="006C64E9">
        <w:rPr>
          <w:rFonts w:ascii="Arial" w:hAnsi="Arial" w:cs="Arial"/>
          <w:b/>
          <w:bCs/>
          <w:szCs w:val="24"/>
        </w:rPr>
        <w:t>B</w:t>
      </w:r>
      <w:r w:rsidR="00660E9D">
        <w:rPr>
          <w:rFonts w:ascii="Arial" w:hAnsi="Arial" w:cs="Arial"/>
          <w:b/>
          <w:szCs w:val="24"/>
        </w:rPr>
        <w:t>)</w:t>
      </w:r>
      <w:r w:rsidR="00660E9D">
        <w:rPr>
          <w:rFonts w:ascii="Arial" w:hAnsi="Arial" w:cs="Arial"/>
          <w:szCs w:val="24"/>
        </w:rPr>
        <w:t xml:space="preserve"> MDA-MB-231 xenografts and </w:t>
      </w:r>
      <w:r w:rsidR="006C64E9" w:rsidRPr="006C64E9">
        <w:rPr>
          <w:rFonts w:ascii="Arial" w:hAnsi="Arial" w:cs="Arial"/>
          <w:b/>
          <w:bCs/>
          <w:szCs w:val="24"/>
        </w:rPr>
        <w:t>(</w:t>
      </w:r>
      <w:r w:rsidR="00660E9D" w:rsidRPr="006C64E9">
        <w:rPr>
          <w:rFonts w:ascii="Arial" w:hAnsi="Arial" w:cs="Arial"/>
          <w:b/>
          <w:bCs/>
          <w:szCs w:val="24"/>
        </w:rPr>
        <w:t>C</w:t>
      </w:r>
      <w:r w:rsidR="00660E9D">
        <w:rPr>
          <w:rFonts w:ascii="Arial" w:hAnsi="Arial" w:cs="Arial"/>
          <w:b/>
          <w:szCs w:val="24"/>
        </w:rPr>
        <w:t>)</w:t>
      </w:r>
      <w:r w:rsidR="00660E9D">
        <w:rPr>
          <w:rFonts w:ascii="Arial" w:hAnsi="Arial" w:cs="Arial"/>
          <w:szCs w:val="24"/>
        </w:rPr>
        <w:t xml:space="preserve"> mouse livers showing cell population of dissociated tumors sorted based on </w:t>
      </w:r>
      <w:r w:rsidR="006C64E9">
        <w:rPr>
          <w:rFonts w:ascii="Arial" w:hAnsi="Arial" w:cs="Arial"/>
          <w:szCs w:val="24"/>
        </w:rPr>
        <w:t>A</w:t>
      </w:r>
      <w:r w:rsidR="00660E9D">
        <w:rPr>
          <w:rFonts w:ascii="Arial" w:hAnsi="Arial" w:cs="Arial"/>
          <w:szCs w:val="24"/>
        </w:rPr>
        <w:t>nnexin</w:t>
      </w:r>
      <w:r w:rsidR="006C64E9">
        <w:rPr>
          <w:rFonts w:ascii="Arial" w:hAnsi="Arial" w:cs="Arial"/>
          <w:szCs w:val="24"/>
        </w:rPr>
        <w:t xml:space="preserve"> V</w:t>
      </w:r>
      <w:r w:rsidR="00660E9D">
        <w:rPr>
          <w:rFonts w:ascii="Arial" w:hAnsi="Arial" w:cs="Arial"/>
          <w:szCs w:val="24"/>
        </w:rPr>
        <w:t xml:space="preserve"> and propidium iodide staining. The percentages repr</w:t>
      </w:r>
      <w:r w:rsidR="008B22A2">
        <w:rPr>
          <w:rFonts w:ascii="Arial" w:hAnsi="Arial" w:cs="Arial"/>
          <w:noProof/>
          <w:szCs w:val="24"/>
        </w:rPr>
        <w:drawing>
          <wp:anchor distT="0" distB="0" distL="114300" distR="114300" simplePos="0" relativeHeight="251658240" behindDoc="0" locked="0" layoutInCell="1" allowOverlap="1" wp14:anchorId="4F9E0155" wp14:editId="25CB1050">
            <wp:simplePos x="815340" y="1775460"/>
            <wp:positionH relativeFrom="margin">
              <wp:align>center</wp:align>
            </wp:positionH>
            <wp:positionV relativeFrom="margin">
              <wp:align>center</wp:align>
            </wp:positionV>
            <wp:extent cx="5399405" cy="6524625"/>
            <wp:effectExtent l="0" t="0" r="0" b="9525"/>
            <wp:wrapSquare wrapText="bothSides"/>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9405" cy="6524625"/>
                    </a:xfrm>
                    <a:prstGeom prst="rect">
                      <a:avLst/>
                    </a:prstGeom>
                  </pic:spPr>
                </pic:pic>
              </a:graphicData>
            </a:graphic>
          </wp:anchor>
        </w:drawing>
      </w:r>
      <w:r w:rsidR="00660E9D">
        <w:rPr>
          <w:rFonts w:ascii="Arial" w:hAnsi="Arial" w:cs="Arial"/>
          <w:szCs w:val="24"/>
        </w:rPr>
        <w:t xml:space="preserve">esent the total early and late apoptotic cells.  </w:t>
      </w:r>
    </w:p>
    <w:p w14:paraId="4437F19A" w14:textId="6655B53B" w:rsidR="00660E9D" w:rsidRDefault="00660E9D" w:rsidP="00660E9D">
      <w:pPr>
        <w:spacing w:line="360" w:lineRule="auto"/>
        <w:jc w:val="center"/>
        <w:rPr>
          <w:rFonts w:ascii="Arial" w:hAnsi="Arial" w:cs="Arial"/>
          <w:szCs w:val="24"/>
        </w:rPr>
      </w:pPr>
    </w:p>
    <w:p w14:paraId="313C77DD" w14:textId="1D9447D6" w:rsidR="00660E9D" w:rsidRDefault="00F5412D" w:rsidP="00660E9D">
      <w:pPr>
        <w:spacing w:line="360" w:lineRule="auto"/>
        <w:jc w:val="both"/>
        <w:rPr>
          <w:rFonts w:ascii="Arial" w:hAnsi="Arial" w:cs="Arial"/>
          <w:szCs w:val="24"/>
        </w:rPr>
      </w:pPr>
      <w:r>
        <w:rPr>
          <w:rFonts w:ascii="Arial" w:hAnsi="Arial" w:cs="Arial"/>
          <w:b/>
          <w:szCs w:val="24"/>
        </w:rPr>
        <w:t>Supplementary Figure 4</w:t>
      </w:r>
      <w:r w:rsidR="00660E9D">
        <w:rPr>
          <w:rFonts w:ascii="Arial" w:hAnsi="Arial" w:cs="Arial"/>
          <w:b/>
          <w:szCs w:val="24"/>
        </w:rPr>
        <w:t xml:space="preserve">. PEMFs synergize with doxorubicin to inhibit MCF-7 tumor growth </w:t>
      </w:r>
      <w:r w:rsidR="00660E9D">
        <w:rPr>
          <w:rFonts w:ascii="Arial" w:hAnsi="Arial" w:cs="Arial"/>
          <w:b/>
          <w:i/>
          <w:iCs/>
          <w:szCs w:val="24"/>
        </w:rPr>
        <w:t>in vivo</w:t>
      </w:r>
      <w:r w:rsidR="00660E9D">
        <w:rPr>
          <w:rFonts w:ascii="Arial" w:hAnsi="Arial" w:cs="Arial"/>
          <w:b/>
          <w:szCs w:val="24"/>
        </w:rPr>
        <w:t xml:space="preserve">. (A) </w:t>
      </w:r>
      <w:r w:rsidR="00660E9D">
        <w:rPr>
          <w:rFonts w:ascii="Arial" w:hAnsi="Arial" w:cs="Arial"/>
          <w:szCs w:val="24"/>
        </w:rPr>
        <w:t xml:space="preserve">Schematic of weekly PEMF and DOX exposures on MCF-7 xenograft in mice. Implanted cells were allowed to grow for 3 weeks before the initiation of DOX and/or PEMF treatment. Apoptotic cell determination was performed at the end of the study. </w:t>
      </w:r>
      <w:r w:rsidR="00660E9D">
        <w:rPr>
          <w:rFonts w:ascii="Arial" w:hAnsi="Arial" w:cs="Arial"/>
          <w:b/>
          <w:szCs w:val="24"/>
        </w:rPr>
        <w:t>(B)</w:t>
      </w:r>
      <w:r w:rsidR="00660E9D">
        <w:rPr>
          <w:rFonts w:ascii="Arial" w:hAnsi="Arial" w:cs="Arial"/>
          <w:szCs w:val="24"/>
        </w:rPr>
        <w:t xml:space="preserve"> </w:t>
      </w:r>
      <w:r w:rsidR="00660E9D">
        <w:rPr>
          <w:rFonts w:ascii="Arial" w:hAnsi="Arial" w:cs="Arial"/>
          <w:szCs w:val="24"/>
        </w:rPr>
        <w:lastRenderedPageBreak/>
        <w:t xml:space="preserve">Representative scatter dot-plots showing cell population of dissociated tumors sorted based on </w:t>
      </w:r>
      <w:r w:rsidR="006C64E9">
        <w:rPr>
          <w:rFonts w:ascii="Arial" w:hAnsi="Arial" w:cs="Arial"/>
          <w:szCs w:val="24"/>
        </w:rPr>
        <w:t>A</w:t>
      </w:r>
      <w:r w:rsidR="00660E9D">
        <w:rPr>
          <w:rFonts w:ascii="Arial" w:hAnsi="Arial" w:cs="Arial"/>
          <w:szCs w:val="24"/>
        </w:rPr>
        <w:t>nnexin</w:t>
      </w:r>
      <w:r w:rsidR="006C64E9">
        <w:rPr>
          <w:rFonts w:ascii="Arial" w:hAnsi="Arial" w:cs="Arial"/>
          <w:szCs w:val="24"/>
        </w:rPr>
        <w:t xml:space="preserve"> V</w:t>
      </w:r>
      <w:r w:rsidR="00660E9D">
        <w:rPr>
          <w:rFonts w:ascii="Arial" w:hAnsi="Arial" w:cs="Arial"/>
          <w:szCs w:val="24"/>
        </w:rPr>
        <w:t xml:space="preserve"> and propidium iodide staining. Bar charts represent pooled data of early and late apoptotic cell percentages analyzed using flow cytometry. N = 6 mice, with </w:t>
      </w:r>
      <w:r w:rsidR="00660E9D">
        <w:rPr>
          <w:rFonts w:ascii="Arial" w:hAnsi="Arial" w:cs="Arial"/>
          <w:i/>
          <w:szCs w:val="24"/>
        </w:rPr>
        <w:t>**</w:t>
      </w:r>
      <w:r w:rsidR="008B22A2">
        <w:rPr>
          <w:rFonts w:ascii="Arial" w:hAnsi="Arial" w:cs="Arial"/>
          <w:i/>
          <w:szCs w:val="24"/>
        </w:rPr>
        <w:t>*</w:t>
      </w:r>
      <w:r w:rsidR="00660E9D">
        <w:rPr>
          <w:rFonts w:ascii="Arial" w:hAnsi="Arial" w:cs="Arial"/>
          <w:i/>
          <w:szCs w:val="24"/>
        </w:rPr>
        <w:t xml:space="preserve">p </w:t>
      </w:r>
      <w:r w:rsidR="00660E9D">
        <w:rPr>
          <w:rFonts w:ascii="Arial" w:hAnsi="Arial" w:cs="Arial"/>
          <w:szCs w:val="24"/>
        </w:rPr>
        <w:t>&lt; 0.</w:t>
      </w:r>
      <w:r w:rsidR="008B22A2">
        <w:rPr>
          <w:rFonts w:ascii="Arial" w:hAnsi="Arial" w:cs="Arial"/>
          <w:szCs w:val="24"/>
        </w:rPr>
        <w:t>0</w:t>
      </w:r>
      <w:r w:rsidR="00660E9D">
        <w:rPr>
          <w:rFonts w:ascii="Arial" w:hAnsi="Arial" w:cs="Arial"/>
          <w:szCs w:val="24"/>
        </w:rPr>
        <w:t>01</w:t>
      </w:r>
      <w:r w:rsidR="00E81CAF">
        <w:rPr>
          <w:rFonts w:ascii="Arial" w:hAnsi="Arial" w:cs="Arial"/>
          <w:szCs w:val="24"/>
        </w:rPr>
        <w:t xml:space="preserve"> </w:t>
      </w:r>
      <w:r w:rsidR="00660E9D">
        <w:rPr>
          <w:rFonts w:ascii="Arial" w:hAnsi="Arial" w:cs="Arial"/>
          <w:szCs w:val="24"/>
        </w:rPr>
        <w:t xml:space="preserve">and </w:t>
      </w:r>
      <w:r w:rsidR="00660E9D">
        <w:rPr>
          <w:rFonts w:ascii="Arial" w:hAnsi="Arial" w:cs="Arial"/>
          <w:i/>
          <w:szCs w:val="24"/>
          <w:vertAlign w:val="superscript"/>
        </w:rPr>
        <w:t>#</w:t>
      </w:r>
      <w:r w:rsidR="00660E9D">
        <w:rPr>
          <w:rFonts w:ascii="Arial" w:hAnsi="Arial" w:cs="Arial"/>
          <w:i/>
          <w:szCs w:val="24"/>
        </w:rPr>
        <w:t xml:space="preserve">p </w:t>
      </w:r>
      <w:r w:rsidR="00660E9D">
        <w:rPr>
          <w:rFonts w:ascii="Arial" w:hAnsi="Arial" w:cs="Arial"/>
          <w:szCs w:val="24"/>
        </w:rPr>
        <w:t>&lt; 0.0001. The error bars are expressed as the standard error of the mean.</w:t>
      </w:r>
    </w:p>
    <w:p w14:paraId="77CF27BB" w14:textId="77777777" w:rsidR="00660E9D" w:rsidRDefault="00660E9D" w:rsidP="00660E9D">
      <w:pPr>
        <w:spacing w:line="360" w:lineRule="auto"/>
        <w:jc w:val="both"/>
        <w:rPr>
          <w:rFonts w:ascii="Arial" w:hAnsi="Arial" w:cs="Arial"/>
          <w:szCs w:val="24"/>
        </w:rPr>
      </w:pPr>
    </w:p>
    <w:p w14:paraId="613437F4" w14:textId="77777777" w:rsidR="00660E9D" w:rsidRDefault="00660E9D" w:rsidP="00660E9D">
      <w:pPr>
        <w:spacing w:line="360" w:lineRule="auto"/>
        <w:jc w:val="both"/>
        <w:rPr>
          <w:rFonts w:ascii="Arial" w:hAnsi="Arial" w:cs="Arial"/>
          <w:szCs w:val="24"/>
        </w:rPr>
      </w:pPr>
    </w:p>
    <w:p w14:paraId="2B5371C5" w14:textId="4C300729" w:rsidR="00660E9D" w:rsidRDefault="00660E9D" w:rsidP="00660E9D">
      <w:pPr>
        <w:spacing w:line="360" w:lineRule="auto"/>
        <w:jc w:val="center"/>
        <w:rPr>
          <w:rFonts w:ascii="Arial" w:hAnsi="Arial" w:cs="Arial"/>
          <w:szCs w:val="24"/>
        </w:rPr>
      </w:pPr>
      <w:r>
        <w:rPr>
          <w:rFonts w:ascii="Arial" w:hAnsi="Arial" w:cs="Arial"/>
          <w:noProof/>
          <w:szCs w:val="24"/>
        </w:rPr>
        <w:drawing>
          <wp:inline distT="0" distB="0" distL="0" distR="0" wp14:anchorId="4D767FB0" wp14:editId="1618B04C">
            <wp:extent cx="3562350" cy="4352925"/>
            <wp:effectExtent l="0" t="0" r="0" b="9525"/>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2350" cy="4352925"/>
                    </a:xfrm>
                    <a:prstGeom prst="rect">
                      <a:avLst/>
                    </a:prstGeom>
                    <a:noFill/>
                    <a:ln>
                      <a:noFill/>
                    </a:ln>
                  </pic:spPr>
                </pic:pic>
              </a:graphicData>
            </a:graphic>
          </wp:inline>
        </w:drawing>
      </w:r>
    </w:p>
    <w:p w14:paraId="3B405C26" w14:textId="5C949503" w:rsidR="00660E9D" w:rsidRDefault="00F5412D" w:rsidP="00660E9D">
      <w:pPr>
        <w:spacing w:line="360" w:lineRule="auto"/>
        <w:jc w:val="both"/>
        <w:rPr>
          <w:rFonts w:ascii="Arial" w:hAnsi="Arial" w:cs="Arial"/>
          <w:szCs w:val="24"/>
        </w:rPr>
      </w:pPr>
      <w:r>
        <w:rPr>
          <w:rFonts w:ascii="Arial" w:hAnsi="Arial" w:cs="Arial"/>
          <w:b/>
          <w:szCs w:val="24"/>
        </w:rPr>
        <w:t>Supplementary Figure 5</w:t>
      </w:r>
      <w:r>
        <w:rPr>
          <w:rFonts w:ascii="Arial" w:hAnsi="Arial" w:cs="Arial"/>
          <w:szCs w:val="24"/>
        </w:rPr>
        <w:t xml:space="preserve">. </w:t>
      </w:r>
      <w:r w:rsidR="00660E9D">
        <w:rPr>
          <w:rFonts w:ascii="Arial" w:hAnsi="Arial" w:cs="Arial"/>
          <w:b/>
          <w:szCs w:val="24"/>
        </w:rPr>
        <w:t>Recovery of PEMF cytotoxicity upon removal of selective pressure from DOX and reinstatement of TRPC1 expression.</w:t>
      </w:r>
      <w:r w:rsidR="00660E9D">
        <w:rPr>
          <w:rFonts w:ascii="Arial" w:hAnsi="Arial" w:cs="Arial"/>
          <w:szCs w:val="24"/>
        </w:rPr>
        <w:t xml:space="preserve"> Cell proliferation assay using </w:t>
      </w:r>
      <w:proofErr w:type="spellStart"/>
      <w:r w:rsidR="00660E9D">
        <w:rPr>
          <w:rFonts w:ascii="Arial" w:hAnsi="Arial" w:cs="Arial"/>
          <w:szCs w:val="24"/>
        </w:rPr>
        <w:t>Cyquant</w:t>
      </w:r>
      <w:proofErr w:type="spellEnd"/>
      <w:r w:rsidR="00660E9D">
        <w:rPr>
          <w:rFonts w:ascii="Arial" w:hAnsi="Arial" w:cs="Arial"/>
          <w:szCs w:val="24"/>
        </w:rPr>
        <w:t xml:space="preserve"> DNA content analysis on MCF-7/ADR cell lines, in combination with DOX (100 </w:t>
      </w:r>
      <w:proofErr w:type="spellStart"/>
      <w:r w:rsidR="00660E9D">
        <w:rPr>
          <w:rFonts w:ascii="Arial" w:hAnsi="Arial" w:cs="Arial"/>
          <w:szCs w:val="24"/>
        </w:rPr>
        <w:t>nM</w:t>
      </w:r>
      <w:proofErr w:type="spellEnd"/>
      <w:r w:rsidR="00660E9D">
        <w:rPr>
          <w:rFonts w:ascii="Arial" w:hAnsi="Arial" w:cs="Arial"/>
          <w:szCs w:val="24"/>
        </w:rPr>
        <w:t xml:space="preserve">) and PEMF exposure. MCF-7/ADR (96 </w:t>
      </w:r>
      <w:proofErr w:type="spellStart"/>
      <w:r w:rsidR="00660E9D">
        <w:rPr>
          <w:rFonts w:ascii="Arial" w:hAnsi="Arial" w:cs="Arial"/>
          <w:szCs w:val="24"/>
        </w:rPr>
        <w:t>nM</w:t>
      </w:r>
      <w:proofErr w:type="spellEnd"/>
      <w:r w:rsidR="00660E9D">
        <w:rPr>
          <w:rFonts w:ascii="Arial" w:hAnsi="Arial" w:cs="Arial"/>
          <w:szCs w:val="24"/>
        </w:rPr>
        <w:t xml:space="preserve">) cells were maintained in 96 </w:t>
      </w:r>
      <w:proofErr w:type="spellStart"/>
      <w:r w:rsidR="00660E9D">
        <w:rPr>
          <w:rFonts w:ascii="Arial" w:hAnsi="Arial" w:cs="Arial"/>
          <w:szCs w:val="24"/>
        </w:rPr>
        <w:t>nM</w:t>
      </w:r>
      <w:proofErr w:type="spellEnd"/>
      <w:r w:rsidR="00660E9D">
        <w:rPr>
          <w:rFonts w:ascii="Arial" w:hAnsi="Arial" w:cs="Arial"/>
          <w:szCs w:val="24"/>
        </w:rPr>
        <w:t xml:space="preserve"> DOX while MCF-7/ADR (0 </w:t>
      </w:r>
      <w:proofErr w:type="spellStart"/>
      <w:r w:rsidR="00660E9D">
        <w:rPr>
          <w:rFonts w:ascii="Arial" w:hAnsi="Arial" w:cs="Arial"/>
          <w:szCs w:val="24"/>
        </w:rPr>
        <w:t>nM</w:t>
      </w:r>
      <w:proofErr w:type="spellEnd"/>
      <w:r w:rsidR="00660E9D">
        <w:rPr>
          <w:rFonts w:ascii="Arial" w:hAnsi="Arial" w:cs="Arial"/>
          <w:szCs w:val="24"/>
        </w:rPr>
        <w:t xml:space="preserve">) were serially passaged in the absence of DOX. Cells were exposed to 3 </w:t>
      </w:r>
      <w:proofErr w:type="spellStart"/>
      <w:r w:rsidR="00660E9D">
        <w:rPr>
          <w:rFonts w:ascii="Arial" w:hAnsi="Arial" w:cs="Arial"/>
          <w:szCs w:val="24"/>
        </w:rPr>
        <w:t>mT</w:t>
      </w:r>
      <w:proofErr w:type="spellEnd"/>
      <w:r w:rsidR="00660E9D">
        <w:rPr>
          <w:rFonts w:ascii="Arial" w:hAnsi="Arial" w:cs="Arial"/>
          <w:szCs w:val="24"/>
        </w:rPr>
        <w:t xml:space="preserve"> PEMFs for 1 h per day for 3 days. 100 </w:t>
      </w:r>
      <w:proofErr w:type="spellStart"/>
      <w:r w:rsidR="00660E9D">
        <w:rPr>
          <w:rFonts w:ascii="Arial" w:hAnsi="Arial" w:cs="Arial"/>
          <w:szCs w:val="24"/>
        </w:rPr>
        <w:t>nM</w:t>
      </w:r>
      <w:proofErr w:type="spellEnd"/>
      <w:r w:rsidR="00660E9D">
        <w:rPr>
          <w:rFonts w:ascii="Arial" w:hAnsi="Arial" w:cs="Arial"/>
          <w:szCs w:val="24"/>
        </w:rPr>
        <w:t xml:space="preserve"> DOX was administered 1 h before the final </w:t>
      </w:r>
      <w:r w:rsidR="00660E9D">
        <w:rPr>
          <w:rFonts w:ascii="Arial" w:hAnsi="Arial" w:cs="Arial"/>
          <w:szCs w:val="24"/>
        </w:rPr>
        <w:lastRenderedPageBreak/>
        <w:t xml:space="preserve">PEMF exposure. </w:t>
      </w:r>
      <w:proofErr w:type="spellStart"/>
      <w:r w:rsidR="00660E9D">
        <w:rPr>
          <w:rFonts w:ascii="Arial" w:hAnsi="Arial" w:cs="Arial"/>
          <w:szCs w:val="24"/>
        </w:rPr>
        <w:t>Cyquant</w:t>
      </w:r>
      <w:proofErr w:type="spellEnd"/>
      <w:r w:rsidR="00660E9D">
        <w:rPr>
          <w:rFonts w:ascii="Arial" w:hAnsi="Arial" w:cs="Arial"/>
          <w:szCs w:val="24"/>
        </w:rPr>
        <w:t xml:space="preserve"> analysis was performed 24 h after the final PEMF exposure. Statistical analysis was performed using </w:t>
      </w:r>
      <w:r w:rsidR="00D2088F">
        <w:rPr>
          <w:rFonts w:ascii="Arial" w:hAnsi="Arial" w:cs="Arial"/>
          <w:szCs w:val="24"/>
        </w:rPr>
        <w:t>O</w:t>
      </w:r>
      <w:r w:rsidR="00660E9D">
        <w:rPr>
          <w:rFonts w:ascii="Arial" w:hAnsi="Arial" w:cs="Arial"/>
          <w:szCs w:val="24"/>
        </w:rPr>
        <w:t>ne-</w:t>
      </w:r>
      <w:r w:rsidR="00D2088F">
        <w:rPr>
          <w:rFonts w:ascii="Arial" w:hAnsi="Arial" w:cs="Arial"/>
          <w:szCs w:val="24"/>
        </w:rPr>
        <w:t>W</w:t>
      </w:r>
      <w:r w:rsidR="00660E9D">
        <w:rPr>
          <w:rFonts w:ascii="Arial" w:hAnsi="Arial" w:cs="Arial"/>
          <w:szCs w:val="24"/>
        </w:rPr>
        <w:t xml:space="preserve">ay ANOVA with </w:t>
      </w:r>
      <w:proofErr w:type="spellStart"/>
      <w:r w:rsidR="00660E9D">
        <w:rPr>
          <w:rFonts w:ascii="Arial" w:hAnsi="Arial" w:cs="Arial"/>
          <w:szCs w:val="24"/>
        </w:rPr>
        <w:t>Sidak’s</w:t>
      </w:r>
      <w:proofErr w:type="spellEnd"/>
      <w:r w:rsidR="00660E9D">
        <w:rPr>
          <w:rFonts w:ascii="Arial" w:hAnsi="Arial" w:cs="Arial"/>
          <w:szCs w:val="24"/>
        </w:rPr>
        <w:t xml:space="preserve"> multiple comparison test</w:t>
      </w:r>
      <w:r w:rsidR="00876C01">
        <w:rPr>
          <w:rFonts w:ascii="Arial" w:hAnsi="Arial" w:cs="Arial"/>
          <w:szCs w:val="24"/>
        </w:rPr>
        <w:t xml:space="preserve"> with *</w:t>
      </w:r>
      <w:r w:rsidR="00876C01">
        <w:rPr>
          <w:rFonts w:ascii="Arial" w:hAnsi="Arial" w:cs="Arial"/>
          <w:i/>
          <w:iCs/>
          <w:szCs w:val="24"/>
        </w:rPr>
        <w:t>p</w:t>
      </w:r>
      <w:r w:rsidR="00876C01">
        <w:rPr>
          <w:rFonts w:ascii="Arial" w:hAnsi="Arial" w:cs="Arial"/>
          <w:szCs w:val="24"/>
        </w:rPr>
        <w:t xml:space="preserve"> &lt; 0.05 and </w:t>
      </w:r>
      <w:r w:rsidR="00876C01">
        <w:rPr>
          <w:rFonts w:ascii="Arial" w:hAnsi="Arial" w:cs="Arial"/>
          <w:szCs w:val="24"/>
          <w:vertAlign w:val="superscript"/>
        </w:rPr>
        <w:t>#</w:t>
      </w:r>
      <w:r w:rsidR="00876C01">
        <w:rPr>
          <w:rFonts w:ascii="Arial" w:hAnsi="Arial" w:cs="Arial"/>
          <w:i/>
          <w:iCs/>
          <w:szCs w:val="24"/>
        </w:rPr>
        <w:t>p</w:t>
      </w:r>
      <w:r w:rsidR="00876C01">
        <w:rPr>
          <w:rFonts w:ascii="Arial" w:hAnsi="Arial" w:cs="Arial"/>
          <w:szCs w:val="24"/>
        </w:rPr>
        <w:t xml:space="preserve"> &lt; 0.0001. Data presented </w:t>
      </w:r>
      <w:r w:rsidR="00660E9D">
        <w:rPr>
          <w:rFonts w:ascii="Arial" w:hAnsi="Arial" w:cs="Arial"/>
          <w:szCs w:val="24"/>
        </w:rPr>
        <w:t xml:space="preserve">were </w:t>
      </w:r>
      <w:r w:rsidR="00876C01">
        <w:rPr>
          <w:rFonts w:ascii="Arial" w:hAnsi="Arial" w:cs="Arial"/>
          <w:szCs w:val="24"/>
        </w:rPr>
        <w:t>from 2</w:t>
      </w:r>
      <w:r w:rsidR="00660E9D">
        <w:rPr>
          <w:rFonts w:ascii="Arial" w:hAnsi="Arial" w:cs="Arial"/>
          <w:szCs w:val="24"/>
        </w:rPr>
        <w:t xml:space="preserve"> independent experiments with</w:t>
      </w:r>
      <w:r w:rsidR="00876C01">
        <w:rPr>
          <w:rFonts w:ascii="Arial" w:hAnsi="Arial" w:cs="Arial"/>
          <w:szCs w:val="24"/>
        </w:rPr>
        <w:t xml:space="preserve"> 6 technical replicates per experiment.</w:t>
      </w:r>
      <w:r w:rsidR="00660E9D">
        <w:rPr>
          <w:rFonts w:ascii="Arial" w:hAnsi="Arial" w:cs="Arial"/>
          <w:szCs w:val="24"/>
        </w:rPr>
        <w:t xml:space="preserve"> The error bars are expressed as the standard error of the mean.  </w:t>
      </w:r>
    </w:p>
    <w:p w14:paraId="7B65BC41" w14:textId="77777777" w:rsidR="00DE23E8" w:rsidRPr="001549D3" w:rsidRDefault="00DE23E8" w:rsidP="00654E8F">
      <w:pPr>
        <w:spacing w:before="240"/>
      </w:pPr>
    </w:p>
    <w:sectPr w:rsidR="00DE23E8" w:rsidRPr="001549D3" w:rsidSect="0093429D">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69AD1" w14:textId="77777777" w:rsidR="002C0BB0" w:rsidRDefault="002C0BB0" w:rsidP="00117666">
      <w:pPr>
        <w:spacing w:after="0"/>
      </w:pPr>
      <w:r>
        <w:separator/>
      </w:r>
    </w:p>
  </w:endnote>
  <w:endnote w:type="continuationSeparator" w:id="0">
    <w:p w14:paraId="2C912393" w14:textId="77777777" w:rsidR="002C0BB0" w:rsidRDefault="002C0BB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7C630" w14:textId="77777777" w:rsidR="002C0BB0" w:rsidRDefault="002C0BB0" w:rsidP="00117666">
      <w:pPr>
        <w:spacing w:after="0"/>
      </w:pPr>
      <w:r>
        <w:separator/>
      </w:r>
    </w:p>
  </w:footnote>
  <w:footnote w:type="continuationSeparator" w:id="0">
    <w:p w14:paraId="1E08F7DC" w14:textId="77777777" w:rsidR="002C0BB0" w:rsidRDefault="002C0BB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65E06984"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 xml:space="preserve">Supplementary </w:t>
    </w:r>
    <w:r w:rsidR="0079541B">
      <w:rPr>
        <w:rFonts w:cs="Times New Roman"/>
      </w:rPr>
      <w:t>Figures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xMrM0NjAzsDSytDBX0lEKTi0uzszPAymwrAUAoVpGuSwAAAA="/>
  </w:docVars>
  <w:rsids>
    <w:rsidRoot w:val="00ED20B5"/>
    <w:rsid w:val="0001436A"/>
    <w:rsid w:val="00034304"/>
    <w:rsid w:val="00035434"/>
    <w:rsid w:val="00052A14"/>
    <w:rsid w:val="00077D53"/>
    <w:rsid w:val="000B6E27"/>
    <w:rsid w:val="00105FD9"/>
    <w:rsid w:val="00117666"/>
    <w:rsid w:val="001549D3"/>
    <w:rsid w:val="00160065"/>
    <w:rsid w:val="00177D84"/>
    <w:rsid w:val="001D6A31"/>
    <w:rsid w:val="00267D18"/>
    <w:rsid w:val="00274347"/>
    <w:rsid w:val="002868E2"/>
    <w:rsid w:val="002869C3"/>
    <w:rsid w:val="002936E4"/>
    <w:rsid w:val="002B4A57"/>
    <w:rsid w:val="002C0BB0"/>
    <w:rsid w:val="002C74CA"/>
    <w:rsid w:val="00310DA0"/>
    <w:rsid w:val="003123F4"/>
    <w:rsid w:val="00347B16"/>
    <w:rsid w:val="003544FB"/>
    <w:rsid w:val="003706AC"/>
    <w:rsid w:val="003853CC"/>
    <w:rsid w:val="003D2F2D"/>
    <w:rsid w:val="00401590"/>
    <w:rsid w:val="00447801"/>
    <w:rsid w:val="00452E9C"/>
    <w:rsid w:val="004735C8"/>
    <w:rsid w:val="004756A9"/>
    <w:rsid w:val="004947A6"/>
    <w:rsid w:val="004961FF"/>
    <w:rsid w:val="004C631C"/>
    <w:rsid w:val="00517A89"/>
    <w:rsid w:val="00522F91"/>
    <w:rsid w:val="005250F2"/>
    <w:rsid w:val="00593EEA"/>
    <w:rsid w:val="00594F4D"/>
    <w:rsid w:val="005A5EEE"/>
    <w:rsid w:val="006375C7"/>
    <w:rsid w:val="00654E8F"/>
    <w:rsid w:val="00660D05"/>
    <w:rsid w:val="00660E9D"/>
    <w:rsid w:val="006820B1"/>
    <w:rsid w:val="006B7D14"/>
    <w:rsid w:val="006C64E9"/>
    <w:rsid w:val="006F3DCA"/>
    <w:rsid w:val="00701727"/>
    <w:rsid w:val="0070566C"/>
    <w:rsid w:val="00714C50"/>
    <w:rsid w:val="0071610E"/>
    <w:rsid w:val="00725A7D"/>
    <w:rsid w:val="007501BE"/>
    <w:rsid w:val="00790BB3"/>
    <w:rsid w:val="0079541B"/>
    <w:rsid w:val="007C206C"/>
    <w:rsid w:val="00817DD6"/>
    <w:rsid w:val="0083759F"/>
    <w:rsid w:val="00876C01"/>
    <w:rsid w:val="00885156"/>
    <w:rsid w:val="008B22A2"/>
    <w:rsid w:val="009151AA"/>
    <w:rsid w:val="0092282B"/>
    <w:rsid w:val="0093429D"/>
    <w:rsid w:val="00943573"/>
    <w:rsid w:val="00964134"/>
    <w:rsid w:val="00970F7D"/>
    <w:rsid w:val="00994A3D"/>
    <w:rsid w:val="009C2B12"/>
    <w:rsid w:val="00A174D9"/>
    <w:rsid w:val="00AA4D24"/>
    <w:rsid w:val="00AB61E9"/>
    <w:rsid w:val="00AB6715"/>
    <w:rsid w:val="00AE1978"/>
    <w:rsid w:val="00B1671E"/>
    <w:rsid w:val="00B25EB8"/>
    <w:rsid w:val="00B37F4D"/>
    <w:rsid w:val="00C52A7B"/>
    <w:rsid w:val="00C56BAF"/>
    <w:rsid w:val="00C679AA"/>
    <w:rsid w:val="00C75972"/>
    <w:rsid w:val="00CD066B"/>
    <w:rsid w:val="00CE4FEE"/>
    <w:rsid w:val="00D060CF"/>
    <w:rsid w:val="00D2088F"/>
    <w:rsid w:val="00DB59C3"/>
    <w:rsid w:val="00DC259A"/>
    <w:rsid w:val="00DE23E8"/>
    <w:rsid w:val="00E52377"/>
    <w:rsid w:val="00E537AD"/>
    <w:rsid w:val="00E64E17"/>
    <w:rsid w:val="00E81CAF"/>
    <w:rsid w:val="00E866C9"/>
    <w:rsid w:val="00EA3D3C"/>
    <w:rsid w:val="00EC090A"/>
    <w:rsid w:val="00ED20B5"/>
    <w:rsid w:val="00F46900"/>
    <w:rsid w:val="00F5412D"/>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694421958">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17</TotalTime>
  <Pages>7</Pages>
  <Words>561</Words>
  <Characters>3201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Tai Yee Kit</cp:lastModifiedBy>
  <cp:revision>11</cp:revision>
  <cp:lastPrinted>2013-10-03T12:51:00Z</cp:lastPrinted>
  <dcterms:created xsi:type="dcterms:W3CDTF">2021-12-03T06:42:00Z</dcterms:created>
  <dcterms:modified xsi:type="dcterms:W3CDTF">2022-01-07T09:54:00Z</dcterms:modified>
</cp:coreProperties>
</file>