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25A7" w14:textId="77777777" w:rsidR="000843D0" w:rsidRPr="000843D0" w:rsidRDefault="001105DA" w:rsidP="00FE17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="000843D0" w:rsidRPr="000843D0">
        <w:rPr>
          <w:rFonts w:ascii="Times New Roman" w:hAnsi="Times New Roman" w:cs="Times New Roman"/>
          <w:b/>
          <w:sz w:val="24"/>
          <w:szCs w:val="24"/>
        </w:rPr>
        <w:t xml:space="preserve"> Information for:</w:t>
      </w:r>
    </w:p>
    <w:p w14:paraId="46193449" w14:textId="77777777" w:rsidR="000843D0" w:rsidRPr="000843D0" w:rsidRDefault="000843D0" w:rsidP="00FE17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F7AC56" w14:textId="77777777" w:rsidR="000843D0" w:rsidRPr="000843D0" w:rsidRDefault="001105DA" w:rsidP="00FE17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5DA">
        <w:rPr>
          <w:rFonts w:ascii="Times New Roman" w:hAnsi="Times New Roman" w:cs="Times New Roman"/>
          <w:b/>
          <w:sz w:val="28"/>
          <w:szCs w:val="28"/>
        </w:rPr>
        <w:t>The effect of manipulated prenatal conditions on growth, survival, and reproduction throughout the complete life course of a precocial bird</w:t>
      </w:r>
      <w:r w:rsidR="000843D0" w:rsidRPr="000843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B3495" w14:textId="77777777" w:rsidR="000843D0" w:rsidRPr="000843D0" w:rsidRDefault="000843D0" w:rsidP="00FE17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D3410" w14:textId="77777777" w:rsidR="000843D0" w:rsidRPr="000843D0" w:rsidRDefault="000843D0" w:rsidP="00FE17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GB"/>
        </w:rPr>
      </w:pPr>
      <w:r w:rsidRPr="000843D0">
        <w:rPr>
          <w:rFonts w:ascii="Times New Roman" w:hAnsi="Times New Roman" w:cs="Times New Roman"/>
          <w:sz w:val="24"/>
          <w:szCs w:val="24"/>
          <w:lang w:eastAsia="en-GB"/>
        </w:rPr>
        <w:t xml:space="preserve">Oscar </w:t>
      </w:r>
      <w:proofErr w:type="spellStart"/>
      <w:r w:rsidRPr="000843D0">
        <w:rPr>
          <w:rFonts w:ascii="Times New Roman" w:hAnsi="Times New Roman" w:cs="Times New Roman"/>
          <w:sz w:val="24"/>
          <w:szCs w:val="24"/>
          <w:lang w:eastAsia="en-GB"/>
        </w:rPr>
        <w:t>Vedder</w:t>
      </w:r>
      <w:proofErr w:type="spellEnd"/>
      <w:r w:rsidRPr="000843D0">
        <w:rPr>
          <w:rFonts w:ascii="Times New Roman" w:hAnsi="Times New Roman" w:cs="Times New Roman"/>
          <w:sz w:val="24"/>
          <w:szCs w:val="24"/>
        </w:rPr>
        <w:t xml:space="preserve">, Coraline </w:t>
      </w:r>
      <w:proofErr w:type="spellStart"/>
      <w:r w:rsidRPr="000843D0">
        <w:rPr>
          <w:rFonts w:ascii="Times New Roman" w:hAnsi="Times New Roman" w:cs="Times New Roman"/>
          <w:sz w:val="24"/>
          <w:szCs w:val="24"/>
        </w:rPr>
        <w:t>Bichet</w:t>
      </w:r>
      <w:proofErr w:type="spellEnd"/>
      <w:r w:rsidRPr="000843D0">
        <w:rPr>
          <w:rFonts w:ascii="Times New Roman" w:hAnsi="Times New Roman" w:cs="Times New Roman"/>
          <w:sz w:val="24"/>
          <w:szCs w:val="24"/>
        </w:rPr>
        <w:t xml:space="preserve"> and Barbara </w:t>
      </w:r>
      <w:proofErr w:type="spellStart"/>
      <w:r w:rsidRPr="000843D0">
        <w:rPr>
          <w:rFonts w:ascii="Times New Roman" w:hAnsi="Times New Roman" w:cs="Times New Roman"/>
          <w:sz w:val="24"/>
          <w:szCs w:val="24"/>
        </w:rPr>
        <w:t>Tschirren</w:t>
      </w:r>
      <w:proofErr w:type="spellEnd"/>
    </w:p>
    <w:p w14:paraId="13030E13" w14:textId="77777777" w:rsidR="007C7079" w:rsidRDefault="007C7079" w:rsidP="00110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FB495" w14:textId="77777777" w:rsidR="00DB63CF" w:rsidRDefault="00592890" w:rsidP="001105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Breakpoint</w:t>
      </w:r>
      <w:r w:rsidR="000843D0" w:rsidRPr="000843D0">
        <w:rPr>
          <w:rFonts w:ascii="Times New Roman" w:hAnsi="Times New Roman" w:cs="Times New Roman"/>
          <w:b/>
          <w:sz w:val="28"/>
          <w:szCs w:val="28"/>
        </w:rPr>
        <w:t xml:space="preserve"> models testing the </w:t>
      </w:r>
      <w:r w:rsidR="001105DA">
        <w:rPr>
          <w:rFonts w:ascii="Times New Roman" w:hAnsi="Times New Roman" w:cs="Times New Roman"/>
          <w:b/>
          <w:sz w:val="28"/>
          <w:szCs w:val="28"/>
        </w:rPr>
        <w:t xml:space="preserve">age-specific effect of the incubation treatment on </w:t>
      </w:r>
      <w:r w:rsidR="000843D0" w:rsidRPr="000843D0">
        <w:rPr>
          <w:rFonts w:ascii="Times New Roman" w:hAnsi="Times New Roman" w:cs="Times New Roman"/>
          <w:b/>
          <w:sz w:val="28"/>
          <w:szCs w:val="28"/>
        </w:rPr>
        <w:t>adult body mass</w:t>
      </w:r>
      <w:r w:rsidR="001105DA">
        <w:rPr>
          <w:rFonts w:ascii="Times New Roman" w:hAnsi="Times New Roman" w:cs="Times New Roman"/>
          <w:b/>
          <w:sz w:val="28"/>
          <w:szCs w:val="28"/>
        </w:rPr>
        <w:t xml:space="preserve"> and individual egg mass.</w:t>
      </w:r>
    </w:p>
    <w:p w14:paraId="61FFB57B" w14:textId="77777777" w:rsidR="001105DA" w:rsidRPr="00FE17DD" w:rsidRDefault="001105DA" w:rsidP="001105DA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9E22B8B" w14:textId="77777777" w:rsidR="00D42659" w:rsidRDefault="000843D0" w:rsidP="00D42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DD">
        <w:rPr>
          <w:rFonts w:ascii="Times New Roman" w:hAnsi="Times New Roman" w:cs="Times New Roman"/>
          <w:sz w:val="24"/>
          <w:szCs w:val="24"/>
        </w:rPr>
        <w:t xml:space="preserve">To determine the age at which changes in </w:t>
      </w:r>
      <w:r w:rsidR="00CF20CD">
        <w:rPr>
          <w:rFonts w:ascii="Times New Roman" w:hAnsi="Times New Roman" w:cs="Times New Roman"/>
          <w:sz w:val="24"/>
          <w:szCs w:val="24"/>
        </w:rPr>
        <w:t xml:space="preserve">adult body mass and </w:t>
      </w:r>
      <w:r w:rsidRPr="00FE17DD">
        <w:rPr>
          <w:rFonts w:ascii="Times New Roman" w:hAnsi="Times New Roman" w:cs="Times New Roman"/>
          <w:sz w:val="24"/>
          <w:szCs w:val="24"/>
        </w:rPr>
        <w:t xml:space="preserve">egg mass occurred, </w:t>
      </w:r>
      <w:r w:rsidR="001105DA">
        <w:rPr>
          <w:rFonts w:ascii="Times New Roman" w:hAnsi="Times New Roman" w:cs="Times New Roman"/>
          <w:sz w:val="24"/>
          <w:szCs w:val="24"/>
        </w:rPr>
        <w:t>we constructed</w:t>
      </w:r>
      <w:r w:rsidR="00F33C11">
        <w:rPr>
          <w:rFonts w:ascii="Times New Roman" w:hAnsi="Times New Roman" w:cs="Times New Roman"/>
          <w:sz w:val="24"/>
          <w:szCs w:val="24"/>
        </w:rPr>
        <w:t xml:space="preserve"> </w:t>
      </w:r>
      <w:r w:rsidR="00865900">
        <w:rPr>
          <w:rFonts w:ascii="Times New Roman" w:hAnsi="Times New Roman" w:cs="Times New Roman"/>
          <w:sz w:val="24"/>
          <w:szCs w:val="24"/>
        </w:rPr>
        <w:t>Linear Mixed Models</w:t>
      </w:r>
      <w:r w:rsidR="00CC67BD">
        <w:rPr>
          <w:rFonts w:ascii="Times New Roman" w:hAnsi="Times New Roman" w:cs="Times New Roman"/>
          <w:sz w:val="24"/>
          <w:szCs w:val="24"/>
        </w:rPr>
        <w:t xml:space="preserve"> (LMM)</w:t>
      </w:r>
      <w:r w:rsidR="00865900">
        <w:rPr>
          <w:rFonts w:ascii="Times New Roman" w:hAnsi="Times New Roman" w:cs="Times New Roman"/>
          <w:sz w:val="24"/>
          <w:szCs w:val="24"/>
        </w:rPr>
        <w:t xml:space="preserve">. </w:t>
      </w:r>
      <w:r w:rsidR="00CC67BD">
        <w:rPr>
          <w:rFonts w:ascii="Times New Roman" w:hAnsi="Times New Roman" w:cs="Times New Roman"/>
          <w:sz w:val="24"/>
          <w:szCs w:val="24"/>
        </w:rPr>
        <w:t>For both dependent variables</w:t>
      </w:r>
      <w:r w:rsidR="00865900">
        <w:rPr>
          <w:rFonts w:ascii="Times New Roman" w:hAnsi="Times New Roman" w:cs="Times New Roman"/>
          <w:sz w:val="24"/>
          <w:szCs w:val="24"/>
        </w:rPr>
        <w:t xml:space="preserve">, </w:t>
      </w:r>
      <w:r w:rsidR="00CC67BD">
        <w:rPr>
          <w:rFonts w:ascii="Times New Roman" w:hAnsi="Times New Roman" w:cs="Times New Roman"/>
          <w:sz w:val="24"/>
          <w:szCs w:val="24"/>
        </w:rPr>
        <w:t xml:space="preserve">individual age was categorized to the average age of the </w:t>
      </w:r>
      <w:r w:rsidR="002A667C">
        <w:rPr>
          <w:rFonts w:ascii="Times New Roman" w:hAnsi="Times New Roman" w:cs="Times New Roman"/>
          <w:sz w:val="24"/>
          <w:szCs w:val="24"/>
        </w:rPr>
        <w:t>8</w:t>
      </w:r>
      <w:r w:rsidR="00CC67BD">
        <w:rPr>
          <w:rFonts w:ascii="Times New Roman" w:hAnsi="Times New Roman" w:cs="Times New Roman"/>
          <w:sz w:val="24"/>
          <w:szCs w:val="24"/>
        </w:rPr>
        <w:t xml:space="preserve"> sampling periods (see main text), and </w:t>
      </w:r>
      <w:r w:rsidR="00F33C11">
        <w:rPr>
          <w:rFonts w:ascii="Times New Roman" w:hAnsi="Times New Roman" w:cs="Times New Roman"/>
          <w:sz w:val="24"/>
          <w:szCs w:val="24"/>
        </w:rPr>
        <w:t xml:space="preserve">a </w:t>
      </w:r>
      <w:r w:rsidR="00EC7199">
        <w:rPr>
          <w:rFonts w:ascii="Times New Roman" w:hAnsi="Times New Roman" w:cs="Times New Roman"/>
          <w:sz w:val="24"/>
          <w:szCs w:val="24"/>
        </w:rPr>
        <w:t>breakpoint</w:t>
      </w:r>
      <w:r w:rsidR="00865900">
        <w:rPr>
          <w:rFonts w:ascii="Times New Roman" w:hAnsi="Times New Roman" w:cs="Times New Roman"/>
          <w:sz w:val="24"/>
          <w:szCs w:val="24"/>
        </w:rPr>
        <w:t xml:space="preserve"> was set </w:t>
      </w:r>
      <w:r w:rsidR="00F33C11">
        <w:rPr>
          <w:rFonts w:ascii="Times New Roman" w:hAnsi="Times New Roman" w:cs="Times New Roman"/>
          <w:sz w:val="24"/>
          <w:szCs w:val="24"/>
        </w:rPr>
        <w:t>for</w:t>
      </w:r>
      <w:r w:rsidR="00865900">
        <w:rPr>
          <w:rFonts w:ascii="Times New Roman" w:hAnsi="Times New Roman" w:cs="Times New Roman"/>
          <w:sz w:val="24"/>
          <w:szCs w:val="24"/>
        </w:rPr>
        <w:t xml:space="preserve"> </w:t>
      </w:r>
      <w:r w:rsidR="002A667C">
        <w:rPr>
          <w:rFonts w:ascii="Times New Roman" w:hAnsi="Times New Roman" w:cs="Times New Roman"/>
          <w:sz w:val="24"/>
          <w:szCs w:val="24"/>
        </w:rPr>
        <w:t>all but the last</w:t>
      </w:r>
      <w:r w:rsidR="00865900">
        <w:rPr>
          <w:rFonts w:ascii="Times New Roman" w:hAnsi="Times New Roman" w:cs="Times New Roman"/>
          <w:sz w:val="24"/>
          <w:szCs w:val="24"/>
        </w:rPr>
        <w:t xml:space="preserve"> age category. </w:t>
      </w:r>
      <w:r w:rsidR="001105DA">
        <w:rPr>
          <w:rFonts w:ascii="Times New Roman" w:hAnsi="Times New Roman" w:cs="Times New Roman"/>
          <w:sz w:val="24"/>
          <w:szCs w:val="24"/>
        </w:rPr>
        <w:t xml:space="preserve">We subsequently </w:t>
      </w:r>
      <w:r w:rsidR="00865900">
        <w:rPr>
          <w:rFonts w:ascii="Times New Roman" w:hAnsi="Times New Roman" w:cs="Times New Roman"/>
          <w:sz w:val="24"/>
          <w:szCs w:val="24"/>
        </w:rPr>
        <w:t>ranked these “</w:t>
      </w:r>
      <w:r w:rsidR="00F33C11">
        <w:rPr>
          <w:rFonts w:ascii="Times New Roman" w:hAnsi="Times New Roman" w:cs="Times New Roman"/>
          <w:sz w:val="24"/>
          <w:szCs w:val="24"/>
        </w:rPr>
        <w:t>breakpoint</w:t>
      </w:r>
      <w:r w:rsidR="00865900">
        <w:rPr>
          <w:rFonts w:ascii="Times New Roman" w:hAnsi="Times New Roman" w:cs="Times New Roman"/>
          <w:sz w:val="24"/>
          <w:szCs w:val="24"/>
        </w:rPr>
        <w:t xml:space="preserve"> models” </w:t>
      </w:r>
      <w:r w:rsidRPr="00FE17DD">
        <w:rPr>
          <w:rFonts w:ascii="Times New Roman" w:hAnsi="Times New Roman" w:cs="Times New Roman"/>
          <w:sz w:val="24"/>
          <w:szCs w:val="24"/>
        </w:rPr>
        <w:t xml:space="preserve">using Akaike Information Criterion </w:t>
      </w:r>
      <w:r w:rsidR="00865900">
        <w:rPr>
          <w:rFonts w:ascii="Times New Roman" w:hAnsi="Times New Roman" w:cs="Times New Roman"/>
          <w:sz w:val="24"/>
          <w:szCs w:val="24"/>
        </w:rPr>
        <w:t xml:space="preserve">for small sample size </w:t>
      </w:r>
      <w:r w:rsidRPr="00FE17D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E17DD">
        <w:rPr>
          <w:rFonts w:ascii="Times New Roman" w:hAnsi="Times New Roman" w:cs="Times New Roman"/>
          <w:sz w:val="24"/>
          <w:szCs w:val="24"/>
        </w:rPr>
        <w:t>AIC</w:t>
      </w:r>
      <w:r w:rsidR="0086590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E17D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4AD30A3" w14:textId="77777777" w:rsidR="00D42659" w:rsidRDefault="00EF528E" w:rsidP="00D426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Adult body mass </w:t>
      </w:r>
      <w:r w:rsidR="001105DA">
        <w:rPr>
          <w:rFonts w:ascii="Times New Roman" w:hAnsi="Times New Roman" w:cs="Times New Roman"/>
          <w:iCs/>
          <w:sz w:val="24"/>
          <w:szCs w:val="24"/>
          <w:lang w:val="en-CA"/>
        </w:rPr>
        <w:t>and individual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 w:rsidR="001105DA">
        <w:rPr>
          <w:rFonts w:ascii="Times New Roman" w:hAnsi="Times New Roman" w:cs="Times New Roman"/>
          <w:iCs/>
          <w:sz w:val="24"/>
          <w:szCs w:val="24"/>
          <w:lang w:val="en-CA"/>
        </w:rPr>
        <w:t>egg mass were used as the depende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n</w:t>
      </w:r>
      <w:r w:rsidR="001105DA">
        <w:rPr>
          <w:rFonts w:ascii="Times New Roman" w:hAnsi="Times New Roman" w:cs="Times New Roman"/>
          <w:iCs/>
          <w:sz w:val="24"/>
          <w:szCs w:val="24"/>
          <w:lang w:val="en-CA"/>
        </w:rPr>
        <w:t>t variable,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and the incubation </w:t>
      </w:r>
      <w:r w:rsidR="001105DA">
        <w:rPr>
          <w:rFonts w:ascii="Times New Roman" w:hAnsi="Times New Roman" w:cs="Times New Roman"/>
          <w:iCs/>
          <w:sz w:val="24"/>
          <w:szCs w:val="24"/>
          <w:lang w:val="en-CA"/>
        </w:rPr>
        <w:t>treatment and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 w:rsidR="00865900">
        <w:rPr>
          <w:rFonts w:ascii="Times New Roman" w:hAnsi="Times New Roman" w:cs="Times New Roman"/>
          <w:iCs/>
          <w:sz w:val="24"/>
          <w:szCs w:val="24"/>
          <w:lang w:val="en-CA"/>
        </w:rPr>
        <w:t>each age category</w:t>
      </w:r>
      <w:r w:rsidR="007C7079">
        <w:rPr>
          <w:rFonts w:ascii="Times New Roman" w:hAnsi="Times New Roman" w:cs="Times New Roman"/>
          <w:iCs/>
          <w:sz w:val="24"/>
          <w:szCs w:val="24"/>
          <w:lang w:val="en-CA"/>
        </w:rPr>
        <w:t>,</w:t>
      </w:r>
      <w:r w:rsidR="001105DA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set</w:t>
      </w:r>
      <w:r w:rsidR="0086590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as </w:t>
      </w:r>
      <w:r w:rsidR="001105DA">
        <w:rPr>
          <w:rFonts w:ascii="Times New Roman" w:hAnsi="Times New Roman" w:cs="Times New Roman"/>
          <w:iCs/>
          <w:sz w:val="24"/>
          <w:szCs w:val="24"/>
          <w:lang w:val="en-CA"/>
        </w:rPr>
        <w:t>breakpoint</w:t>
      </w:r>
      <w:r w:rsidR="00865900">
        <w:rPr>
          <w:rFonts w:ascii="Times New Roman" w:hAnsi="Times New Roman" w:cs="Times New Roman"/>
          <w:iCs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 w:rsidR="0086590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were </w:t>
      </w:r>
      <w:r w:rsidR="001105DA">
        <w:rPr>
          <w:rFonts w:ascii="Times New Roman" w:hAnsi="Times New Roman" w:cs="Times New Roman"/>
          <w:iCs/>
          <w:sz w:val="24"/>
          <w:szCs w:val="24"/>
          <w:lang w:val="en-CA"/>
        </w:rPr>
        <w:t>included</w:t>
      </w:r>
      <w:r w:rsidR="0086590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as explanatory</w:t>
      </w:r>
      <w:r w:rsidR="00F33C11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variables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. T</w:t>
      </w:r>
      <w:r w:rsidR="00FE17DD" w:rsidRPr="00FE17DD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he age at last sampling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and the interaction between the </w:t>
      </w:r>
      <w:r w:rsidR="00865900">
        <w:rPr>
          <w:rFonts w:ascii="Times New Roman" w:hAnsi="Times New Roman" w:cs="Times New Roman"/>
          <w:iCs/>
          <w:sz w:val="24"/>
          <w:szCs w:val="24"/>
          <w:lang w:val="en-CA"/>
        </w:rPr>
        <w:t>age category (</w:t>
      </w:r>
      <w:r w:rsidR="00F33C11">
        <w:rPr>
          <w:rFonts w:ascii="Times New Roman" w:hAnsi="Times New Roman" w:cs="Times New Roman"/>
          <w:iCs/>
          <w:sz w:val="24"/>
          <w:szCs w:val="24"/>
          <w:lang w:val="en-CA"/>
        </w:rPr>
        <w:t>breakpoint</w:t>
      </w:r>
      <w:r w:rsidR="00865900">
        <w:rPr>
          <w:rFonts w:ascii="Times New Roman" w:hAnsi="Times New Roman" w:cs="Times New Roman"/>
          <w:iCs/>
          <w:sz w:val="24"/>
          <w:szCs w:val="24"/>
          <w:lang w:val="en-CA"/>
        </w:rPr>
        <w:t>)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and the </w:t>
      </w:r>
      <w:r w:rsidR="001105DA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incubation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treatment were </w:t>
      </w:r>
      <w:r w:rsidR="001105DA">
        <w:rPr>
          <w:rFonts w:ascii="Times New Roman" w:hAnsi="Times New Roman" w:cs="Times New Roman"/>
          <w:iCs/>
          <w:sz w:val="24"/>
          <w:szCs w:val="24"/>
          <w:lang w:val="en-CA"/>
        </w:rPr>
        <w:t>also included as explanatory variables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. </w:t>
      </w:r>
      <w:r w:rsidR="00FE17DD" w:rsidRPr="00FE17DD">
        <w:rPr>
          <w:rFonts w:ascii="Times New Roman" w:hAnsi="Times New Roman" w:cs="Times New Roman"/>
          <w:iCs/>
          <w:sz w:val="24"/>
          <w:szCs w:val="24"/>
          <w:lang w:val="en-CA"/>
        </w:rPr>
        <w:t>These models included parent pair identity, and individual identity (nested within parents) as random effects.</w:t>
      </w:r>
      <w:r w:rsidR="00D4265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All age variables were standardized (by subtracting the mean of the variable from each value and dividing it by the squared variance of the variable). </w:t>
      </w:r>
    </w:p>
    <w:p w14:paraId="632FBF72" w14:textId="77777777" w:rsidR="00EF528E" w:rsidRPr="00D42659" w:rsidRDefault="00EF528E" w:rsidP="00D426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These </w:t>
      </w:r>
      <w:r w:rsidR="00FE17DD" w:rsidRPr="00FE17DD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models were run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using</w:t>
      </w:r>
      <w:r w:rsidR="00D4745E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the function “</w:t>
      </w:r>
      <w:proofErr w:type="spellStart"/>
      <w:r w:rsidR="00D4745E">
        <w:rPr>
          <w:rFonts w:ascii="Times New Roman" w:hAnsi="Times New Roman" w:cs="Times New Roman"/>
          <w:iCs/>
          <w:sz w:val="24"/>
          <w:szCs w:val="24"/>
          <w:lang w:val="en-CA"/>
        </w:rPr>
        <w:t>lmer</w:t>
      </w:r>
      <w:proofErr w:type="spellEnd"/>
      <w:r w:rsidR="00D4745E">
        <w:rPr>
          <w:rFonts w:ascii="Times New Roman" w:hAnsi="Times New Roman" w:cs="Times New Roman"/>
          <w:iCs/>
          <w:sz w:val="24"/>
          <w:szCs w:val="24"/>
          <w:lang w:val="en-CA"/>
        </w:rPr>
        <w:t>” in the package “lme4” (Bates et al., 2015</w:t>
      </w:r>
      <w:r w:rsidR="00D4745E" w:rsidRPr="00D4745E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) </w:t>
      </w:r>
      <w:r w:rsidR="0086590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and the </w:t>
      </w:r>
      <w:r w:rsidR="00F33C11">
        <w:rPr>
          <w:rFonts w:ascii="Times New Roman" w:hAnsi="Times New Roman" w:cs="Times New Roman"/>
          <w:iCs/>
          <w:sz w:val="24"/>
          <w:szCs w:val="24"/>
          <w:lang w:val="en-CA"/>
        </w:rPr>
        <w:t>breakpoints</w:t>
      </w:r>
      <w:r w:rsidR="0086590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were set using the function “bs” from the package “splines” </w:t>
      </w:r>
      <w:r w:rsidR="00D4745E" w:rsidRPr="00D4745E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implemented in </w:t>
      </w:r>
      <w:r w:rsidR="00D4745E" w:rsidRPr="00D4745E">
        <w:rPr>
          <w:rFonts w:ascii="Times New Roman" w:hAnsi="Times New Roman" w:cs="Times New Roman"/>
          <w:color w:val="000000"/>
          <w:sz w:val="24"/>
          <w:szCs w:val="24"/>
        </w:rPr>
        <w:t>R 3.6.1 (R Core Team, 2014).</w:t>
      </w:r>
      <w:r w:rsidR="00FE17DD" w:rsidRPr="00FE17DD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</w:p>
    <w:p w14:paraId="39D05746" w14:textId="77777777" w:rsidR="00EF528E" w:rsidRDefault="00EF528E" w:rsidP="003A025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08B0F0A0" w14:textId="77777777" w:rsidR="001E59CC" w:rsidRDefault="00CF20CD" w:rsidP="003A025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For adult body mass, the best model 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>was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given by a </w:t>
      </w:r>
      <w:r w:rsidR="00F33C11">
        <w:rPr>
          <w:rFonts w:ascii="Times New Roman" w:hAnsi="Times New Roman" w:cs="Times New Roman"/>
          <w:iCs/>
          <w:sz w:val="24"/>
          <w:szCs w:val="24"/>
          <w:lang w:val="en-CA"/>
        </w:rPr>
        <w:t>breakpoint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set</w:t>
      </w:r>
      <w:r w:rsidR="0086590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at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an age of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404 days.</w:t>
      </w:r>
      <w:r w:rsidR="0059289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 w:rsidR="003A025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For 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individual </w:t>
      </w:r>
      <w:r w:rsidR="003A025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egg mass, the best model 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>was</w:t>
      </w:r>
      <w:r w:rsidR="003A025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given by a </w:t>
      </w:r>
      <w:r w:rsidR="00F33C11">
        <w:rPr>
          <w:rFonts w:ascii="Times New Roman" w:hAnsi="Times New Roman" w:cs="Times New Roman"/>
          <w:iCs/>
          <w:sz w:val="24"/>
          <w:szCs w:val="24"/>
          <w:lang w:val="en-CA"/>
        </w:rPr>
        <w:t>breakpoint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set</w:t>
      </w:r>
      <w:r w:rsidR="003A0259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at 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an age of </w:t>
      </w:r>
      <w:r w:rsidR="00EC58F6">
        <w:rPr>
          <w:rFonts w:ascii="Times New Roman" w:hAnsi="Times New Roman" w:cs="Times New Roman"/>
          <w:iCs/>
          <w:sz w:val="24"/>
          <w:szCs w:val="24"/>
          <w:lang w:val="en-CA"/>
        </w:rPr>
        <w:t>243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days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>.</w:t>
      </w:r>
    </w:p>
    <w:p w14:paraId="070BD596" w14:textId="77777777" w:rsidR="003A0259" w:rsidRDefault="003A0259" w:rsidP="001E59C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The estimates of these two models are presented in Table S1. The 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>association between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</w:t>
      </w:r>
      <w:r w:rsidR="00CF20CD">
        <w:rPr>
          <w:rFonts w:ascii="Times New Roman" w:hAnsi="Times New Roman" w:cs="Times New Roman"/>
          <w:iCs/>
          <w:sz w:val="24"/>
          <w:szCs w:val="24"/>
          <w:lang w:val="en-CA"/>
        </w:rPr>
        <w:t>adult body mass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and 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individual </w:t>
      </w:r>
      <w:r w:rsidR="00CF20CD">
        <w:rPr>
          <w:rFonts w:ascii="Times New Roman" w:hAnsi="Times New Roman" w:cs="Times New Roman"/>
          <w:iCs/>
          <w:sz w:val="24"/>
          <w:szCs w:val="24"/>
          <w:lang w:val="en-CA"/>
        </w:rPr>
        <w:t>egg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mass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with age 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>(set</w:t>
      </w:r>
      <w:r w:rsidR="002A667C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as</w:t>
      </w:r>
      <w:r w:rsidR="0010554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breakpoint</w:t>
      </w:r>
      <w:r w:rsidR="002A667C">
        <w:rPr>
          <w:rFonts w:ascii="Times New Roman" w:hAnsi="Times New Roman" w:cs="Times New Roman"/>
          <w:iCs/>
          <w:sz w:val="24"/>
          <w:szCs w:val="24"/>
          <w:lang w:val="en-CA"/>
        </w:rPr>
        <w:t>s</w:t>
      </w:r>
      <w:r w:rsidR="0010554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) </w:t>
      </w:r>
      <w:r w:rsidR="00CC67BD">
        <w:rPr>
          <w:rFonts w:ascii="Times New Roman" w:hAnsi="Times New Roman" w:cs="Times New Roman"/>
          <w:iCs/>
          <w:sz w:val="24"/>
          <w:szCs w:val="24"/>
          <w:lang w:val="en-CA"/>
        </w:rPr>
        <w:t>per incubation treatment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are presented in Figure S1A and S1B, respectively. </w:t>
      </w:r>
    </w:p>
    <w:tbl>
      <w:tblPr>
        <w:tblpPr w:leftFromText="180" w:rightFromText="180" w:vertAnchor="text" w:horzAnchor="margin" w:tblpY="2029"/>
        <w:tblW w:w="10112" w:type="dxa"/>
        <w:tblLook w:val="04A0" w:firstRow="1" w:lastRow="0" w:firstColumn="1" w:lastColumn="0" w:noHBand="0" w:noVBand="1"/>
      </w:tblPr>
      <w:tblGrid>
        <w:gridCol w:w="4253"/>
        <w:gridCol w:w="1417"/>
        <w:gridCol w:w="703"/>
        <w:gridCol w:w="790"/>
        <w:gridCol w:w="1342"/>
        <w:gridCol w:w="806"/>
        <w:gridCol w:w="801"/>
      </w:tblGrid>
      <w:tr w:rsidR="0097406E" w:rsidRPr="000B4D1A" w14:paraId="71FD8BCB" w14:textId="77777777" w:rsidTr="0097406E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9C74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B4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lastRenderedPageBreak/>
              <w:t>Dependent variable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7FA7C" w14:textId="77777777" w:rsidR="0097406E" w:rsidRPr="00A667CF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A667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A. Adult body mass</w:t>
            </w:r>
          </w:p>
          <w:p w14:paraId="3B915A10" w14:textId="77777777" w:rsid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CF20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(n = 740 measurements of 178 females from 84 parent pairs)</w:t>
            </w:r>
          </w:p>
          <w:p w14:paraId="5238EAAF" w14:textId="77777777" w:rsidR="0097406E" w:rsidRPr="00A667CF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667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Breakpoint at 404 days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0115D" w14:textId="77777777" w:rsidR="0097406E" w:rsidRPr="00A667CF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A667C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B. Egg mass</w:t>
            </w:r>
          </w:p>
          <w:p w14:paraId="6DF71C29" w14:textId="77777777" w:rsid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CF20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(n = 2968 measurements of 176 females from 83 parent pairs)</w:t>
            </w:r>
          </w:p>
          <w:p w14:paraId="3C004901" w14:textId="77777777" w:rsidR="0097406E" w:rsidRPr="00A667CF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667C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Breakpoint at 243 days</w:t>
            </w:r>
          </w:p>
        </w:tc>
      </w:tr>
      <w:tr w:rsidR="0097406E" w:rsidRPr="000B4D1A" w14:paraId="699EA2BD" w14:textId="77777777" w:rsidTr="0097406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8E22F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B4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Parameter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9ED3B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B4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Estimate ± SE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EC732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B4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t value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CD667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B4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p-value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A1665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B4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Estimate ± SE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9E699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B4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t value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0677B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B4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p-value</w:t>
            </w:r>
          </w:p>
        </w:tc>
      </w:tr>
      <w:tr w:rsidR="0097406E" w:rsidRPr="000B4D1A" w14:paraId="149FA8FD" w14:textId="77777777" w:rsidTr="0097406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0A53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Intercept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56C793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 xml:space="preserve">253.35 </w:t>
            </w: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 3.00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F333FCC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84.43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C235671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2B80504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10.42 ± 0.11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8A54DBC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93.77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08A3F2A0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97406E" w:rsidRPr="000B4D1A" w14:paraId="7D0D4D5E" w14:textId="77777777" w:rsidTr="0097406E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A29D" w14:textId="77777777" w:rsidR="0097406E" w:rsidRPr="0097406E" w:rsidRDefault="002D4EDE" w:rsidP="00FA3A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Incubation </w:t>
            </w:r>
            <w:r w:rsidR="00FA3A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treatment</w:t>
            </w:r>
            <w:r w:rsidR="0097406E"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7406E" w:rsidRPr="0097406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(ref = 37.7°C)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C53D6B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-4.45 ± 3.56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4D230A7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-1.25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EA13708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0.212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69C908DE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0.11 ± 0.12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0661A1E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0.91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4804D933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0.367</w:t>
            </w:r>
          </w:p>
        </w:tc>
      </w:tr>
      <w:tr w:rsidR="0097406E" w:rsidRPr="000B4D1A" w14:paraId="021650AE" w14:textId="77777777" w:rsidTr="0097406E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5E192C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 before breakpoint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6EF85093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16.40 ± 2.69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4737FBF5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49C9CDC8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&lt;0.001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 w14:paraId="5DE83B16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1.82 ± 0.05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14:paraId="312F9522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40.31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09790089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97406E" w:rsidRPr="000B4D1A" w14:paraId="44552580" w14:textId="77777777" w:rsidTr="0097406E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21CC93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 after breakpoint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4B1E113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2.14 ± 4.37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37144CD3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0.49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20D419F7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0.625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 w14:paraId="03F4CE02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1.68 ± 0.09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14:paraId="618FDBD2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18.25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66F0F0DC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en-GB"/>
              </w:rPr>
              <w:t>&lt;0.001</w:t>
            </w:r>
          </w:p>
        </w:tc>
      </w:tr>
      <w:tr w:rsidR="0097406E" w:rsidRPr="000B4D1A" w14:paraId="3FE095A0" w14:textId="77777777" w:rsidTr="0097406E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8C89D4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 at last sampling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579033D3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-0.19 ± 1.54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52210D21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-0.12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59017EE8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0.904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 w14:paraId="296E74E8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0.04 ± 0.07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14:paraId="0D87ADF8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0.67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2929B3B9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0.507</w:t>
            </w:r>
          </w:p>
        </w:tc>
      </w:tr>
      <w:tr w:rsidR="0097406E" w:rsidRPr="000B4D1A" w14:paraId="0108E6E8" w14:textId="77777777" w:rsidTr="0097406E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D8F7AA" w14:textId="77777777" w:rsidR="0097406E" w:rsidRPr="0097406E" w:rsidRDefault="00FA3A62" w:rsidP="00FA3A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Incubation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treatment</w:t>
            </w:r>
            <w:r w:rsidR="0097406E"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:Age</w:t>
            </w:r>
            <w:proofErr w:type="spellEnd"/>
            <w:r w:rsidR="0097406E"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before breakpoint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FA1F4C0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1.16 ± 4.05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533721DF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0.29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051B43BA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0.776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 w14:paraId="0201F6A3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-0.02 ± 0.07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14:paraId="205F8A4F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-0.34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0C49A9EF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0.732</w:t>
            </w:r>
          </w:p>
        </w:tc>
      </w:tr>
      <w:tr w:rsidR="0097406E" w:rsidRPr="000B4D1A" w14:paraId="3648E741" w14:textId="77777777" w:rsidTr="0097406E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D8F04C8" w14:textId="77777777" w:rsidR="0097406E" w:rsidRPr="0097406E" w:rsidRDefault="00FA3A62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Incubation treatment</w:t>
            </w:r>
            <w:r w:rsidR="0097406E"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:Age after breakpoint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2B756D6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-10.53 ± 6.40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4E8AF714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1.64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4435A1F8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0.101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 w14:paraId="5893808F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0.20 ± 0.15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14:paraId="2DB7C325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1.34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7DC62A12" w14:textId="77777777" w:rsidR="0097406E" w:rsidRPr="0097406E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7406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0.180</w:t>
            </w:r>
          </w:p>
        </w:tc>
      </w:tr>
      <w:tr w:rsidR="0097406E" w:rsidRPr="000B4D1A" w14:paraId="507F831F" w14:textId="77777777" w:rsidTr="0097406E">
        <w:trPr>
          <w:trHeight w:val="255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5DC860D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80F679C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220678B5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14:paraId="6D517199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</w:tcPr>
          <w:p w14:paraId="687FDD1C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</w:tcPr>
          <w:p w14:paraId="0C5275FC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5284ECDC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7406E" w:rsidRPr="000B4D1A" w14:paraId="294DA920" w14:textId="77777777" w:rsidTr="0097406E">
        <w:trPr>
          <w:trHeight w:val="255"/>
        </w:trPr>
        <w:tc>
          <w:tcPr>
            <w:tcW w:w="4253" w:type="dxa"/>
            <w:tcBorders>
              <w:left w:val="nil"/>
              <w:right w:val="nil"/>
            </w:tcBorders>
            <w:shd w:val="clear" w:color="auto" w:fill="auto"/>
            <w:noWrap/>
          </w:tcPr>
          <w:p w14:paraId="46D615E0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B4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Random female ID nested in parent pair ID</w:t>
            </w:r>
          </w:p>
          <w:p w14:paraId="1E121582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B4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(variance ± SD)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6CFDB9E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124.8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 11.17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5F290980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</w:tcPr>
          <w:p w14:paraId="445E49D1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2" w:type="dxa"/>
            <w:tcBorders>
              <w:left w:val="nil"/>
              <w:right w:val="nil"/>
            </w:tcBorders>
          </w:tcPr>
          <w:p w14:paraId="7042BA5A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0.31 ± 0.55</w:t>
            </w:r>
          </w:p>
        </w:tc>
        <w:tc>
          <w:tcPr>
            <w:tcW w:w="806" w:type="dxa"/>
            <w:tcBorders>
              <w:left w:val="nil"/>
              <w:right w:val="nil"/>
            </w:tcBorders>
          </w:tcPr>
          <w:p w14:paraId="4AF41052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1" w:type="dxa"/>
            <w:tcBorders>
              <w:left w:val="nil"/>
              <w:right w:val="nil"/>
            </w:tcBorders>
          </w:tcPr>
          <w:p w14:paraId="1022FCEC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7406E" w:rsidRPr="000B4D1A" w14:paraId="2F64D2E2" w14:textId="77777777" w:rsidTr="0097406E">
        <w:trPr>
          <w:trHeight w:val="255"/>
        </w:trPr>
        <w:tc>
          <w:tcPr>
            <w:tcW w:w="42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5DFDBA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0B4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Random parent pair ID</w:t>
            </w:r>
          </w:p>
          <w:p w14:paraId="67DB9EE3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0B4D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(variance ± SD)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6F6B4DE4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283.5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± 16.84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</w:tcPr>
          <w:p w14:paraId="02982575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0" w:type="dxa"/>
            <w:tcBorders>
              <w:left w:val="nil"/>
              <w:bottom w:val="single" w:sz="4" w:space="0" w:color="auto"/>
              <w:right w:val="nil"/>
            </w:tcBorders>
          </w:tcPr>
          <w:p w14:paraId="21E1B646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2" w:type="dxa"/>
            <w:tcBorders>
              <w:left w:val="nil"/>
              <w:bottom w:val="single" w:sz="4" w:space="0" w:color="auto"/>
              <w:right w:val="nil"/>
            </w:tcBorders>
          </w:tcPr>
          <w:p w14:paraId="6B1A5AD2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0.52 ± 0.72</w:t>
            </w:r>
          </w:p>
        </w:tc>
        <w:tc>
          <w:tcPr>
            <w:tcW w:w="806" w:type="dxa"/>
            <w:tcBorders>
              <w:left w:val="nil"/>
              <w:bottom w:val="single" w:sz="4" w:space="0" w:color="auto"/>
              <w:right w:val="nil"/>
            </w:tcBorders>
          </w:tcPr>
          <w:p w14:paraId="6D1B0E64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</w:tcPr>
          <w:p w14:paraId="420405F1" w14:textId="77777777" w:rsidR="0097406E" w:rsidRPr="000B4D1A" w:rsidRDefault="0097406E" w:rsidP="009740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9FAE3E5" w14:textId="77777777" w:rsidR="00EC58F6" w:rsidRPr="007759BB" w:rsidRDefault="0097406E" w:rsidP="00EC58F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D46E1">
        <w:rPr>
          <w:b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F15B6E1" wp14:editId="5F15C9F3">
            <wp:simplePos x="0" y="0"/>
            <wp:positionH relativeFrom="margin">
              <wp:posOffset>-454025</wp:posOffset>
            </wp:positionH>
            <wp:positionV relativeFrom="paragraph">
              <wp:posOffset>4078605</wp:posOffset>
            </wp:positionV>
            <wp:extent cx="6973570" cy="351726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8F6" w:rsidRPr="00ED46E1">
        <w:rPr>
          <w:rFonts w:ascii="Times New Roman" w:hAnsi="Times New Roman"/>
          <w:b/>
          <w:sz w:val="24"/>
          <w:szCs w:val="24"/>
        </w:rPr>
        <w:t>Table S1</w:t>
      </w:r>
      <w:r w:rsidR="00EC58F6" w:rsidRPr="007759BB">
        <w:rPr>
          <w:rFonts w:ascii="Times New Roman" w:hAnsi="Times New Roman"/>
          <w:sz w:val="24"/>
          <w:szCs w:val="24"/>
        </w:rPr>
        <w:t xml:space="preserve">: </w:t>
      </w:r>
      <w:r w:rsidR="00EC58F6">
        <w:rPr>
          <w:rFonts w:ascii="Times New Roman" w:hAnsi="Times New Roman"/>
          <w:sz w:val="24"/>
          <w:szCs w:val="24"/>
        </w:rPr>
        <w:t xml:space="preserve">Parameter estimates of the </w:t>
      </w:r>
      <w:r w:rsidR="00865900">
        <w:rPr>
          <w:rFonts w:ascii="Times New Roman" w:hAnsi="Times New Roman"/>
          <w:sz w:val="24"/>
          <w:szCs w:val="24"/>
        </w:rPr>
        <w:t>LMM</w:t>
      </w:r>
      <w:r w:rsidR="00CC67BD">
        <w:rPr>
          <w:rFonts w:ascii="Times New Roman" w:hAnsi="Times New Roman"/>
          <w:sz w:val="24"/>
          <w:szCs w:val="24"/>
        </w:rPr>
        <w:t>,</w:t>
      </w:r>
      <w:r w:rsidR="00865900">
        <w:rPr>
          <w:rFonts w:ascii="Times New Roman" w:hAnsi="Times New Roman"/>
          <w:sz w:val="24"/>
          <w:szCs w:val="24"/>
        </w:rPr>
        <w:t xml:space="preserve"> with age categories set as </w:t>
      </w:r>
      <w:r w:rsidR="00592890">
        <w:rPr>
          <w:rFonts w:ascii="Times New Roman" w:hAnsi="Times New Roman"/>
          <w:sz w:val="24"/>
          <w:szCs w:val="24"/>
        </w:rPr>
        <w:t>breakpoint</w:t>
      </w:r>
      <w:r w:rsidR="00CC67BD">
        <w:rPr>
          <w:rFonts w:ascii="Times New Roman" w:hAnsi="Times New Roman"/>
          <w:sz w:val="24"/>
          <w:szCs w:val="24"/>
        </w:rPr>
        <w:t>,</w:t>
      </w:r>
      <w:r w:rsidR="00EC58F6">
        <w:rPr>
          <w:rFonts w:ascii="Times New Roman" w:hAnsi="Times New Roman"/>
          <w:sz w:val="24"/>
          <w:szCs w:val="24"/>
        </w:rPr>
        <w:t xml:space="preserve"> testing for incubation </w:t>
      </w:r>
      <w:r w:rsidR="00CC67BD">
        <w:rPr>
          <w:rFonts w:ascii="Times New Roman" w:hAnsi="Times New Roman"/>
          <w:sz w:val="24"/>
          <w:szCs w:val="24"/>
        </w:rPr>
        <w:t>treatment effects</w:t>
      </w:r>
      <w:r w:rsidR="00EC58F6">
        <w:rPr>
          <w:rFonts w:ascii="Times New Roman" w:hAnsi="Times New Roman"/>
          <w:sz w:val="24"/>
          <w:szCs w:val="24"/>
        </w:rPr>
        <w:t xml:space="preserve"> on age-specific </w:t>
      </w:r>
      <w:r w:rsidR="00CC67BD">
        <w:rPr>
          <w:rFonts w:ascii="Times New Roman" w:hAnsi="Times New Roman"/>
          <w:sz w:val="24"/>
          <w:szCs w:val="24"/>
        </w:rPr>
        <w:t>(A) adult body mass,</w:t>
      </w:r>
      <w:r w:rsidR="00EC58F6">
        <w:rPr>
          <w:rFonts w:ascii="Times New Roman" w:hAnsi="Times New Roman"/>
          <w:sz w:val="24"/>
          <w:szCs w:val="24"/>
        </w:rPr>
        <w:t xml:space="preserve"> and </w:t>
      </w:r>
      <w:r w:rsidR="00CC67BD">
        <w:rPr>
          <w:rFonts w:ascii="Times New Roman" w:hAnsi="Times New Roman"/>
          <w:sz w:val="24"/>
          <w:szCs w:val="24"/>
        </w:rPr>
        <w:t>(B) individual egg mass</w:t>
      </w:r>
      <w:r w:rsidR="00EC58F6">
        <w:rPr>
          <w:rFonts w:ascii="Times New Roman" w:hAnsi="Times New Roman"/>
          <w:sz w:val="24"/>
          <w:szCs w:val="24"/>
        </w:rPr>
        <w:t xml:space="preserve">. </w:t>
      </w:r>
    </w:p>
    <w:p w14:paraId="3905A015" w14:textId="77777777" w:rsidR="00FA3581" w:rsidRDefault="00EC58F6" w:rsidP="00FA35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 w:rsidRPr="006A02DB">
        <w:rPr>
          <w:rFonts w:ascii="Times New Roman" w:hAnsi="Times New Roman"/>
          <w:sz w:val="18"/>
          <w:szCs w:val="18"/>
        </w:rPr>
        <w:t xml:space="preserve"> SE, standard error; SD, standard deviation</w:t>
      </w:r>
    </w:p>
    <w:p w14:paraId="27DB21F1" w14:textId="77777777" w:rsidR="00865900" w:rsidRPr="00FA3581" w:rsidRDefault="00865900" w:rsidP="00FA35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</w:p>
    <w:p w14:paraId="1CB1EC00" w14:textId="77777777" w:rsidR="00123854" w:rsidRPr="00E54EE7" w:rsidRDefault="009A70F6" w:rsidP="003A025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97406E">
        <w:rPr>
          <w:rFonts w:ascii="Times New Roman" w:hAnsi="Times New Roman" w:cs="Times New Roman"/>
          <w:b/>
          <w:iCs/>
          <w:sz w:val="24"/>
          <w:szCs w:val="24"/>
          <w:lang w:val="en-CA"/>
        </w:rPr>
        <w:t>Figure S1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Age-specific variation in (A) body mass and (B) </w:t>
      </w:r>
      <w:r w:rsidR="0097406E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individual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egg mass </w:t>
      </w:r>
      <w:r w:rsidR="0097406E">
        <w:rPr>
          <w:rFonts w:ascii="Times New Roman" w:hAnsi="Times New Roman" w:cs="Times New Roman"/>
          <w:iCs/>
          <w:sz w:val="24"/>
          <w:szCs w:val="24"/>
          <w:lang w:val="en-CA"/>
        </w:rPr>
        <w:t>per incubation treatment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(red for </w:t>
      </w:r>
      <w:r>
        <w:rPr>
          <w:rFonts w:ascii="Times New Roman" w:hAnsi="Times New Roman" w:cs="Times New Roman"/>
          <w:sz w:val="24"/>
          <w:szCs w:val="24"/>
        </w:rPr>
        <w:t xml:space="preserve">37.7 </w:t>
      </w:r>
      <w:proofErr w:type="spellStart"/>
      <w:r w:rsidRPr="00AD2E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blue for 36.0 </w:t>
      </w:r>
      <w:proofErr w:type="spellStart"/>
      <w:r w:rsidRPr="00AD2E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Circles represent the mean </w:t>
      </w:r>
      <w:r w:rsidR="0097406E">
        <w:rPr>
          <w:rFonts w:ascii="Times New Roman" w:hAnsi="Times New Roman" w:cs="Times New Roman"/>
          <w:sz w:val="24"/>
          <w:szCs w:val="24"/>
        </w:rPr>
        <w:t xml:space="preserve">adult body mass and individual egg mass for each age category, </w:t>
      </w:r>
      <w:r>
        <w:rPr>
          <w:rFonts w:ascii="Times New Roman" w:hAnsi="Times New Roman" w:cs="Times New Roman"/>
          <w:sz w:val="24"/>
          <w:szCs w:val="24"/>
        </w:rPr>
        <w:t>with standard errors. Solid lines represent the prediction of the best breakpoint models</w:t>
      </w:r>
      <w:r w:rsidR="00974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their </w:t>
      </w:r>
      <w:r w:rsidRPr="00163F95">
        <w:rPr>
          <w:rFonts w:ascii="Times New Roman" w:hAnsi="Times New Roman"/>
          <w:sz w:val="24"/>
          <w:szCs w:val="24"/>
        </w:rPr>
        <w:t>95% c</w:t>
      </w:r>
      <w:r w:rsidR="0097406E">
        <w:rPr>
          <w:rFonts w:ascii="Times New Roman" w:hAnsi="Times New Roman"/>
          <w:sz w:val="24"/>
          <w:szCs w:val="24"/>
        </w:rPr>
        <w:t>onfidence</w:t>
      </w:r>
      <w:r w:rsidRPr="00163F95">
        <w:rPr>
          <w:rFonts w:ascii="Times New Roman" w:hAnsi="Times New Roman"/>
          <w:sz w:val="24"/>
          <w:szCs w:val="24"/>
        </w:rPr>
        <w:t xml:space="preserve"> intervals</w:t>
      </w:r>
      <w:r>
        <w:rPr>
          <w:rFonts w:ascii="Times New Roman" w:hAnsi="Times New Roman"/>
          <w:sz w:val="24"/>
          <w:szCs w:val="24"/>
        </w:rPr>
        <w:t>.</w:t>
      </w:r>
    </w:p>
    <w:p w14:paraId="70B7807B" w14:textId="77777777" w:rsidR="000843D0" w:rsidRPr="00D4745E" w:rsidRDefault="00D4745E" w:rsidP="00FE17DD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CA"/>
        </w:rPr>
      </w:pPr>
      <w:r w:rsidRPr="00D4745E">
        <w:rPr>
          <w:rFonts w:ascii="Times New Roman" w:hAnsi="Times New Roman" w:cs="Times New Roman"/>
          <w:b/>
          <w:iCs/>
          <w:sz w:val="24"/>
          <w:szCs w:val="24"/>
          <w:lang w:val="en-CA"/>
        </w:rPr>
        <w:lastRenderedPageBreak/>
        <w:t>References</w:t>
      </w:r>
    </w:p>
    <w:p w14:paraId="4AC8EFA3" w14:textId="77777777" w:rsidR="00D4745E" w:rsidRPr="00865900" w:rsidRDefault="00D4745E" w:rsidP="00D4745E">
      <w:pPr>
        <w:pStyle w:val="NormalWeb"/>
        <w:spacing w:before="0" w:beforeAutospacing="0" w:after="0" w:afterAutospacing="0" w:line="480" w:lineRule="auto"/>
        <w:ind w:left="284" w:hanging="284"/>
        <w:jc w:val="both"/>
        <w:rPr>
          <w:color w:val="000000"/>
          <w:lang w:val="en-GB"/>
        </w:rPr>
      </w:pPr>
      <w:r w:rsidRPr="00D4745E">
        <w:rPr>
          <w:color w:val="000000"/>
          <w:lang w:val="en-GB"/>
        </w:rPr>
        <w:t xml:space="preserve">Bates, D., </w:t>
      </w:r>
      <w:proofErr w:type="spellStart"/>
      <w:r w:rsidRPr="00D4745E">
        <w:rPr>
          <w:color w:val="000000"/>
          <w:lang w:val="en-GB"/>
        </w:rPr>
        <w:t>Maechler</w:t>
      </w:r>
      <w:proofErr w:type="spellEnd"/>
      <w:r w:rsidRPr="00D4745E">
        <w:rPr>
          <w:color w:val="000000"/>
          <w:lang w:val="en-GB"/>
        </w:rPr>
        <w:t xml:space="preserve">, M., </w:t>
      </w:r>
      <w:proofErr w:type="spellStart"/>
      <w:r w:rsidRPr="00D4745E">
        <w:rPr>
          <w:color w:val="000000"/>
          <w:lang w:val="en-GB"/>
        </w:rPr>
        <w:t>Bolker</w:t>
      </w:r>
      <w:proofErr w:type="spellEnd"/>
      <w:r w:rsidRPr="00D4745E">
        <w:rPr>
          <w:color w:val="000000"/>
          <w:lang w:val="en-GB"/>
        </w:rPr>
        <w:t xml:space="preserve">, B. M., &amp; Walker, S. C. (2015). Fitting Linear Mixed-Effects Models Using lme4. </w:t>
      </w:r>
      <w:r w:rsidRPr="00865900">
        <w:rPr>
          <w:i/>
          <w:iCs/>
          <w:color w:val="000000"/>
          <w:lang w:val="en-GB"/>
        </w:rPr>
        <w:t>Journal of Statistical Software</w:t>
      </w:r>
      <w:r w:rsidRPr="00865900">
        <w:rPr>
          <w:color w:val="000000"/>
          <w:lang w:val="en-GB"/>
        </w:rPr>
        <w:t xml:space="preserve">, </w:t>
      </w:r>
      <w:r w:rsidR="00743A4E">
        <w:rPr>
          <w:iCs/>
          <w:color w:val="000000"/>
          <w:lang w:val="en-GB"/>
        </w:rPr>
        <w:t>67</w:t>
      </w:r>
      <w:r w:rsidRPr="00865900">
        <w:rPr>
          <w:color w:val="000000"/>
          <w:lang w:val="en-GB"/>
        </w:rPr>
        <w:t>, 1–48.</w:t>
      </w:r>
    </w:p>
    <w:p w14:paraId="199E0AEC" w14:textId="77777777" w:rsidR="000843D0" w:rsidRPr="00865900" w:rsidRDefault="00D4745E" w:rsidP="00CF20CD">
      <w:pPr>
        <w:pStyle w:val="NormalWeb"/>
        <w:spacing w:before="0" w:beforeAutospacing="0" w:after="0" w:afterAutospacing="0" w:line="480" w:lineRule="auto"/>
        <w:ind w:left="284" w:hanging="284"/>
        <w:jc w:val="both"/>
        <w:rPr>
          <w:lang w:val="en-GB"/>
        </w:rPr>
      </w:pPr>
      <w:r w:rsidRPr="00865900">
        <w:rPr>
          <w:color w:val="000000"/>
          <w:lang w:val="en-GB"/>
        </w:rPr>
        <w:t xml:space="preserve">R Core Team. (2014). </w:t>
      </w:r>
      <w:r w:rsidRPr="00865900">
        <w:rPr>
          <w:i/>
          <w:iCs/>
          <w:color w:val="000000"/>
          <w:lang w:val="en-GB"/>
        </w:rPr>
        <w:t>R: A language and environment for statistical   computing</w:t>
      </w:r>
      <w:r w:rsidRPr="00865900">
        <w:rPr>
          <w:color w:val="000000"/>
          <w:lang w:val="en-GB"/>
        </w:rPr>
        <w:t>. R Foundation for Statistical Computing. http://www.R-project.org/</w:t>
      </w:r>
    </w:p>
    <w:sectPr w:rsidR="000843D0" w:rsidRPr="0086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D0"/>
    <w:rsid w:val="00082B8B"/>
    <w:rsid w:val="000843D0"/>
    <w:rsid w:val="000B4D1A"/>
    <w:rsid w:val="000B512A"/>
    <w:rsid w:val="00105540"/>
    <w:rsid w:val="001105DA"/>
    <w:rsid w:val="00123854"/>
    <w:rsid w:val="001E59CC"/>
    <w:rsid w:val="002A667C"/>
    <w:rsid w:val="002D4EDE"/>
    <w:rsid w:val="003A0259"/>
    <w:rsid w:val="00592890"/>
    <w:rsid w:val="005A1C37"/>
    <w:rsid w:val="005B659B"/>
    <w:rsid w:val="0063664F"/>
    <w:rsid w:val="006A02DB"/>
    <w:rsid w:val="00743A4E"/>
    <w:rsid w:val="00771B90"/>
    <w:rsid w:val="007C7079"/>
    <w:rsid w:val="00817E2E"/>
    <w:rsid w:val="00865900"/>
    <w:rsid w:val="0097406E"/>
    <w:rsid w:val="00983488"/>
    <w:rsid w:val="009A70F6"/>
    <w:rsid w:val="00A615B2"/>
    <w:rsid w:val="00A667CF"/>
    <w:rsid w:val="00C9521D"/>
    <w:rsid w:val="00CC67BD"/>
    <w:rsid w:val="00CF20CD"/>
    <w:rsid w:val="00D42659"/>
    <w:rsid w:val="00D4745E"/>
    <w:rsid w:val="00DB63CF"/>
    <w:rsid w:val="00E54EE7"/>
    <w:rsid w:val="00E87B88"/>
    <w:rsid w:val="00EC58F6"/>
    <w:rsid w:val="00EC7199"/>
    <w:rsid w:val="00ED46E1"/>
    <w:rsid w:val="00EF528E"/>
    <w:rsid w:val="00F33C11"/>
    <w:rsid w:val="00FA3581"/>
    <w:rsid w:val="00FA3A62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4598"/>
  <w15:docId w15:val="{DC70AE24-0500-4CF3-AD2A-EB9CD71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43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4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1E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 Rochelle Université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Coraline Bichet</dc:creator>
  <cp:keywords/>
  <dc:description/>
  <cp:lastModifiedBy>Dylan Mills</cp:lastModifiedBy>
  <cp:revision>2</cp:revision>
  <dcterms:created xsi:type="dcterms:W3CDTF">2022-03-10T11:35:00Z</dcterms:created>
  <dcterms:modified xsi:type="dcterms:W3CDTF">2022-03-10T11:35:00Z</dcterms:modified>
</cp:coreProperties>
</file>