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16E7" w14:textId="1FE36E9E" w:rsidR="00460E2E" w:rsidRDefault="00460E2E" w:rsidP="00460E2E">
      <w:pPr>
        <w:spacing w:after="120" w:line="480" w:lineRule="auto"/>
        <w:rPr>
          <w:rFonts w:ascii="Cambria" w:hAnsi="Cambria"/>
          <w:b/>
          <w:bCs/>
          <w:sz w:val="24"/>
          <w:szCs w:val="24"/>
        </w:rPr>
      </w:pPr>
      <w:r>
        <w:rPr>
          <w:rFonts w:ascii="Cambria" w:hAnsi="Cambria"/>
          <w:b/>
          <w:bCs/>
          <w:sz w:val="24"/>
          <w:szCs w:val="24"/>
        </w:rPr>
        <w:t>SUPPORTING INFORMATION</w:t>
      </w:r>
    </w:p>
    <w:p w14:paraId="5E3D5554" w14:textId="295045B2" w:rsidR="00212E7D" w:rsidRDefault="00212E7D" w:rsidP="00212E7D">
      <w:pPr>
        <w:autoSpaceDE w:val="0"/>
        <w:autoSpaceDN w:val="0"/>
        <w:adjustRightInd w:val="0"/>
        <w:spacing w:after="360" w:line="276" w:lineRule="auto"/>
        <w:jc w:val="both"/>
        <w:rPr>
          <w:rFonts w:ascii="Cambria" w:eastAsiaTheme="majorEastAsia" w:hAnsi="Cambria" w:cs="Times New Roman"/>
          <w:b/>
          <w:sz w:val="30"/>
          <w:szCs w:val="30"/>
        </w:rPr>
      </w:pPr>
      <w:r w:rsidRPr="00212E7D">
        <w:rPr>
          <w:rFonts w:ascii="Cambria" w:eastAsiaTheme="majorEastAsia" w:hAnsi="Cambria" w:cs="Times New Roman"/>
          <w:b/>
          <w:sz w:val="30"/>
          <w:szCs w:val="30"/>
        </w:rPr>
        <w:t xml:space="preserve">Thermodynamics and kinetics of pH-dependent dissolution of sparingly soluble alkaline earth hydroxides in source-separated human urine collected in </w:t>
      </w:r>
      <w:r w:rsidR="00BD6717">
        <w:rPr>
          <w:rFonts w:ascii="Cambria" w:eastAsiaTheme="majorEastAsia" w:hAnsi="Cambria" w:cs="Times New Roman"/>
          <w:b/>
          <w:sz w:val="30"/>
          <w:szCs w:val="30"/>
        </w:rPr>
        <w:t>decentralised</w:t>
      </w:r>
      <w:r w:rsidRPr="00212E7D">
        <w:rPr>
          <w:rFonts w:ascii="Cambria" w:eastAsiaTheme="majorEastAsia" w:hAnsi="Cambria" w:cs="Times New Roman"/>
          <w:b/>
          <w:sz w:val="30"/>
          <w:szCs w:val="30"/>
        </w:rPr>
        <w:t xml:space="preserve"> sanitation systems</w:t>
      </w:r>
    </w:p>
    <w:p w14:paraId="6BBDF18E" w14:textId="4189CAFE" w:rsidR="00460E2E" w:rsidRPr="00F15BE2" w:rsidRDefault="00460E2E" w:rsidP="00460E2E">
      <w:pPr>
        <w:autoSpaceDE w:val="0"/>
        <w:autoSpaceDN w:val="0"/>
        <w:adjustRightInd w:val="0"/>
        <w:spacing w:after="0" w:line="480" w:lineRule="auto"/>
        <w:jc w:val="both"/>
        <w:rPr>
          <w:rFonts w:ascii="Cambria" w:eastAsia="Times New Roman" w:hAnsi="Cambria" w:cs="Times New Roman"/>
          <w:b/>
          <w:bCs/>
          <w:sz w:val="24"/>
          <w:szCs w:val="24"/>
          <w:lang w:val="sv-SE"/>
        </w:rPr>
      </w:pPr>
      <w:r w:rsidRPr="00F15BE2">
        <w:rPr>
          <w:rFonts w:ascii="Cambria" w:eastAsia="Times New Roman" w:hAnsi="Cambria" w:cs="Times New Roman"/>
          <w:b/>
          <w:sz w:val="24"/>
          <w:szCs w:val="24"/>
          <w:lang w:val="sv-SE"/>
        </w:rPr>
        <w:t>Prithvi Simha</w:t>
      </w:r>
      <w:r w:rsidRPr="00F15BE2">
        <w:rPr>
          <w:rFonts w:ascii="Cambria" w:eastAsia="Times New Roman" w:hAnsi="Cambria" w:cs="Times New Roman"/>
          <w:b/>
          <w:color w:val="0000FF"/>
          <w:sz w:val="24"/>
          <w:szCs w:val="24"/>
          <w:vertAlign w:val="superscript"/>
          <w:lang w:val="sv-SE"/>
        </w:rPr>
        <w:t>a,</w:t>
      </w:r>
      <w:r w:rsidRPr="00F15BE2">
        <w:rPr>
          <w:rFonts w:ascii="Cambria" w:eastAsia="Times New Roman" w:hAnsi="Cambria" w:cs="Times New Roman"/>
          <w:b/>
          <w:color w:val="0000FF"/>
          <w:sz w:val="24"/>
          <w:szCs w:val="24"/>
          <w:lang w:val="sv-SE"/>
        </w:rPr>
        <w:t>*</w:t>
      </w:r>
      <w:r w:rsidRPr="00F15BE2">
        <w:rPr>
          <w:rFonts w:ascii="Cambria" w:eastAsia="Times New Roman" w:hAnsi="Cambria" w:cs="Times New Roman"/>
          <w:b/>
          <w:sz w:val="24"/>
          <w:szCs w:val="24"/>
          <w:lang w:val="sv-SE"/>
        </w:rPr>
        <w:t>, Chinmoy Kanti Deb</w:t>
      </w:r>
      <w:r w:rsidRPr="00F15BE2">
        <w:rPr>
          <w:rFonts w:ascii="Cambria" w:eastAsia="Times New Roman" w:hAnsi="Cambria" w:cs="Times New Roman"/>
          <w:b/>
          <w:color w:val="0000FF"/>
          <w:sz w:val="24"/>
          <w:szCs w:val="24"/>
          <w:vertAlign w:val="superscript"/>
          <w:lang w:val="sv-SE"/>
        </w:rPr>
        <w:t>a</w:t>
      </w:r>
      <w:r w:rsidRPr="00F15BE2">
        <w:rPr>
          <w:rFonts w:ascii="Cambria" w:eastAsia="Times New Roman" w:hAnsi="Cambria" w:cs="Times New Roman"/>
          <w:b/>
          <w:sz w:val="24"/>
          <w:szCs w:val="24"/>
          <w:lang w:val="sv-SE"/>
        </w:rPr>
        <w:t>, Dyllon G. Randall</w:t>
      </w:r>
      <w:r w:rsidRPr="00F15BE2">
        <w:rPr>
          <w:rFonts w:ascii="Cambria" w:eastAsia="Times New Roman" w:hAnsi="Cambria" w:cs="Times New Roman"/>
          <w:b/>
          <w:color w:val="0000FF"/>
          <w:sz w:val="24"/>
          <w:szCs w:val="24"/>
          <w:vertAlign w:val="superscript"/>
          <w:lang w:val="sv-SE"/>
        </w:rPr>
        <w:t>b</w:t>
      </w:r>
      <w:r w:rsidRPr="00F15BE2">
        <w:rPr>
          <w:rFonts w:ascii="Cambria" w:eastAsia="Times New Roman" w:hAnsi="Cambria" w:cs="Times New Roman"/>
          <w:b/>
          <w:sz w:val="24"/>
          <w:szCs w:val="24"/>
          <w:lang w:val="sv-SE"/>
        </w:rPr>
        <w:t>, Björn Vinnerås</w:t>
      </w:r>
      <w:r w:rsidRPr="00F15BE2">
        <w:rPr>
          <w:rFonts w:ascii="Cambria" w:eastAsia="Times New Roman" w:hAnsi="Cambria" w:cs="Times New Roman"/>
          <w:b/>
          <w:color w:val="0000FF"/>
          <w:sz w:val="24"/>
          <w:szCs w:val="24"/>
          <w:vertAlign w:val="superscript"/>
          <w:lang w:val="sv-SE"/>
        </w:rPr>
        <w:t>a</w:t>
      </w:r>
      <w:r w:rsidRPr="00F15BE2">
        <w:rPr>
          <w:rFonts w:ascii="Cambria" w:eastAsia="Times New Roman" w:hAnsi="Cambria" w:cs="Times New Roman"/>
          <w:b/>
          <w:sz w:val="24"/>
          <w:szCs w:val="24"/>
          <w:lang w:val="sv-SE"/>
        </w:rPr>
        <w:t xml:space="preserve"> </w:t>
      </w:r>
    </w:p>
    <w:p w14:paraId="70E8C7D3" w14:textId="77777777" w:rsidR="00460E2E" w:rsidRPr="00A12C02" w:rsidRDefault="00460E2E" w:rsidP="00460E2E">
      <w:pPr>
        <w:spacing w:after="120" w:line="240" w:lineRule="auto"/>
        <w:rPr>
          <w:rFonts w:ascii="Cambria" w:eastAsia="Times New Roman" w:hAnsi="Cambria" w:cs="Times New Roman"/>
          <w:i/>
        </w:rPr>
      </w:pPr>
      <w:r w:rsidRPr="00A12C02">
        <w:rPr>
          <w:rFonts w:ascii="Cambria" w:eastAsia="Times New Roman" w:hAnsi="Cambria" w:cs="Times New Roman"/>
          <w:b/>
          <w:color w:val="0000FF"/>
          <w:vertAlign w:val="superscript"/>
        </w:rPr>
        <w:t>a</w:t>
      </w:r>
      <w:r>
        <w:rPr>
          <w:rFonts w:ascii="Cambria" w:eastAsia="Times New Roman" w:hAnsi="Cambria" w:cs="Times New Roman"/>
          <w:b/>
          <w:color w:val="0000FF"/>
          <w:vertAlign w:val="superscript"/>
        </w:rPr>
        <w:t xml:space="preserve"> </w:t>
      </w:r>
      <w:r w:rsidRPr="00A12C02">
        <w:rPr>
          <w:rFonts w:ascii="Cambria" w:eastAsia="Times New Roman" w:hAnsi="Cambria" w:cs="Times New Roman"/>
          <w:i/>
        </w:rPr>
        <w:t>Department of Energy and Technology, Swedish University of Agricultural Sciences,</w:t>
      </w:r>
      <w:r>
        <w:rPr>
          <w:rFonts w:ascii="Cambria" w:eastAsia="Times New Roman" w:hAnsi="Cambria" w:cs="Times New Roman"/>
          <w:i/>
        </w:rPr>
        <w:t xml:space="preserve">                                </w:t>
      </w:r>
      <w:r w:rsidRPr="00A12C02">
        <w:rPr>
          <w:rFonts w:ascii="Cambria" w:eastAsia="Times New Roman" w:hAnsi="Cambria" w:cs="Times New Roman"/>
          <w:i/>
        </w:rPr>
        <w:t>Box 7032, SE-750 07 Uppsala, Sweden</w:t>
      </w:r>
    </w:p>
    <w:p w14:paraId="2D46D194" w14:textId="54F25013" w:rsidR="00460E2E" w:rsidRDefault="00460E2E" w:rsidP="00DC572A">
      <w:pPr>
        <w:spacing w:after="360" w:line="240" w:lineRule="auto"/>
        <w:rPr>
          <w:rFonts w:ascii="Cambria" w:hAnsi="Cambria"/>
          <w:i/>
        </w:rPr>
      </w:pPr>
      <w:r>
        <w:rPr>
          <w:rFonts w:ascii="Cambria" w:hAnsi="Cambria"/>
          <w:b/>
          <w:color w:val="0000FF"/>
          <w:vertAlign w:val="superscript"/>
        </w:rPr>
        <w:t xml:space="preserve">b </w:t>
      </w:r>
      <w:r w:rsidRPr="00A12C02">
        <w:rPr>
          <w:rFonts w:ascii="Cambria" w:hAnsi="Cambria"/>
          <w:i/>
        </w:rPr>
        <w:t xml:space="preserve">Civil Engineering Department &amp; the Future Water Institute, University of Cape Town, </w:t>
      </w:r>
      <w:r>
        <w:rPr>
          <w:rFonts w:ascii="Cambria" w:hAnsi="Cambria"/>
          <w:i/>
        </w:rPr>
        <w:t xml:space="preserve">                                         </w:t>
      </w:r>
      <w:r w:rsidRPr="00A12C02">
        <w:rPr>
          <w:rFonts w:ascii="Cambria" w:hAnsi="Cambria"/>
          <w:i/>
        </w:rPr>
        <w:t>7700, Cape Town, South Africa</w:t>
      </w:r>
    </w:p>
    <w:p w14:paraId="6EF6BE18" w14:textId="5F768F3F" w:rsidR="00460E2E" w:rsidRDefault="00460E2E" w:rsidP="00460E2E">
      <w:pPr>
        <w:spacing w:after="120" w:line="240" w:lineRule="auto"/>
        <w:rPr>
          <w:rFonts w:ascii="Cambria" w:hAnsi="Cambria"/>
          <w:i/>
        </w:rPr>
      </w:pPr>
    </w:p>
    <w:p w14:paraId="62625926" w14:textId="7202EAE8" w:rsidR="00BD3905" w:rsidRDefault="00BD3905" w:rsidP="00460E2E">
      <w:pPr>
        <w:spacing w:after="120" w:line="240" w:lineRule="auto"/>
        <w:rPr>
          <w:rFonts w:ascii="Cambria" w:hAnsi="Cambria"/>
          <w:i/>
        </w:rPr>
      </w:pPr>
    </w:p>
    <w:p w14:paraId="74FAB9E5" w14:textId="51BA6A85" w:rsidR="00BD3905" w:rsidRDefault="00BD3905" w:rsidP="00460E2E">
      <w:pPr>
        <w:spacing w:after="120" w:line="240" w:lineRule="auto"/>
        <w:rPr>
          <w:rFonts w:ascii="Cambria" w:hAnsi="Cambria"/>
          <w:i/>
        </w:rPr>
      </w:pPr>
    </w:p>
    <w:p w14:paraId="7795528B" w14:textId="368CA3B8" w:rsidR="00BD3905" w:rsidRDefault="00BD3905" w:rsidP="00460E2E">
      <w:pPr>
        <w:spacing w:after="120" w:line="240" w:lineRule="auto"/>
        <w:rPr>
          <w:rFonts w:ascii="Cambria" w:hAnsi="Cambria"/>
          <w:i/>
        </w:rPr>
      </w:pPr>
    </w:p>
    <w:p w14:paraId="4C71A22F" w14:textId="3E67C4D5" w:rsidR="00BD3905" w:rsidRDefault="00BD3905" w:rsidP="00460E2E">
      <w:pPr>
        <w:spacing w:after="120" w:line="240" w:lineRule="auto"/>
        <w:rPr>
          <w:rFonts w:ascii="Cambria" w:hAnsi="Cambria"/>
          <w:i/>
        </w:rPr>
      </w:pPr>
    </w:p>
    <w:p w14:paraId="2DF6FE77" w14:textId="778CE1F6" w:rsidR="00BD3905" w:rsidRDefault="00BD3905" w:rsidP="00460E2E">
      <w:pPr>
        <w:spacing w:after="120" w:line="240" w:lineRule="auto"/>
        <w:rPr>
          <w:rFonts w:ascii="Cambria" w:hAnsi="Cambria"/>
          <w:i/>
        </w:rPr>
      </w:pPr>
    </w:p>
    <w:p w14:paraId="72C58630" w14:textId="1EB9C7F7" w:rsidR="00BD3905" w:rsidRDefault="00BD3905" w:rsidP="00460E2E">
      <w:pPr>
        <w:spacing w:after="120" w:line="240" w:lineRule="auto"/>
        <w:rPr>
          <w:rFonts w:ascii="Cambria" w:hAnsi="Cambria"/>
          <w:i/>
        </w:rPr>
      </w:pPr>
    </w:p>
    <w:p w14:paraId="58391131" w14:textId="20556310" w:rsidR="00BD3905" w:rsidRDefault="00BD3905" w:rsidP="00460E2E">
      <w:pPr>
        <w:spacing w:after="120" w:line="240" w:lineRule="auto"/>
        <w:rPr>
          <w:rFonts w:ascii="Cambria" w:hAnsi="Cambria"/>
          <w:i/>
        </w:rPr>
      </w:pPr>
    </w:p>
    <w:p w14:paraId="06C623A0" w14:textId="7A51572F" w:rsidR="00BD3905" w:rsidRDefault="00BD3905" w:rsidP="00460E2E">
      <w:pPr>
        <w:spacing w:after="120" w:line="240" w:lineRule="auto"/>
        <w:rPr>
          <w:rFonts w:ascii="Cambria" w:hAnsi="Cambria"/>
          <w:i/>
        </w:rPr>
      </w:pPr>
    </w:p>
    <w:p w14:paraId="1D8AB0C5" w14:textId="6CAC316F" w:rsidR="00BD3905" w:rsidRDefault="00BD3905" w:rsidP="00460E2E">
      <w:pPr>
        <w:spacing w:after="120" w:line="240" w:lineRule="auto"/>
        <w:rPr>
          <w:rFonts w:ascii="Cambria" w:hAnsi="Cambria"/>
          <w:i/>
        </w:rPr>
      </w:pPr>
    </w:p>
    <w:p w14:paraId="24F14E2F" w14:textId="5851396A" w:rsidR="00BD3905" w:rsidRDefault="00BD3905" w:rsidP="00460E2E">
      <w:pPr>
        <w:spacing w:after="120" w:line="240" w:lineRule="auto"/>
        <w:rPr>
          <w:rFonts w:ascii="Cambria" w:hAnsi="Cambria"/>
          <w:i/>
        </w:rPr>
      </w:pPr>
    </w:p>
    <w:p w14:paraId="3F147744" w14:textId="0F304ACA" w:rsidR="00BD3905" w:rsidRDefault="00BD3905" w:rsidP="00460E2E">
      <w:pPr>
        <w:spacing w:after="120" w:line="240" w:lineRule="auto"/>
        <w:rPr>
          <w:rFonts w:ascii="Cambria" w:hAnsi="Cambria"/>
          <w:i/>
        </w:rPr>
      </w:pPr>
    </w:p>
    <w:p w14:paraId="4AB1EE1D" w14:textId="2708BA5C" w:rsidR="00BD3905" w:rsidRDefault="00BD3905" w:rsidP="00460E2E">
      <w:pPr>
        <w:spacing w:after="120" w:line="240" w:lineRule="auto"/>
        <w:rPr>
          <w:rFonts w:ascii="Cambria" w:hAnsi="Cambria"/>
          <w:i/>
        </w:rPr>
      </w:pPr>
    </w:p>
    <w:p w14:paraId="14E21D83" w14:textId="4192E602" w:rsidR="00BD3905" w:rsidRDefault="00BD3905" w:rsidP="00460E2E">
      <w:pPr>
        <w:spacing w:after="120" w:line="240" w:lineRule="auto"/>
        <w:rPr>
          <w:rFonts w:ascii="Cambria" w:hAnsi="Cambria"/>
          <w:i/>
        </w:rPr>
      </w:pPr>
    </w:p>
    <w:p w14:paraId="3B8EB624" w14:textId="6CEE4DA1" w:rsidR="00BD3905" w:rsidRDefault="00BD3905" w:rsidP="00460E2E">
      <w:pPr>
        <w:spacing w:after="120" w:line="240" w:lineRule="auto"/>
        <w:rPr>
          <w:rFonts w:ascii="Cambria" w:hAnsi="Cambria"/>
          <w:i/>
        </w:rPr>
      </w:pPr>
    </w:p>
    <w:p w14:paraId="0D250F6E" w14:textId="61CD9ED7" w:rsidR="00BD3905" w:rsidRDefault="00BD3905" w:rsidP="00460E2E">
      <w:pPr>
        <w:spacing w:after="120" w:line="240" w:lineRule="auto"/>
        <w:rPr>
          <w:rFonts w:ascii="Cambria" w:hAnsi="Cambria"/>
          <w:i/>
        </w:rPr>
      </w:pPr>
    </w:p>
    <w:p w14:paraId="28537A92" w14:textId="2591EC10" w:rsidR="00BD3905" w:rsidRDefault="00BD3905" w:rsidP="00460E2E">
      <w:pPr>
        <w:spacing w:after="120" w:line="240" w:lineRule="auto"/>
        <w:rPr>
          <w:rFonts w:ascii="Cambria" w:hAnsi="Cambria"/>
          <w:i/>
        </w:rPr>
      </w:pPr>
    </w:p>
    <w:p w14:paraId="6A19DE0D" w14:textId="77777777" w:rsidR="00BD3905" w:rsidRPr="00A12C02" w:rsidRDefault="00BD3905" w:rsidP="00460E2E">
      <w:pPr>
        <w:spacing w:after="120" w:line="240" w:lineRule="auto"/>
        <w:rPr>
          <w:rFonts w:ascii="Cambria" w:hAnsi="Cambria"/>
          <w:i/>
        </w:rPr>
      </w:pPr>
    </w:p>
    <w:p w14:paraId="71F626A4" w14:textId="61375272" w:rsidR="00460E2E" w:rsidRPr="00122BDA" w:rsidRDefault="00460E2E" w:rsidP="00460E2E">
      <w:pPr>
        <w:spacing w:after="0" w:line="240" w:lineRule="auto"/>
        <w:rPr>
          <w:rFonts w:ascii="Cambria" w:eastAsia="Times New Roman" w:hAnsi="Cambria" w:cs="Times New Roman"/>
          <w:sz w:val="24"/>
          <w:szCs w:val="24"/>
        </w:rPr>
      </w:pPr>
      <w:r w:rsidRPr="00A12C02">
        <w:rPr>
          <w:rFonts w:ascii="Cambria" w:eastAsia="Times New Roman" w:hAnsi="Cambria" w:cs="Times New Roman"/>
          <w:b/>
          <w:color w:val="0000FF"/>
          <w:sz w:val="24"/>
          <w:szCs w:val="24"/>
        </w:rPr>
        <w:t>*</w:t>
      </w:r>
      <w:r w:rsidRPr="00A12C02">
        <w:rPr>
          <w:rFonts w:ascii="Cambria" w:eastAsia="Times New Roman" w:hAnsi="Cambria" w:cs="Times New Roman"/>
          <w:sz w:val="24"/>
          <w:szCs w:val="24"/>
        </w:rPr>
        <w:t xml:space="preserve">Corresponding Author: Department of Energy and Technology, Swedish University of Agricultural Sciences, P.O. Box </w:t>
      </w:r>
      <w:r w:rsidRPr="00122BDA">
        <w:rPr>
          <w:rFonts w:ascii="Cambria" w:eastAsia="Times New Roman" w:hAnsi="Cambria" w:cs="Times New Roman"/>
          <w:sz w:val="24"/>
          <w:szCs w:val="24"/>
        </w:rPr>
        <w:t xml:space="preserve">7032, SE-75007, Uppsala, Sweden. </w:t>
      </w:r>
    </w:p>
    <w:p w14:paraId="0B354CF4" w14:textId="77777777" w:rsidR="00460E2E" w:rsidRDefault="00460E2E" w:rsidP="00460E2E">
      <w:pPr>
        <w:spacing w:after="0" w:line="240" w:lineRule="auto"/>
        <w:rPr>
          <w:rStyle w:val="Hyperlink"/>
          <w:rFonts w:ascii="Cambria" w:eastAsia="Times New Roman" w:hAnsi="Cambria" w:cs="Times New Roman"/>
          <w:color w:val="auto"/>
          <w:sz w:val="24"/>
          <w:szCs w:val="24"/>
          <w:u w:val="none"/>
        </w:rPr>
      </w:pPr>
      <w:r w:rsidRPr="00122BDA">
        <w:rPr>
          <w:rFonts w:ascii="Cambria" w:eastAsia="Times New Roman" w:hAnsi="Cambria" w:cs="Times New Roman"/>
          <w:sz w:val="24"/>
          <w:szCs w:val="24"/>
        </w:rPr>
        <w:t xml:space="preserve">Phone: +46(0)790544594; </w:t>
      </w:r>
      <w:r w:rsidRPr="00122BDA">
        <w:rPr>
          <w:rFonts w:ascii="Cambria" w:eastAsia="Times New Roman" w:hAnsi="Cambria" w:cs="Times New Roman"/>
          <w:i/>
          <w:sz w:val="24"/>
          <w:szCs w:val="24"/>
        </w:rPr>
        <w:t>E-mail</w:t>
      </w:r>
      <w:r w:rsidRPr="00122BDA">
        <w:rPr>
          <w:rFonts w:ascii="Cambria" w:eastAsia="Times New Roman" w:hAnsi="Cambria" w:cs="Times New Roman"/>
          <w:sz w:val="24"/>
          <w:szCs w:val="24"/>
        </w:rPr>
        <w:t xml:space="preserve">: </w:t>
      </w:r>
      <w:hyperlink r:id="rId5" w:history="1">
        <w:r w:rsidRPr="00122BDA">
          <w:rPr>
            <w:rFonts w:ascii="Cambria" w:eastAsia="Times New Roman" w:hAnsi="Cambria" w:cs="Times New Roman"/>
            <w:sz w:val="24"/>
            <w:szCs w:val="24"/>
          </w:rPr>
          <w:t>Prithvi.Simha@slu.se</w:t>
        </w:r>
      </w:hyperlink>
      <w:r w:rsidRPr="00122BDA">
        <w:rPr>
          <w:rFonts w:ascii="Cambria" w:eastAsia="Times New Roman" w:hAnsi="Cambria" w:cs="Times New Roman"/>
          <w:sz w:val="24"/>
          <w:szCs w:val="24"/>
        </w:rPr>
        <w:t xml:space="preserve">; </w:t>
      </w:r>
      <w:hyperlink r:id="rId6" w:history="1">
        <w:r w:rsidRPr="00122BDA">
          <w:rPr>
            <w:rStyle w:val="Hyperlink"/>
            <w:rFonts w:ascii="Cambria" w:eastAsia="Times New Roman" w:hAnsi="Cambria" w:cs="Times New Roman"/>
            <w:color w:val="auto"/>
            <w:sz w:val="24"/>
            <w:szCs w:val="24"/>
            <w:u w:val="none"/>
          </w:rPr>
          <w:t>prithvi.simha@mespom.eu</w:t>
        </w:r>
      </w:hyperlink>
    </w:p>
    <w:p w14:paraId="5B66CA58" w14:textId="116D6DAF" w:rsidR="00460E2E" w:rsidRDefault="00460E2E" w:rsidP="00460E2E">
      <w:pPr>
        <w:spacing w:after="0" w:line="480" w:lineRule="auto"/>
        <w:jc w:val="center"/>
        <w:rPr>
          <w:rFonts w:ascii="Cambria" w:hAnsi="Cambria"/>
          <w:b/>
          <w:bCs/>
          <w:sz w:val="24"/>
          <w:szCs w:val="24"/>
        </w:rPr>
      </w:pPr>
    </w:p>
    <w:p w14:paraId="2E1592A4" w14:textId="7D689A6C" w:rsidR="00460E2E" w:rsidRDefault="00460E2E" w:rsidP="00460E2E">
      <w:pPr>
        <w:spacing w:after="0" w:line="480" w:lineRule="auto"/>
        <w:jc w:val="center"/>
        <w:rPr>
          <w:rFonts w:ascii="Cambria" w:hAnsi="Cambria"/>
          <w:b/>
          <w:bCs/>
          <w:sz w:val="24"/>
          <w:szCs w:val="24"/>
        </w:rPr>
      </w:pPr>
    </w:p>
    <w:p w14:paraId="30F90B2F" w14:textId="5D2EDDEB" w:rsidR="00BD3905" w:rsidRDefault="00BD3905" w:rsidP="00460E2E">
      <w:pPr>
        <w:spacing w:after="0" w:line="480" w:lineRule="auto"/>
        <w:jc w:val="center"/>
        <w:rPr>
          <w:rFonts w:ascii="Cambria" w:hAnsi="Cambria"/>
          <w:b/>
          <w:bCs/>
          <w:sz w:val="24"/>
          <w:szCs w:val="24"/>
        </w:rPr>
      </w:pPr>
    </w:p>
    <w:p w14:paraId="0B9AE3B7" w14:textId="77777777" w:rsidR="00460E2E" w:rsidRDefault="00460E2E" w:rsidP="00460E2E">
      <w:pPr>
        <w:spacing w:after="0" w:line="480" w:lineRule="auto"/>
        <w:jc w:val="center"/>
        <w:rPr>
          <w:rFonts w:ascii="Cambria" w:hAnsi="Cambria"/>
          <w:b/>
          <w:bCs/>
          <w:sz w:val="24"/>
          <w:szCs w:val="24"/>
        </w:rPr>
      </w:pPr>
    </w:p>
    <w:p w14:paraId="3478AFA6" w14:textId="77777777" w:rsidR="00460E2E" w:rsidRDefault="00460E2E" w:rsidP="00460E2E">
      <w:pPr>
        <w:spacing w:after="0" w:line="480" w:lineRule="auto"/>
        <w:jc w:val="center"/>
        <w:rPr>
          <w:rFonts w:ascii="Cambria" w:hAnsi="Cambria"/>
          <w:b/>
          <w:bCs/>
          <w:sz w:val="24"/>
          <w:szCs w:val="24"/>
        </w:rPr>
      </w:pPr>
    </w:p>
    <w:p w14:paraId="142DA240" w14:textId="4F1A0683" w:rsidR="00460E2E" w:rsidRDefault="00460E2E" w:rsidP="00460E2E">
      <w:pPr>
        <w:spacing w:after="0" w:line="480" w:lineRule="auto"/>
        <w:jc w:val="center"/>
        <w:rPr>
          <w:rFonts w:ascii="Cambria" w:hAnsi="Cambria"/>
          <w:b/>
          <w:bCs/>
          <w:sz w:val="24"/>
          <w:szCs w:val="24"/>
        </w:rPr>
      </w:pPr>
      <w:r>
        <w:rPr>
          <w:rFonts w:ascii="Cambria" w:hAnsi="Cambria"/>
          <w:b/>
          <w:bCs/>
          <w:noProof/>
          <w:sz w:val="24"/>
          <w:szCs w:val="24"/>
        </w:rPr>
        <w:drawing>
          <wp:inline distT="0" distB="0" distL="0" distR="0" wp14:anchorId="17EB8151" wp14:editId="40CCBEEB">
            <wp:extent cx="3682365" cy="3188335"/>
            <wp:effectExtent l="0" t="0" r="0" b="0"/>
            <wp:docPr id="19" name="Picture 1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catte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2365" cy="3188335"/>
                    </a:xfrm>
                    <a:prstGeom prst="rect">
                      <a:avLst/>
                    </a:prstGeom>
                    <a:noFill/>
                  </pic:spPr>
                </pic:pic>
              </a:graphicData>
            </a:graphic>
          </wp:inline>
        </w:drawing>
      </w:r>
    </w:p>
    <w:p w14:paraId="35B62ACC" w14:textId="77777777" w:rsidR="00460E2E" w:rsidRDefault="00460E2E" w:rsidP="00460E2E">
      <w:pPr>
        <w:spacing w:after="0" w:line="480" w:lineRule="auto"/>
        <w:rPr>
          <w:rFonts w:ascii="Cambria" w:hAnsi="Cambria"/>
          <w:b/>
          <w:bCs/>
          <w:sz w:val="24"/>
          <w:szCs w:val="24"/>
        </w:rPr>
      </w:pPr>
    </w:p>
    <w:p w14:paraId="28949AC5" w14:textId="5D1FD9F7" w:rsidR="00460E2E" w:rsidRPr="00460E2E" w:rsidRDefault="00460E2E" w:rsidP="00460E2E">
      <w:pPr>
        <w:pStyle w:val="Heading1"/>
        <w:spacing w:before="0"/>
        <w:rPr>
          <w:rFonts w:ascii="Cambria" w:hAnsi="Cambria"/>
          <w:color w:val="auto"/>
          <w:sz w:val="24"/>
          <w:szCs w:val="24"/>
        </w:rPr>
      </w:pPr>
      <w:bookmarkStart w:id="0" w:name="_Toc94201686"/>
      <w:r w:rsidRPr="00460E2E">
        <w:rPr>
          <w:rFonts w:ascii="Cambria" w:hAnsi="Cambria"/>
          <w:b/>
          <w:bCs/>
          <w:color w:val="auto"/>
          <w:sz w:val="24"/>
          <w:szCs w:val="24"/>
        </w:rPr>
        <w:t>Fig. S1</w:t>
      </w:r>
      <w:r w:rsidRPr="00460E2E">
        <w:rPr>
          <w:rFonts w:ascii="Cambria" w:hAnsi="Cambria"/>
          <w:color w:val="auto"/>
          <w:sz w:val="24"/>
          <w:szCs w:val="24"/>
        </w:rPr>
        <w:t xml:space="preserve">. Relative increase in </w:t>
      </w:r>
      <w:r w:rsidR="00A85470">
        <w:rPr>
          <w:rFonts w:ascii="Cambria" w:hAnsi="Cambria"/>
          <w:color w:val="auto"/>
          <w:sz w:val="24"/>
          <w:szCs w:val="24"/>
        </w:rPr>
        <w:t>Mg(OH)</w:t>
      </w:r>
      <w:r w:rsidR="00A85470" w:rsidRPr="00A85470">
        <w:rPr>
          <w:rFonts w:ascii="Cambria" w:hAnsi="Cambria"/>
          <w:color w:val="auto"/>
          <w:sz w:val="24"/>
          <w:szCs w:val="24"/>
          <w:vertAlign w:val="subscript"/>
        </w:rPr>
        <w:t>2</w:t>
      </w:r>
      <w:r w:rsidR="00A85470">
        <w:rPr>
          <w:rFonts w:ascii="Cambria" w:hAnsi="Cambria"/>
          <w:color w:val="auto"/>
          <w:sz w:val="24"/>
          <w:szCs w:val="24"/>
        </w:rPr>
        <w:t xml:space="preserve"> </w:t>
      </w:r>
      <w:r w:rsidRPr="00460E2E">
        <w:rPr>
          <w:rFonts w:ascii="Cambria" w:hAnsi="Cambria"/>
          <w:color w:val="auto"/>
          <w:sz w:val="24"/>
          <w:szCs w:val="24"/>
        </w:rPr>
        <w:t xml:space="preserve">solubility in fresh human urine at 25 °C </w:t>
      </w:r>
      <w:r w:rsidR="00A85470">
        <w:rPr>
          <w:rFonts w:ascii="Cambria" w:hAnsi="Cambria"/>
          <w:color w:val="auto"/>
          <w:sz w:val="24"/>
          <w:szCs w:val="24"/>
        </w:rPr>
        <w:t>at</w:t>
      </w:r>
      <w:r w:rsidRPr="00460E2E">
        <w:rPr>
          <w:rFonts w:ascii="Cambria" w:hAnsi="Cambria"/>
          <w:color w:val="auto"/>
          <w:sz w:val="24"/>
          <w:szCs w:val="24"/>
        </w:rPr>
        <w:t xml:space="preserve"> various concentration factors</w:t>
      </w:r>
      <w:r w:rsidR="00A85470">
        <w:rPr>
          <w:rFonts w:ascii="Cambria" w:hAnsi="Cambria"/>
          <w:color w:val="auto"/>
          <w:sz w:val="24"/>
          <w:szCs w:val="24"/>
        </w:rPr>
        <w:t xml:space="preserve"> values.</w:t>
      </w:r>
      <w:bookmarkEnd w:id="0"/>
      <w:r w:rsidRPr="00460E2E">
        <w:rPr>
          <w:rFonts w:ascii="Cambria" w:hAnsi="Cambria"/>
          <w:color w:val="auto"/>
          <w:sz w:val="24"/>
          <w:szCs w:val="24"/>
        </w:rPr>
        <w:t xml:space="preserve"> </w:t>
      </w:r>
    </w:p>
    <w:p w14:paraId="6802360E" w14:textId="77777777" w:rsidR="00460E2E" w:rsidRDefault="00460E2E" w:rsidP="00460E2E">
      <w:pPr>
        <w:spacing w:after="0" w:line="240" w:lineRule="auto"/>
        <w:jc w:val="both"/>
        <w:rPr>
          <w:rFonts w:ascii="Cambria" w:hAnsi="Cambria"/>
          <w:sz w:val="24"/>
          <w:szCs w:val="24"/>
        </w:rPr>
      </w:pPr>
    </w:p>
    <w:p w14:paraId="37E0A3A8" w14:textId="77777777" w:rsidR="00460E2E" w:rsidRDefault="00460E2E" w:rsidP="00460E2E">
      <w:pPr>
        <w:spacing w:after="0" w:line="240" w:lineRule="auto"/>
        <w:jc w:val="both"/>
        <w:rPr>
          <w:rFonts w:ascii="Cambria" w:hAnsi="Cambria"/>
          <w:sz w:val="24"/>
          <w:szCs w:val="24"/>
        </w:rPr>
      </w:pPr>
    </w:p>
    <w:p w14:paraId="3FF34570" w14:textId="77777777" w:rsidR="00460E2E" w:rsidRDefault="00460E2E" w:rsidP="00460E2E">
      <w:pPr>
        <w:spacing w:after="0" w:line="240" w:lineRule="auto"/>
        <w:jc w:val="both"/>
        <w:rPr>
          <w:rFonts w:ascii="Cambria" w:hAnsi="Cambria"/>
          <w:sz w:val="24"/>
          <w:szCs w:val="24"/>
        </w:rPr>
      </w:pPr>
    </w:p>
    <w:p w14:paraId="72BBB89E" w14:textId="77777777" w:rsidR="00460E2E" w:rsidRDefault="00460E2E" w:rsidP="00460E2E">
      <w:pPr>
        <w:spacing w:after="0" w:line="240" w:lineRule="auto"/>
        <w:jc w:val="both"/>
        <w:rPr>
          <w:rFonts w:ascii="Cambria" w:hAnsi="Cambria"/>
          <w:sz w:val="24"/>
          <w:szCs w:val="24"/>
        </w:rPr>
      </w:pPr>
    </w:p>
    <w:p w14:paraId="26A68AEC" w14:textId="77777777" w:rsidR="00460E2E" w:rsidRDefault="00460E2E" w:rsidP="00460E2E">
      <w:pPr>
        <w:spacing w:after="0" w:line="240" w:lineRule="auto"/>
        <w:jc w:val="both"/>
        <w:rPr>
          <w:rFonts w:ascii="Cambria" w:hAnsi="Cambria"/>
          <w:sz w:val="24"/>
          <w:szCs w:val="24"/>
        </w:rPr>
      </w:pPr>
    </w:p>
    <w:p w14:paraId="5E2C4D95" w14:textId="77777777" w:rsidR="00460E2E" w:rsidRDefault="00460E2E" w:rsidP="00460E2E">
      <w:pPr>
        <w:spacing w:after="0" w:line="240" w:lineRule="auto"/>
        <w:jc w:val="both"/>
        <w:rPr>
          <w:rFonts w:ascii="Cambria" w:hAnsi="Cambria"/>
          <w:sz w:val="24"/>
          <w:szCs w:val="24"/>
        </w:rPr>
      </w:pPr>
    </w:p>
    <w:p w14:paraId="64A942C4" w14:textId="77777777" w:rsidR="00460E2E" w:rsidRDefault="00460E2E" w:rsidP="00460E2E">
      <w:pPr>
        <w:spacing w:after="0" w:line="240" w:lineRule="auto"/>
        <w:jc w:val="both"/>
        <w:rPr>
          <w:rFonts w:ascii="Cambria" w:hAnsi="Cambria"/>
          <w:sz w:val="24"/>
          <w:szCs w:val="24"/>
        </w:rPr>
      </w:pPr>
    </w:p>
    <w:p w14:paraId="4C7339C9" w14:textId="77777777" w:rsidR="00460E2E" w:rsidRDefault="00460E2E" w:rsidP="00460E2E">
      <w:pPr>
        <w:spacing w:after="0" w:line="240" w:lineRule="auto"/>
        <w:jc w:val="both"/>
        <w:rPr>
          <w:rFonts w:ascii="Cambria" w:hAnsi="Cambria"/>
          <w:sz w:val="24"/>
          <w:szCs w:val="24"/>
        </w:rPr>
      </w:pPr>
    </w:p>
    <w:p w14:paraId="7B7CB306" w14:textId="77777777" w:rsidR="00460E2E" w:rsidRDefault="00460E2E" w:rsidP="00460E2E">
      <w:pPr>
        <w:spacing w:after="0" w:line="240" w:lineRule="auto"/>
        <w:jc w:val="both"/>
        <w:rPr>
          <w:rFonts w:ascii="Cambria" w:hAnsi="Cambria"/>
          <w:sz w:val="24"/>
          <w:szCs w:val="24"/>
        </w:rPr>
      </w:pPr>
    </w:p>
    <w:p w14:paraId="79ECF9AB" w14:textId="77777777" w:rsidR="00460E2E" w:rsidRDefault="00460E2E" w:rsidP="00460E2E">
      <w:pPr>
        <w:spacing w:after="0" w:line="240" w:lineRule="auto"/>
        <w:jc w:val="both"/>
        <w:rPr>
          <w:rFonts w:ascii="Cambria" w:hAnsi="Cambria"/>
          <w:sz w:val="24"/>
          <w:szCs w:val="24"/>
        </w:rPr>
      </w:pPr>
    </w:p>
    <w:p w14:paraId="13330524" w14:textId="77777777" w:rsidR="00460E2E" w:rsidRDefault="00460E2E" w:rsidP="00460E2E">
      <w:pPr>
        <w:spacing w:after="0" w:line="240" w:lineRule="auto"/>
        <w:jc w:val="both"/>
        <w:rPr>
          <w:rFonts w:ascii="Cambria" w:hAnsi="Cambria"/>
          <w:sz w:val="24"/>
          <w:szCs w:val="24"/>
        </w:rPr>
      </w:pPr>
    </w:p>
    <w:p w14:paraId="2758FED6" w14:textId="77777777" w:rsidR="00460E2E" w:rsidRDefault="00460E2E" w:rsidP="00460E2E">
      <w:pPr>
        <w:spacing w:after="0" w:line="240" w:lineRule="auto"/>
        <w:jc w:val="both"/>
        <w:rPr>
          <w:rFonts w:ascii="Cambria" w:hAnsi="Cambria"/>
          <w:sz w:val="24"/>
          <w:szCs w:val="24"/>
        </w:rPr>
      </w:pPr>
    </w:p>
    <w:p w14:paraId="1C351988" w14:textId="77777777" w:rsidR="00460E2E" w:rsidRDefault="00460E2E" w:rsidP="00460E2E">
      <w:pPr>
        <w:spacing w:after="0" w:line="240" w:lineRule="auto"/>
        <w:jc w:val="both"/>
        <w:rPr>
          <w:rFonts w:ascii="Cambria" w:hAnsi="Cambria"/>
          <w:sz w:val="24"/>
          <w:szCs w:val="24"/>
        </w:rPr>
      </w:pPr>
    </w:p>
    <w:p w14:paraId="3C213C51" w14:textId="77777777" w:rsidR="00460E2E" w:rsidRDefault="00460E2E" w:rsidP="00460E2E">
      <w:pPr>
        <w:spacing w:after="0" w:line="240" w:lineRule="auto"/>
        <w:jc w:val="both"/>
        <w:rPr>
          <w:rFonts w:ascii="Cambria" w:hAnsi="Cambria"/>
          <w:sz w:val="24"/>
          <w:szCs w:val="24"/>
        </w:rPr>
      </w:pPr>
    </w:p>
    <w:p w14:paraId="6213B4F5" w14:textId="77777777" w:rsidR="00460E2E" w:rsidRDefault="00460E2E" w:rsidP="00460E2E">
      <w:pPr>
        <w:spacing w:after="0" w:line="240" w:lineRule="auto"/>
        <w:jc w:val="both"/>
        <w:rPr>
          <w:rFonts w:ascii="Cambria" w:hAnsi="Cambria"/>
          <w:sz w:val="24"/>
          <w:szCs w:val="24"/>
        </w:rPr>
      </w:pPr>
    </w:p>
    <w:p w14:paraId="29120A6D" w14:textId="77777777" w:rsidR="00460E2E" w:rsidRDefault="00460E2E" w:rsidP="00460E2E">
      <w:pPr>
        <w:spacing w:after="0" w:line="240" w:lineRule="auto"/>
        <w:jc w:val="center"/>
        <w:rPr>
          <w:rFonts w:ascii="Cambria" w:hAnsi="Cambria"/>
          <w:i/>
          <w:iCs/>
          <w:sz w:val="24"/>
          <w:szCs w:val="24"/>
        </w:rPr>
      </w:pPr>
      <w:r w:rsidRPr="00F54681">
        <w:rPr>
          <w:noProof/>
        </w:rPr>
        <w:lastRenderedPageBreak/>
        <w:drawing>
          <wp:inline distT="0" distB="0" distL="0" distR="0" wp14:anchorId="09C50395" wp14:editId="6627262C">
            <wp:extent cx="3108717" cy="67717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7736"/>
                    <a:stretch/>
                  </pic:blipFill>
                  <pic:spPr bwMode="auto">
                    <a:xfrm>
                      <a:off x="0" y="0"/>
                      <a:ext cx="3111819" cy="6778494"/>
                    </a:xfrm>
                    <a:prstGeom prst="rect">
                      <a:avLst/>
                    </a:prstGeom>
                    <a:noFill/>
                    <a:ln>
                      <a:noFill/>
                    </a:ln>
                    <a:extLst>
                      <a:ext uri="{53640926-AAD7-44D8-BBD7-CCE9431645EC}">
                        <a14:shadowObscured xmlns:a14="http://schemas.microsoft.com/office/drawing/2010/main"/>
                      </a:ext>
                    </a:extLst>
                  </pic:spPr>
                </pic:pic>
              </a:graphicData>
            </a:graphic>
          </wp:inline>
        </w:drawing>
      </w:r>
    </w:p>
    <w:p w14:paraId="3426AEE5" w14:textId="5311CBD5" w:rsidR="00460E2E" w:rsidRPr="00460E2E" w:rsidRDefault="00460E2E" w:rsidP="00460E2E">
      <w:pPr>
        <w:pStyle w:val="Heading1"/>
        <w:spacing w:before="0"/>
        <w:rPr>
          <w:rFonts w:ascii="Cambria" w:hAnsi="Cambria"/>
          <w:sz w:val="24"/>
          <w:szCs w:val="24"/>
        </w:rPr>
      </w:pPr>
      <w:bookmarkStart w:id="1" w:name="_Toc94201687"/>
      <w:r w:rsidRPr="00460E2E">
        <w:rPr>
          <w:rFonts w:ascii="Cambria" w:hAnsi="Cambria"/>
          <w:b/>
          <w:bCs/>
          <w:color w:val="auto"/>
          <w:sz w:val="24"/>
          <w:szCs w:val="24"/>
        </w:rPr>
        <w:t>Fig. S2</w:t>
      </w:r>
      <w:r w:rsidRPr="00460E2E">
        <w:rPr>
          <w:rFonts w:ascii="Cambria" w:hAnsi="Cambria"/>
          <w:color w:val="auto"/>
          <w:sz w:val="24"/>
          <w:szCs w:val="24"/>
        </w:rPr>
        <w:t>. Mass balance calculations show concentration of different elements in fresh human urine, filtered fresh human urine saturated with Mg(OH)</w:t>
      </w:r>
      <w:r w:rsidRPr="00460E2E">
        <w:rPr>
          <w:rFonts w:ascii="Cambria" w:hAnsi="Cambria"/>
          <w:color w:val="auto"/>
          <w:sz w:val="24"/>
          <w:szCs w:val="24"/>
          <w:vertAlign w:val="subscript"/>
        </w:rPr>
        <w:t>2</w:t>
      </w:r>
      <w:r w:rsidRPr="00460E2E">
        <w:rPr>
          <w:rFonts w:ascii="Cambria" w:hAnsi="Cambria"/>
          <w:color w:val="auto"/>
          <w:sz w:val="24"/>
          <w:szCs w:val="24"/>
        </w:rPr>
        <w:t>, and precipitated solids. Also shown is the % recovery of the elements from fresh urine as precipitated solids. Four different urine compositions are used: FU</w:t>
      </w:r>
      <w:r w:rsidRPr="00460E2E">
        <w:rPr>
          <w:rFonts w:ascii="Cambria" w:hAnsi="Cambria"/>
          <w:color w:val="auto"/>
          <w:sz w:val="24"/>
          <w:szCs w:val="24"/>
          <w:vertAlign w:val="subscript"/>
        </w:rPr>
        <w:t>1</w:t>
      </w:r>
      <w:r w:rsidRPr="00460E2E">
        <w:rPr>
          <w:rFonts w:ascii="Cambria" w:hAnsi="Cambria"/>
          <w:color w:val="auto"/>
          <w:sz w:val="24"/>
          <w:szCs w:val="24"/>
        </w:rPr>
        <w:t>, FU</w:t>
      </w:r>
      <w:r w:rsidRPr="00460E2E">
        <w:rPr>
          <w:rFonts w:ascii="Cambria" w:hAnsi="Cambria"/>
          <w:color w:val="auto"/>
          <w:sz w:val="24"/>
          <w:szCs w:val="24"/>
          <w:vertAlign w:val="subscript"/>
        </w:rPr>
        <w:t>2</w:t>
      </w:r>
      <w:r w:rsidRPr="00460E2E">
        <w:rPr>
          <w:rFonts w:ascii="Cambria" w:hAnsi="Cambria"/>
          <w:color w:val="auto"/>
          <w:sz w:val="24"/>
          <w:szCs w:val="24"/>
        </w:rPr>
        <w:t>, FU</w:t>
      </w:r>
      <w:r w:rsidRPr="00460E2E">
        <w:rPr>
          <w:rFonts w:ascii="Cambria" w:hAnsi="Cambria"/>
          <w:color w:val="auto"/>
          <w:sz w:val="24"/>
          <w:szCs w:val="24"/>
          <w:vertAlign w:val="subscript"/>
        </w:rPr>
        <w:t>3</w:t>
      </w:r>
      <w:r w:rsidRPr="00460E2E">
        <w:rPr>
          <w:rFonts w:ascii="Cambria" w:hAnsi="Cambria"/>
          <w:color w:val="auto"/>
          <w:sz w:val="24"/>
          <w:szCs w:val="24"/>
        </w:rPr>
        <w:t xml:space="preserve"> and FU</w:t>
      </w:r>
      <w:r w:rsidRPr="00460E2E">
        <w:rPr>
          <w:rFonts w:ascii="Cambria" w:hAnsi="Cambria"/>
          <w:color w:val="auto"/>
          <w:sz w:val="24"/>
          <w:szCs w:val="24"/>
          <w:vertAlign w:val="subscript"/>
        </w:rPr>
        <w:t>4</w:t>
      </w:r>
      <w:r w:rsidRPr="00460E2E">
        <w:rPr>
          <w:rFonts w:ascii="Cambria" w:hAnsi="Cambria"/>
          <w:color w:val="auto"/>
          <w:sz w:val="24"/>
          <w:szCs w:val="24"/>
        </w:rPr>
        <w:t>.</w:t>
      </w:r>
      <w:r w:rsidR="00A85470">
        <w:rPr>
          <w:rFonts w:ascii="Cambria" w:hAnsi="Cambria"/>
          <w:color w:val="auto"/>
          <w:sz w:val="24"/>
          <w:szCs w:val="24"/>
        </w:rPr>
        <w:t xml:space="preserve"> See Table 1 for composition.</w:t>
      </w:r>
      <w:bookmarkEnd w:id="1"/>
      <w:r w:rsidRPr="00460E2E">
        <w:rPr>
          <w:rFonts w:ascii="Cambria" w:hAnsi="Cambria"/>
          <w:color w:val="auto"/>
          <w:sz w:val="24"/>
          <w:szCs w:val="24"/>
        </w:rPr>
        <w:t xml:space="preserve">   </w:t>
      </w:r>
    </w:p>
    <w:p w14:paraId="4B1062FA" w14:textId="77777777" w:rsidR="00460E2E" w:rsidRDefault="00460E2E" w:rsidP="00460E2E">
      <w:pPr>
        <w:spacing w:after="0" w:line="240" w:lineRule="auto"/>
        <w:jc w:val="center"/>
        <w:rPr>
          <w:rFonts w:ascii="Cambria" w:hAnsi="Cambria"/>
          <w:i/>
          <w:iCs/>
          <w:sz w:val="24"/>
          <w:szCs w:val="24"/>
        </w:rPr>
      </w:pPr>
    </w:p>
    <w:p w14:paraId="50B57A18" w14:textId="77777777" w:rsidR="00A85470" w:rsidRDefault="00A85470" w:rsidP="00A85470">
      <w:pPr>
        <w:tabs>
          <w:tab w:val="center" w:pos="1500"/>
        </w:tabs>
        <w:spacing w:after="0" w:line="480" w:lineRule="auto"/>
        <w:jc w:val="center"/>
        <w:rPr>
          <w:rFonts w:ascii="Cambria" w:hAnsi="Cambria"/>
          <w:b/>
          <w:bCs/>
          <w:sz w:val="24"/>
          <w:szCs w:val="24"/>
        </w:rPr>
      </w:pPr>
    </w:p>
    <w:p w14:paraId="4E424F42" w14:textId="77777777" w:rsidR="00A85470" w:rsidRDefault="00A85470" w:rsidP="00A85470">
      <w:pPr>
        <w:tabs>
          <w:tab w:val="center" w:pos="1500"/>
        </w:tabs>
        <w:spacing w:after="0" w:line="480" w:lineRule="auto"/>
        <w:jc w:val="center"/>
        <w:rPr>
          <w:rFonts w:ascii="Cambria" w:hAnsi="Cambria"/>
          <w:b/>
          <w:bCs/>
          <w:sz w:val="24"/>
          <w:szCs w:val="24"/>
        </w:rPr>
      </w:pPr>
    </w:p>
    <w:p w14:paraId="2C583726" w14:textId="77777777" w:rsidR="00A85470" w:rsidRDefault="00A85470" w:rsidP="00A85470">
      <w:pPr>
        <w:tabs>
          <w:tab w:val="center" w:pos="1500"/>
        </w:tabs>
        <w:spacing w:after="0" w:line="480" w:lineRule="auto"/>
        <w:jc w:val="center"/>
        <w:rPr>
          <w:rFonts w:ascii="Cambria" w:hAnsi="Cambria"/>
          <w:b/>
          <w:bCs/>
          <w:sz w:val="24"/>
          <w:szCs w:val="24"/>
        </w:rPr>
      </w:pPr>
    </w:p>
    <w:p w14:paraId="019F5731" w14:textId="77777777" w:rsidR="00A85470" w:rsidRDefault="00A85470" w:rsidP="00A85470">
      <w:pPr>
        <w:tabs>
          <w:tab w:val="center" w:pos="1500"/>
        </w:tabs>
        <w:spacing w:after="0" w:line="480" w:lineRule="auto"/>
        <w:jc w:val="center"/>
        <w:rPr>
          <w:rFonts w:ascii="Cambria" w:hAnsi="Cambria"/>
          <w:b/>
          <w:bCs/>
          <w:sz w:val="24"/>
          <w:szCs w:val="24"/>
        </w:rPr>
      </w:pPr>
    </w:p>
    <w:p w14:paraId="3A35C78C" w14:textId="77777777" w:rsidR="00A85470" w:rsidRDefault="00A85470" w:rsidP="00A85470">
      <w:pPr>
        <w:tabs>
          <w:tab w:val="center" w:pos="1500"/>
        </w:tabs>
        <w:spacing w:after="0" w:line="480" w:lineRule="auto"/>
        <w:jc w:val="center"/>
        <w:rPr>
          <w:rFonts w:ascii="Cambria" w:hAnsi="Cambria"/>
          <w:b/>
          <w:bCs/>
          <w:sz w:val="24"/>
          <w:szCs w:val="24"/>
        </w:rPr>
      </w:pPr>
    </w:p>
    <w:p w14:paraId="5E8956A0" w14:textId="77777777" w:rsidR="00A85470" w:rsidRDefault="00A85470" w:rsidP="00A85470">
      <w:pPr>
        <w:tabs>
          <w:tab w:val="center" w:pos="1500"/>
        </w:tabs>
        <w:spacing w:after="0" w:line="480" w:lineRule="auto"/>
        <w:jc w:val="center"/>
        <w:rPr>
          <w:rFonts w:ascii="Cambria" w:hAnsi="Cambria"/>
          <w:b/>
          <w:bCs/>
          <w:sz w:val="24"/>
          <w:szCs w:val="24"/>
        </w:rPr>
      </w:pPr>
    </w:p>
    <w:p w14:paraId="1D726551" w14:textId="3C352997" w:rsidR="00460E2E" w:rsidRDefault="00A85470" w:rsidP="00A85470">
      <w:pPr>
        <w:tabs>
          <w:tab w:val="center" w:pos="1500"/>
        </w:tabs>
        <w:spacing w:after="0" w:line="480" w:lineRule="auto"/>
        <w:jc w:val="center"/>
        <w:rPr>
          <w:rFonts w:ascii="Cambria" w:hAnsi="Cambria"/>
          <w:b/>
          <w:bCs/>
          <w:sz w:val="24"/>
          <w:szCs w:val="24"/>
        </w:rPr>
      </w:pPr>
      <w:r>
        <w:rPr>
          <w:rFonts w:ascii="Cambria" w:hAnsi="Cambria"/>
          <w:b/>
          <w:bCs/>
          <w:noProof/>
          <w:sz w:val="24"/>
          <w:szCs w:val="24"/>
        </w:rPr>
        <w:drawing>
          <wp:inline distT="0" distB="0" distL="0" distR="0" wp14:anchorId="49CD57B0" wp14:editId="45C25AAA">
            <wp:extent cx="3736975" cy="3188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6975" cy="3188335"/>
                    </a:xfrm>
                    <a:prstGeom prst="rect">
                      <a:avLst/>
                    </a:prstGeom>
                    <a:noFill/>
                  </pic:spPr>
                </pic:pic>
              </a:graphicData>
            </a:graphic>
          </wp:inline>
        </w:drawing>
      </w:r>
    </w:p>
    <w:p w14:paraId="10EC9C52" w14:textId="1BB588A3" w:rsidR="00A85470" w:rsidRDefault="00460E2E" w:rsidP="00460E2E">
      <w:pPr>
        <w:pStyle w:val="Heading1"/>
        <w:spacing w:before="0" w:after="240"/>
        <w:rPr>
          <w:rFonts w:ascii="Cambria" w:hAnsi="Cambria"/>
          <w:color w:val="auto"/>
          <w:sz w:val="24"/>
          <w:szCs w:val="24"/>
        </w:rPr>
      </w:pPr>
      <w:bookmarkStart w:id="2" w:name="_Toc94201688"/>
      <w:r w:rsidRPr="00460E2E">
        <w:rPr>
          <w:rFonts w:ascii="Cambria" w:hAnsi="Cambria"/>
          <w:b/>
          <w:bCs/>
          <w:color w:val="auto"/>
          <w:sz w:val="24"/>
          <w:szCs w:val="24"/>
        </w:rPr>
        <w:t>Fig. S3</w:t>
      </w:r>
      <w:r w:rsidRPr="00460E2E">
        <w:rPr>
          <w:rFonts w:ascii="Cambria" w:hAnsi="Cambria"/>
          <w:color w:val="auto"/>
          <w:sz w:val="24"/>
          <w:szCs w:val="24"/>
        </w:rPr>
        <w:t xml:space="preserve">. </w:t>
      </w:r>
      <w:r w:rsidR="00A85470">
        <w:rPr>
          <w:rFonts w:ascii="Cambria" w:hAnsi="Cambria"/>
          <w:color w:val="auto"/>
          <w:sz w:val="24"/>
          <w:szCs w:val="24"/>
        </w:rPr>
        <w:t>Change in</w:t>
      </w:r>
      <w:r w:rsidRPr="00460E2E">
        <w:rPr>
          <w:rFonts w:ascii="Cambria" w:hAnsi="Cambria"/>
          <w:color w:val="auto"/>
          <w:sz w:val="24"/>
          <w:szCs w:val="24"/>
        </w:rPr>
        <w:t xml:space="preserve"> pH (green; primary y-axis) and </w:t>
      </w:r>
      <w:r w:rsidR="00A85470">
        <w:rPr>
          <w:rFonts w:ascii="Cambria" w:hAnsi="Cambria"/>
          <w:color w:val="auto"/>
          <w:sz w:val="24"/>
          <w:szCs w:val="24"/>
        </w:rPr>
        <w:t>electrical conductivity (EC)</w:t>
      </w:r>
      <w:r w:rsidRPr="00460E2E">
        <w:rPr>
          <w:rFonts w:ascii="Cambria" w:hAnsi="Cambria"/>
          <w:color w:val="auto"/>
          <w:sz w:val="24"/>
          <w:szCs w:val="24"/>
        </w:rPr>
        <w:t xml:space="preserve"> (blue; secondary y-axis) of synthetic fresh urine saturated with Mg(OH)</w:t>
      </w:r>
      <w:r w:rsidRPr="00460E2E">
        <w:rPr>
          <w:rFonts w:ascii="Cambria" w:hAnsi="Cambria"/>
          <w:color w:val="auto"/>
          <w:sz w:val="24"/>
          <w:szCs w:val="24"/>
          <w:vertAlign w:val="subscript"/>
        </w:rPr>
        <w:t>2</w:t>
      </w:r>
      <w:r w:rsidRPr="00460E2E">
        <w:rPr>
          <w:rFonts w:ascii="Cambria" w:hAnsi="Cambria"/>
          <w:color w:val="auto"/>
          <w:sz w:val="24"/>
          <w:szCs w:val="24"/>
        </w:rPr>
        <w:t xml:space="preserve"> at 25 °C and at various concentration factors </w:t>
      </w:r>
      <w:r w:rsidR="00A85470">
        <w:rPr>
          <w:rFonts w:ascii="Cambria" w:hAnsi="Cambria"/>
          <w:color w:val="auto"/>
          <w:sz w:val="24"/>
          <w:szCs w:val="24"/>
        </w:rPr>
        <w:t>values.</w:t>
      </w:r>
      <w:bookmarkEnd w:id="2"/>
    </w:p>
    <w:p w14:paraId="1E4796E4" w14:textId="3B747777" w:rsidR="00A85470" w:rsidRDefault="00A85470" w:rsidP="00A85470"/>
    <w:p w14:paraId="7E17EF20" w14:textId="773D8D84" w:rsidR="00A85470" w:rsidRDefault="00A85470" w:rsidP="00A85470"/>
    <w:p w14:paraId="0F6AFA91" w14:textId="161B38A9" w:rsidR="00A85470" w:rsidRDefault="00A85470" w:rsidP="00A85470"/>
    <w:p w14:paraId="2D5976C6" w14:textId="5C2E596D" w:rsidR="00A85470" w:rsidRDefault="00A85470" w:rsidP="00A85470"/>
    <w:p w14:paraId="7929A015" w14:textId="4CEF3EA3" w:rsidR="00A85470" w:rsidRDefault="00A85470" w:rsidP="00A85470"/>
    <w:p w14:paraId="1142DA8B" w14:textId="77777777" w:rsidR="00A85470" w:rsidRPr="00A85470" w:rsidRDefault="00A85470" w:rsidP="00A85470"/>
    <w:p w14:paraId="3BDD0CDD" w14:textId="77777777" w:rsidR="00A85470" w:rsidRDefault="00A85470" w:rsidP="00A85470">
      <w:pPr>
        <w:jc w:val="center"/>
      </w:pPr>
    </w:p>
    <w:p w14:paraId="7136415E" w14:textId="77777777" w:rsidR="00A85470" w:rsidRDefault="00A85470" w:rsidP="00A85470">
      <w:pPr>
        <w:jc w:val="center"/>
      </w:pPr>
    </w:p>
    <w:p w14:paraId="67A92E03" w14:textId="28973403" w:rsidR="00A85470" w:rsidRDefault="00A85470" w:rsidP="00A85470">
      <w:pPr>
        <w:jc w:val="center"/>
      </w:pPr>
    </w:p>
    <w:p w14:paraId="4BB30E76" w14:textId="2F3EA7A0" w:rsidR="00A85470" w:rsidRDefault="00A85470" w:rsidP="00A85470">
      <w:pPr>
        <w:jc w:val="center"/>
      </w:pPr>
    </w:p>
    <w:p w14:paraId="11B1680A" w14:textId="5DF102F9" w:rsidR="00A85470" w:rsidRDefault="00A85470" w:rsidP="00A85470">
      <w:pPr>
        <w:jc w:val="center"/>
      </w:pPr>
    </w:p>
    <w:p w14:paraId="020C0545" w14:textId="77777777" w:rsidR="00A85470" w:rsidRDefault="00A85470" w:rsidP="00A85470">
      <w:pPr>
        <w:jc w:val="center"/>
      </w:pPr>
    </w:p>
    <w:p w14:paraId="086DEFBA" w14:textId="77777777" w:rsidR="00A85470" w:rsidRDefault="00A85470" w:rsidP="00A85470">
      <w:pPr>
        <w:jc w:val="center"/>
      </w:pPr>
    </w:p>
    <w:p w14:paraId="17DD4679" w14:textId="77777777" w:rsidR="00A85470" w:rsidRDefault="00A85470" w:rsidP="00A85470">
      <w:pPr>
        <w:jc w:val="center"/>
      </w:pPr>
    </w:p>
    <w:p w14:paraId="48A58607" w14:textId="7C926944" w:rsidR="00460E2E" w:rsidRDefault="00A85470" w:rsidP="00A85470">
      <w:pPr>
        <w:jc w:val="center"/>
      </w:pPr>
      <w:r>
        <w:rPr>
          <w:noProof/>
        </w:rPr>
        <w:drawing>
          <wp:inline distT="0" distB="0" distL="0" distR="0" wp14:anchorId="4B37CA51" wp14:editId="2EA68A75">
            <wp:extent cx="3328670" cy="3084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670" cy="3084830"/>
                    </a:xfrm>
                    <a:prstGeom prst="rect">
                      <a:avLst/>
                    </a:prstGeom>
                    <a:noFill/>
                  </pic:spPr>
                </pic:pic>
              </a:graphicData>
            </a:graphic>
          </wp:inline>
        </w:drawing>
      </w:r>
    </w:p>
    <w:p w14:paraId="1886860C" w14:textId="38FBF05E" w:rsidR="00460E2E" w:rsidRPr="00460E2E" w:rsidRDefault="00460E2E" w:rsidP="00460E2E">
      <w:pPr>
        <w:pStyle w:val="Heading1"/>
        <w:spacing w:before="0"/>
        <w:rPr>
          <w:rFonts w:ascii="Cambria" w:hAnsi="Cambria"/>
          <w:color w:val="auto"/>
          <w:sz w:val="24"/>
          <w:szCs w:val="24"/>
        </w:rPr>
      </w:pPr>
      <w:bookmarkStart w:id="3" w:name="_Toc94201689"/>
      <w:r w:rsidRPr="00460E2E">
        <w:rPr>
          <w:rFonts w:ascii="Cambria" w:hAnsi="Cambria"/>
          <w:b/>
          <w:bCs/>
          <w:color w:val="auto"/>
          <w:sz w:val="24"/>
          <w:szCs w:val="24"/>
        </w:rPr>
        <w:t>Fig. S4.</w:t>
      </w:r>
      <w:r w:rsidRPr="00460E2E">
        <w:rPr>
          <w:rFonts w:ascii="Cambria" w:hAnsi="Cambria"/>
          <w:color w:val="auto"/>
          <w:sz w:val="24"/>
          <w:szCs w:val="24"/>
        </w:rPr>
        <w:t xml:space="preserve"> Change in Electrical Conductivity (EC) of fresh urine </w:t>
      </w:r>
      <w:r w:rsidR="004D3838">
        <w:rPr>
          <w:rFonts w:ascii="Cambria" w:hAnsi="Cambria"/>
          <w:color w:val="auto"/>
          <w:sz w:val="24"/>
          <w:szCs w:val="24"/>
        </w:rPr>
        <w:t>as function of</w:t>
      </w:r>
      <w:r w:rsidRPr="00460E2E">
        <w:rPr>
          <w:rFonts w:ascii="Cambria" w:hAnsi="Cambria"/>
          <w:color w:val="auto"/>
          <w:sz w:val="24"/>
          <w:szCs w:val="24"/>
        </w:rPr>
        <w:t xml:space="preserve"> time </w:t>
      </w:r>
      <w:r w:rsidR="004D3838">
        <w:rPr>
          <w:rFonts w:ascii="Cambria" w:hAnsi="Cambria"/>
          <w:color w:val="auto"/>
          <w:sz w:val="24"/>
          <w:szCs w:val="24"/>
        </w:rPr>
        <w:t xml:space="preserve">when urine is dosed with </w:t>
      </w:r>
      <w:r w:rsidRPr="00460E2E">
        <w:rPr>
          <w:rFonts w:ascii="Cambria" w:hAnsi="Cambria"/>
          <w:color w:val="auto"/>
          <w:sz w:val="24"/>
          <w:szCs w:val="24"/>
        </w:rPr>
        <w:t>2 g MgO L</w:t>
      </w:r>
      <w:r w:rsidRPr="00460E2E">
        <w:rPr>
          <w:rFonts w:ascii="Cambria" w:hAnsi="Cambria"/>
          <w:color w:val="auto"/>
          <w:sz w:val="24"/>
          <w:szCs w:val="24"/>
          <w:vertAlign w:val="superscript"/>
        </w:rPr>
        <w:t>-1</w:t>
      </w:r>
      <w:r w:rsidRPr="00DC572A">
        <w:rPr>
          <w:rFonts w:ascii="Cambria" w:hAnsi="Cambria"/>
          <w:color w:val="auto"/>
          <w:sz w:val="24"/>
          <w:szCs w:val="24"/>
        </w:rPr>
        <w:t xml:space="preserve">. </w:t>
      </w:r>
      <w:r w:rsidR="00DC572A" w:rsidRPr="00DC572A">
        <w:rPr>
          <w:rFonts w:ascii="Cambria" w:hAnsi="Cambria"/>
          <w:color w:val="auto"/>
          <w:sz w:val="24"/>
          <w:szCs w:val="24"/>
        </w:rPr>
        <w:t xml:space="preserve">Legend: </w:t>
      </w:r>
      <w:r w:rsidR="00DC572A" w:rsidRPr="00BD32B3">
        <w:rPr>
          <w:rFonts w:ascii="Cambria" w:eastAsia="Cambria" w:hAnsi="Cambria" w:cs="+mn-cs"/>
          <w:color w:val="000000"/>
          <w:kern w:val="24"/>
          <w:sz w:val="24"/>
          <w:szCs w:val="24"/>
        </w:rPr>
        <w:t>FU</w:t>
      </w:r>
      <w:r w:rsidR="00DC572A" w:rsidRPr="00BD32B3">
        <w:rPr>
          <w:rFonts w:ascii="Cambria" w:eastAsia="Cambria" w:hAnsi="Cambria" w:cs="+mn-cs"/>
          <w:color w:val="000000"/>
          <w:kern w:val="24"/>
          <w:sz w:val="24"/>
          <w:szCs w:val="24"/>
          <w:vertAlign w:val="subscript"/>
        </w:rPr>
        <w:t>1</w:t>
      </w:r>
      <w:r w:rsidR="00DC572A" w:rsidRPr="00BD32B3">
        <w:rPr>
          <w:rFonts w:ascii="Cambria" w:eastAsia="Cambria" w:hAnsi="Cambria" w:cs="+mn-cs"/>
          <w:color w:val="000000"/>
          <w:kern w:val="24"/>
          <w:sz w:val="24"/>
          <w:szCs w:val="24"/>
        </w:rPr>
        <w:t xml:space="preserve"> </w:t>
      </w:r>
      <w:r w:rsidR="00DC572A" w:rsidRPr="00BD32B3">
        <w:rPr>
          <w:rFonts w:ascii="Cambria" w:eastAsia="Cambria" w:hAnsi="Cambria" w:cs="+mn-cs"/>
          <w:color w:val="404040"/>
          <w:kern w:val="24"/>
          <w:sz w:val="24"/>
          <w:szCs w:val="24"/>
        </w:rPr>
        <w:t>(</w:t>
      </w:r>
      <w:r w:rsidR="00DC572A" w:rsidRPr="00BD32B3">
        <w:rPr>
          <w:rFonts w:ascii="Segoe UI Symbol" w:eastAsia="Cambria" w:hAnsi="Segoe UI Symbol" w:cs="Segoe UI Symbol"/>
          <w:color w:val="8CB9E1"/>
          <w:kern w:val="24"/>
          <w:sz w:val="24"/>
          <w:szCs w:val="24"/>
        </w:rPr>
        <w:t>⬤</w:t>
      </w:r>
      <w:r w:rsidR="00DC572A" w:rsidRPr="00BD32B3">
        <w:rPr>
          <w:rFonts w:ascii="Cambria" w:eastAsia="Cambria" w:hAnsi="Cambria" w:cs="+mn-cs"/>
          <w:color w:val="000000"/>
          <w:kern w:val="24"/>
          <w:sz w:val="24"/>
          <w:szCs w:val="24"/>
        </w:rPr>
        <w:t>), FU</w:t>
      </w:r>
      <w:r w:rsidR="00DC572A" w:rsidRPr="00BD32B3">
        <w:rPr>
          <w:rFonts w:ascii="Cambria" w:eastAsia="Cambria" w:hAnsi="Cambria" w:cs="+mn-cs"/>
          <w:color w:val="000000"/>
          <w:kern w:val="24"/>
          <w:sz w:val="24"/>
          <w:szCs w:val="24"/>
          <w:vertAlign w:val="subscript"/>
        </w:rPr>
        <w:t>2</w:t>
      </w:r>
      <w:r w:rsidR="00DC572A" w:rsidRPr="00BD32B3">
        <w:rPr>
          <w:rFonts w:ascii="Cambria" w:eastAsia="Cambria" w:hAnsi="Cambria" w:cs="+mn-cs"/>
          <w:color w:val="000000"/>
          <w:kern w:val="24"/>
          <w:sz w:val="24"/>
          <w:szCs w:val="24"/>
        </w:rPr>
        <w:t xml:space="preserve"> </w:t>
      </w:r>
      <w:r w:rsidR="00DC572A" w:rsidRPr="00BD32B3">
        <w:rPr>
          <w:rFonts w:ascii="Cambria" w:eastAsia="Cambria" w:hAnsi="Cambria" w:cs="+mn-cs"/>
          <w:color w:val="404040"/>
          <w:kern w:val="24"/>
          <w:sz w:val="24"/>
          <w:szCs w:val="24"/>
        </w:rPr>
        <w:t>(</w:t>
      </w:r>
      <w:r w:rsidR="00DC572A" w:rsidRPr="00BD32B3">
        <w:rPr>
          <w:rFonts w:ascii="Segoe UI Symbol" w:eastAsia="Cambria" w:hAnsi="Segoe UI Symbol" w:cs="Segoe UI Symbol"/>
          <w:color w:val="FF5050"/>
          <w:kern w:val="24"/>
          <w:sz w:val="24"/>
          <w:szCs w:val="24"/>
        </w:rPr>
        <w:t>⬤</w:t>
      </w:r>
      <w:r w:rsidR="00DC572A" w:rsidRPr="00BD32B3">
        <w:rPr>
          <w:rFonts w:ascii="Cambria" w:eastAsia="Cambria" w:hAnsi="Cambria" w:cs="+mn-cs"/>
          <w:color w:val="000000"/>
          <w:kern w:val="24"/>
          <w:sz w:val="24"/>
          <w:szCs w:val="24"/>
        </w:rPr>
        <w:t>), FU</w:t>
      </w:r>
      <w:r w:rsidR="00DC572A" w:rsidRPr="00BD32B3">
        <w:rPr>
          <w:rFonts w:ascii="Cambria" w:eastAsia="Cambria" w:hAnsi="Cambria" w:cs="+mn-cs"/>
          <w:color w:val="000000"/>
          <w:kern w:val="24"/>
          <w:sz w:val="24"/>
          <w:szCs w:val="24"/>
          <w:vertAlign w:val="subscript"/>
        </w:rPr>
        <w:t>3</w:t>
      </w:r>
      <w:r w:rsidR="00DC572A" w:rsidRPr="00BD32B3">
        <w:rPr>
          <w:rFonts w:ascii="Cambria" w:eastAsia="Cambria" w:hAnsi="Cambria" w:cs="+mn-cs"/>
          <w:color w:val="000000"/>
          <w:kern w:val="24"/>
          <w:sz w:val="24"/>
          <w:szCs w:val="24"/>
        </w:rPr>
        <w:t xml:space="preserve"> </w:t>
      </w:r>
      <w:r w:rsidR="00DC572A" w:rsidRPr="00BD32B3">
        <w:rPr>
          <w:rFonts w:ascii="Cambria" w:eastAsia="Cambria" w:hAnsi="Cambria" w:cs="+mn-cs"/>
          <w:color w:val="404040"/>
          <w:kern w:val="24"/>
          <w:sz w:val="24"/>
          <w:szCs w:val="24"/>
        </w:rPr>
        <w:t>(</w:t>
      </w:r>
      <w:r w:rsidR="00DC572A" w:rsidRPr="00BD32B3">
        <w:rPr>
          <w:rFonts w:ascii="Segoe UI Symbol" w:eastAsia="Cambria" w:hAnsi="Segoe UI Symbol" w:cs="Segoe UI Symbol"/>
          <w:color w:val="FFD966" w:themeColor="accent4" w:themeTint="99"/>
          <w:kern w:val="24"/>
          <w:sz w:val="24"/>
          <w:szCs w:val="24"/>
        </w:rPr>
        <w:t>⬤</w:t>
      </w:r>
      <w:r w:rsidR="00DC572A" w:rsidRPr="00BD32B3">
        <w:rPr>
          <w:rFonts w:ascii="Cambria" w:eastAsia="Cambria" w:hAnsi="Cambria" w:cs="+mn-cs"/>
          <w:color w:val="000000"/>
          <w:kern w:val="24"/>
          <w:sz w:val="24"/>
          <w:szCs w:val="24"/>
        </w:rPr>
        <w:t>)</w:t>
      </w:r>
      <w:r w:rsidR="00DC572A" w:rsidRPr="00BD32B3">
        <w:rPr>
          <w:rFonts w:ascii="Cambria" w:eastAsia="Cambria" w:hAnsi="Cambria" w:cs="+mn-cs"/>
          <w:color w:val="404040"/>
          <w:kern w:val="24"/>
          <w:sz w:val="24"/>
          <w:szCs w:val="24"/>
        </w:rPr>
        <w:t xml:space="preserve"> and </w:t>
      </w:r>
      <w:r w:rsidR="00DC572A" w:rsidRPr="00BD32B3">
        <w:rPr>
          <w:rFonts w:ascii="Cambria" w:eastAsia="Cambria" w:hAnsi="Cambria" w:cs="+mn-cs"/>
          <w:color w:val="000000"/>
          <w:kern w:val="24"/>
          <w:sz w:val="24"/>
          <w:szCs w:val="24"/>
        </w:rPr>
        <w:t>FU</w:t>
      </w:r>
      <w:r w:rsidR="00DC572A" w:rsidRPr="00BD32B3">
        <w:rPr>
          <w:rFonts w:ascii="Cambria" w:eastAsia="Cambria" w:hAnsi="Cambria" w:cs="+mn-cs"/>
          <w:color w:val="000000"/>
          <w:kern w:val="24"/>
          <w:sz w:val="24"/>
          <w:szCs w:val="24"/>
          <w:vertAlign w:val="subscript"/>
        </w:rPr>
        <w:t>4</w:t>
      </w:r>
      <w:r w:rsidR="00DC572A" w:rsidRPr="00BD32B3">
        <w:rPr>
          <w:rFonts w:ascii="Cambria" w:eastAsia="Cambria" w:hAnsi="Cambria" w:cs="+mn-cs"/>
          <w:color w:val="404040"/>
          <w:kern w:val="24"/>
          <w:sz w:val="24"/>
          <w:szCs w:val="24"/>
        </w:rPr>
        <w:t xml:space="preserve"> (</w:t>
      </w:r>
      <w:r w:rsidR="00DC572A" w:rsidRPr="00BD32B3">
        <w:rPr>
          <w:rFonts w:ascii="Segoe UI Symbol" w:eastAsia="Cambria" w:hAnsi="Segoe UI Symbol" w:cs="Segoe UI Symbol"/>
          <w:color w:val="A8D08D" w:themeColor="accent6" w:themeTint="99"/>
          <w:kern w:val="24"/>
          <w:sz w:val="24"/>
          <w:szCs w:val="24"/>
        </w:rPr>
        <w:t>⬤</w:t>
      </w:r>
      <w:r w:rsidR="00DC572A" w:rsidRPr="00BD32B3">
        <w:rPr>
          <w:rFonts w:ascii="Cambria" w:eastAsia="Cambria" w:hAnsi="Cambria" w:cs="+mn-cs"/>
          <w:color w:val="000000"/>
          <w:kern w:val="24"/>
          <w:sz w:val="24"/>
          <w:szCs w:val="24"/>
        </w:rPr>
        <w:t xml:space="preserve">). </w:t>
      </w:r>
      <w:r w:rsidRPr="00460E2E">
        <w:rPr>
          <w:rFonts w:ascii="Cambria" w:eastAsia="Cambria" w:hAnsi="Cambria" w:cs="+mn-cs"/>
          <w:color w:val="auto"/>
          <w:kern w:val="24"/>
          <w:sz w:val="24"/>
          <w:szCs w:val="24"/>
        </w:rPr>
        <w:t xml:space="preserve">Compositions shown in Table 1. </w:t>
      </w:r>
      <w:r w:rsidRPr="00460E2E">
        <w:rPr>
          <w:rFonts w:ascii="Cambria" w:hAnsi="Cambria"/>
          <w:color w:val="auto"/>
          <w:sz w:val="24"/>
          <w:szCs w:val="24"/>
        </w:rPr>
        <w:t xml:space="preserve">Data points are average values of three replicates and error bars </w:t>
      </w:r>
      <w:r w:rsidR="004D3838">
        <w:rPr>
          <w:rFonts w:ascii="Cambria" w:hAnsi="Cambria"/>
          <w:color w:val="auto"/>
          <w:sz w:val="24"/>
          <w:szCs w:val="24"/>
        </w:rPr>
        <w:t>indicate</w:t>
      </w:r>
      <w:r w:rsidRPr="00460E2E">
        <w:rPr>
          <w:rFonts w:ascii="Cambria" w:hAnsi="Cambria"/>
          <w:color w:val="auto"/>
          <w:sz w:val="24"/>
          <w:szCs w:val="24"/>
        </w:rPr>
        <w:t xml:space="preserve"> standard deviation.</w:t>
      </w:r>
      <w:bookmarkEnd w:id="3"/>
    </w:p>
    <w:p w14:paraId="4874C7E3" w14:textId="77777777" w:rsidR="00460E2E" w:rsidRDefault="00460E2E" w:rsidP="00460E2E">
      <w:pPr>
        <w:spacing w:after="0" w:line="480" w:lineRule="auto"/>
        <w:jc w:val="center"/>
        <w:rPr>
          <w:rFonts w:ascii="Cambria" w:hAnsi="Cambria"/>
          <w:i/>
          <w:iCs/>
          <w:sz w:val="24"/>
          <w:szCs w:val="24"/>
        </w:rPr>
      </w:pPr>
    </w:p>
    <w:p w14:paraId="0197BF11" w14:textId="1EE551AC" w:rsidR="00460E2E" w:rsidRDefault="00460E2E" w:rsidP="00460E2E">
      <w:pPr>
        <w:spacing w:after="0" w:line="480" w:lineRule="auto"/>
        <w:jc w:val="center"/>
        <w:rPr>
          <w:rFonts w:ascii="Cambria" w:hAnsi="Cambria"/>
          <w:i/>
          <w:iCs/>
          <w:sz w:val="24"/>
          <w:szCs w:val="24"/>
        </w:rPr>
      </w:pPr>
    </w:p>
    <w:p w14:paraId="5E7AF26C" w14:textId="2DB30941" w:rsidR="00A85470" w:rsidRDefault="00A85470" w:rsidP="00460E2E">
      <w:pPr>
        <w:spacing w:after="0" w:line="480" w:lineRule="auto"/>
        <w:jc w:val="center"/>
        <w:rPr>
          <w:rFonts w:ascii="Cambria" w:hAnsi="Cambria"/>
          <w:i/>
          <w:iCs/>
          <w:sz w:val="24"/>
          <w:szCs w:val="24"/>
        </w:rPr>
      </w:pPr>
    </w:p>
    <w:p w14:paraId="4876CB4B" w14:textId="1061DD6E" w:rsidR="00A85470" w:rsidRDefault="00A85470" w:rsidP="00460E2E">
      <w:pPr>
        <w:spacing w:after="0" w:line="480" w:lineRule="auto"/>
        <w:jc w:val="center"/>
        <w:rPr>
          <w:rFonts w:ascii="Cambria" w:hAnsi="Cambria"/>
          <w:i/>
          <w:iCs/>
          <w:sz w:val="24"/>
          <w:szCs w:val="24"/>
        </w:rPr>
      </w:pPr>
    </w:p>
    <w:p w14:paraId="15788EFE" w14:textId="4D126B6F" w:rsidR="00A85470" w:rsidRDefault="00A85470" w:rsidP="00460E2E">
      <w:pPr>
        <w:spacing w:after="0" w:line="480" w:lineRule="auto"/>
        <w:jc w:val="center"/>
        <w:rPr>
          <w:rFonts w:ascii="Cambria" w:hAnsi="Cambria"/>
          <w:i/>
          <w:iCs/>
          <w:sz w:val="24"/>
          <w:szCs w:val="24"/>
        </w:rPr>
      </w:pPr>
    </w:p>
    <w:p w14:paraId="56B04DE6" w14:textId="77777777" w:rsidR="00A85470" w:rsidRDefault="00A85470" w:rsidP="00460E2E">
      <w:pPr>
        <w:spacing w:after="0" w:line="480" w:lineRule="auto"/>
        <w:jc w:val="center"/>
        <w:rPr>
          <w:rFonts w:ascii="Cambria" w:hAnsi="Cambria"/>
          <w:i/>
          <w:iCs/>
          <w:sz w:val="24"/>
          <w:szCs w:val="24"/>
        </w:rPr>
      </w:pPr>
    </w:p>
    <w:p w14:paraId="1270E871" w14:textId="77777777" w:rsidR="00A85470" w:rsidRDefault="00A85470" w:rsidP="00460E2E">
      <w:pPr>
        <w:spacing w:after="0" w:line="480" w:lineRule="auto"/>
        <w:jc w:val="center"/>
        <w:rPr>
          <w:rFonts w:ascii="Cambria" w:hAnsi="Cambria"/>
          <w:i/>
          <w:iCs/>
          <w:sz w:val="24"/>
          <w:szCs w:val="24"/>
        </w:rPr>
      </w:pPr>
    </w:p>
    <w:p w14:paraId="4C48E766" w14:textId="77777777" w:rsidR="00A85470" w:rsidRDefault="00A85470" w:rsidP="00460E2E">
      <w:pPr>
        <w:spacing w:after="0" w:line="480" w:lineRule="auto"/>
        <w:jc w:val="center"/>
        <w:rPr>
          <w:rFonts w:ascii="Cambria" w:hAnsi="Cambria"/>
          <w:i/>
          <w:iCs/>
          <w:sz w:val="24"/>
          <w:szCs w:val="24"/>
        </w:rPr>
      </w:pPr>
    </w:p>
    <w:p w14:paraId="342485E1" w14:textId="77777777" w:rsidR="00A85470" w:rsidRDefault="00A85470" w:rsidP="00460E2E">
      <w:pPr>
        <w:spacing w:after="0" w:line="480" w:lineRule="auto"/>
        <w:jc w:val="center"/>
        <w:rPr>
          <w:rFonts w:ascii="Cambria" w:hAnsi="Cambria"/>
          <w:i/>
          <w:iCs/>
          <w:sz w:val="24"/>
          <w:szCs w:val="24"/>
        </w:rPr>
      </w:pPr>
    </w:p>
    <w:p w14:paraId="04DEAB8C" w14:textId="77777777" w:rsidR="00A85470" w:rsidRDefault="00A85470" w:rsidP="00460E2E">
      <w:pPr>
        <w:spacing w:after="0" w:line="480" w:lineRule="auto"/>
        <w:jc w:val="center"/>
        <w:rPr>
          <w:rFonts w:ascii="Cambria" w:hAnsi="Cambria"/>
          <w:i/>
          <w:iCs/>
          <w:sz w:val="24"/>
          <w:szCs w:val="24"/>
        </w:rPr>
      </w:pPr>
    </w:p>
    <w:p w14:paraId="026F9927" w14:textId="7830D816" w:rsidR="00460E2E" w:rsidRDefault="00460E2E" w:rsidP="00460E2E">
      <w:pPr>
        <w:spacing w:after="0" w:line="480" w:lineRule="auto"/>
        <w:jc w:val="center"/>
        <w:rPr>
          <w:rFonts w:ascii="Cambria" w:hAnsi="Cambria"/>
          <w:i/>
          <w:iCs/>
          <w:sz w:val="24"/>
          <w:szCs w:val="24"/>
        </w:rPr>
      </w:pPr>
      <w:r w:rsidRPr="008A52AB">
        <w:rPr>
          <w:rFonts w:ascii="Cambria" w:hAnsi="Cambria"/>
          <w:b/>
          <w:bCs/>
          <w:i/>
          <w:iCs/>
          <w:noProof/>
          <w:sz w:val="24"/>
          <w:szCs w:val="24"/>
        </w:rPr>
        <w:drawing>
          <wp:inline distT="0" distB="0" distL="0" distR="0" wp14:anchorId="62BF840D" wp14:editId="6839C4FB">
            <wp:extent cx="2861308" cy="2494779"/>
            <wp:effectExtent l="0" t="0" r="0" b="1270"/>
            <wp:docPr id="11" name="Picture 3" descr="Chart&#10;&#10;Description automatically generated">
              <a:extLst xmlns:a="http://schemas.openxmlformats.org/drawingml/2006/main">
                <a:ext uri="{FF2B5EF4-FFF2-40B4-BE49-F238E27FC236}">
                  <a16:creationId xmlns:a16="http://schemas.microsoft.com/office/drawing/2014/main" id="{F4F92586-8867-4195-9ACB-5A482121D4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10;&#10;Description automatically generated">
                      <a:extLst>
                        <a:ext uri="{FF2B5EF4-FFF2-40B4-BE49-F238E27FC236}">
                          <a16:creationId xmlns:a16="http://schemas.microsoft.com/office/drawing/2014/main" id="{F4F92586-8867-4195-9ACB-5A482121D436}"/>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3159" t="3611" r="13710"/>
                    <a:stretch/>
                  </pic:blipFill>
                  <pic:spPr>
                    <a:xfrm>
                      <a:off x="0" y="0"/>
                      <a:ext cx="2867491" cy="2500170"/>
                    </a:xfrm>
                    <a:prstGeom prst="rect">
                      <a:avLst/>
                    </a:prstGeom>
                  </pic:spPr>
                </pic:pic>
              </a:graphicData>
            </a:graphic>
          </wp:inline>
        </w:drawing>
      </w:r>
    </w:p>
    <w:tbl>
      <w:tblPr>
        <w:tblW w:w="4318" w:type="dxa"/>
        <w:jc w:val="center"/>
        <w:tblLook w:val="04A0" w:firstRow="1" w:lastRow="0" w:firstColumn="1" w:lastColumn="0" w:noHBand="0" w:noVBand="1"/>
      </w:tblPr>
      <w:tblGrid>
        <w:gridCol w:w="1339"/>
        <w:gridCol w:w="993"/>
        <w:gridCol w:w="993"/>
        <w:gridCol w:w="993"/>
      </w:tblGrid>
      <w:tr w:rsidR="00460E2E" w:rsidRPr="002122FC" w14:paraId="65FA13C0" w14:textId="77777777" w:rsidTr="00460E2E">
        <w:trPr>
          <w:trHeight w:val="300"/>
          <w:jc w:val="center"/>
        </w:trPr>
        <w:tc>
          <w:tcPr>
            <w:tcW w:w="1339" w:type="dxa"/>
            <w:tcBorders>
              <w:top w:val="single" w:sz="4" w:space="0" w:color="auto"/>
              <w:left w:val="nil"/>
              <w:bottom w:val="single" w:sz="4" w:space="0" w:color="auto"/>
              <w:right w:val="nil"/>
            </w:tcBorders>
            <w:shd w:val="clear" w:color="auto" w:fill="auto"/>
            <w:noWrap/>
            <w:vAlign w:val="center"/>
            <w:hideMark/>
          </w:tcPr>
          <w:p w14:paraId="25A530CA"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Variable</w:t>
            </w:r>
          </w:p>
        </w:tc>
        <w:tc>
          <w:tcPr>
            <w:tcW w:w="993" w:type="dxa"/>
            <w:tcBorders>
              <w:top w:val="single" w:sz="4" w:space="0" w:color="auto"/>
              <w:left w:val="nil"/>
              <w:bottom w:val="single" w:sz="4" w:space="0" w:color="auto"/>
              <w:right w:val="nil"/>
            </w:tcBorders>
            <w:shd w:val="clear" w:color="auto" w:fill="auto"/>
            <w:noWrap/>
            <w:vAlign w:val="bottom"/>
            <w:hideMark/>
          </w:tcPr>
          <w:p w14:paraId="4D4D8ACD"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Dim.1</w:t>
            </w:r>
          </w:p>
        </w:tc>
        <w:tc>
          <w:tcPr>
            <w:tcW w:w="993" w:type="dxa"/>
            <w:tcBorders>
              <w:top w:val="single" w:sz="4" w:space="0" w:color="auto"/>
              <w:left w:val="nil"/>
              <w:bottom w:val="single" w:sz="4" w:space="0" w:color="auto"/>
              <w:right w:val="nil"/>
            </w:tcBorders>
            <w:shd w:val="clear" w:color="auto" w:fill="auto"/>
            <w:noWrap/>
            <w:vAlign w:val="bottom"/>
            <w:hideMark/>
          </w:tcPr>
          <w:p w14:paraId="32D2B703"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Dim.2</w:t>
            </w:r>
          </w:p>
        </w:tc>
        <w:tc>
          <w:tcPr>
            <w:tcW w:w="993" w:type="dxa"/>
            <w:tcBorders>
              <w:top w:val="single" w:sz="4" w:space="0" w:color="auto"/>
              <w:left w:val="nil"/>
              <w:bottom w:val="single" w:sz="4" w:space="0" w:color="auto"/>
              <w:right w:val="nil"/>
            </w:tcBorders>
            <w:shd w:val="clear" w:color="auto" w:fill="auto"/>
            <w:noWrap/>
            <w:vAlign w:val="bottom"/>
            <w:hideMark/>
          </w:tcPr>
          <w:p w14:paraId="58C3AE14"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Dim.3</w:t>
            </w:r>
          </w:p>
        </w:tc>
      </w:tr>
      <w:tr w:rsidR="00460E2E" w:rsidRPr="002122FC" w14:paraId="1111F934" w14:textId="77777777" w:rsidTr="00460E2E">
        <w:trPr>
          <w:trHeight w:val="300"/>
          <w:jc w:val="center"/>
        </w:trPr>
        <w:tc>
          <w:tcPr>
            <w:tcW w:w="1339" w:type="dxa"/>
            <w:tcBorders>
              <w:top w:val="nil"/>
              <w:left w:val="nil"/>
              <w:bottom w:val="nil"/>
              <w:right w:val="nil"/>
            </w:tcBorders>
            <w:shd w:val="clear" w:color="auto" w:fill="auto"/>
            <w:noWrap/>
            <w:vAlign w:val="center"/>
            <w:hideMark/>
          </w:tcPr>
          <w:p w14:paraId="45D48876"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solubility</w:t>
            </w:r>
          </w:p>
        </w:tc>
        <w:tc>
          <w:tcPr>
            <w:tcW w:w="993" w:type="dxa"/>
            <w:tcBorders>
              <w:top w:val="nil"/>
              <w:left w:val="nil"/>
              <w:bottom w:val="nil"/>
              <w:right w:val="nil"/>
            </w:tcBorders>
            <w:shd w:val="clear" w:color="auto" w:fill="auto"/>
            <w:noWrap/>
            <w:vAlign w:val="bottom"/>
            <w:hideMark/>
          </w:tcPr>
          <w:p w14:paraId="0583FD4C"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0.99</w:t>
            </w:r>
          </w:p>
        </w:tc>
        <w:tc>
          <w:tcPr>
            <w:tcW w:w="993" w:type="dxa"/>
            <w:tcBorders>
              <w:top w:val="nil"/>
              <w:left w:val="nil"/>
              <w:bottom w:val="nil"/>
              <w:right w:val="nil"/>
            </w:tcBorders>
            <w:shd w:val="clear" w:color="auto" w:fill="auto"/>
            <w:noWrap/>
            <w:vAlign w:val="bottom"/>
            <w:hideMark/>
          </w:tcPr>
          <w:p w14:paraId="33990BB3"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-0.0237</w:t>
            </w:r>
          </w:p>
        </w:tc>
        <w:tc>
          <w:tcPr>
            <w:tcW w:w="993" w:type="dxa"/>
            <w:tcBorders>
              <w:top w:val="nil"/>
              <w:left w:val="nil"/>
              <w:bottom w:val="nil"/>
              <w:right w:val="nil"/>
            </w:tcBorders>
            <w:shd w:val="clear" w:color="auto" w:fill="auto"/>
            <w:noWrap/>
            <w:vAlign w:val="bottom"/>
            <w:hideMark/>
          </w:tcPr>
          <w:p w14:paraId="1162A99F"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0.04731</w:t>
            </w:r>
          </w:p>
        </w:tc>
      </w:tr>
      <w:tr w:rsidR="00460E2E" w:rsidRPr="002122FC" w14:paraId="2C916005" w14:textId="77777777" w:rsidTr="00460E2E">
        <w:trPr>
          <w:trHeight w:val="300"/>
          <w:jc w:val="center"/>
        </w:trPr>
        <w:tc>
          <w:tcPr>
            <w:tcW w:w="1339" w:type="dxa"/>
            <w:tcBorders>
              <w:top w:val="nil"/>
              <w:left w:val="nil"/>
              <w:bottom w:val="nil"/>
              <w:right w:val="nil"/>
            </w:tcBorders>
            <w:shd w:val="clear" w:color="auto" w:fill="auto"/>
            <w:noWrap/>
            <w:vAlign w:val="center"/>
            <w:hideMark/>
          </w:tcPr>
          <w:p w14:paraId="7991FB75"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ammonia</w:t>
            </w:r>
          </w:p>
        </w:tc>
        <w:tc>
          <w:tcPr>
            <w:tcW w:w="993" w:type="dxa"/>
            <w:tcBorders>
              <w:top w:val="nil"/>
              <w:left w:val="nil"/>
              <w:bottom w:val="nil"/>
              <w:right w:val="nil"/>
            </w:tcBorders>
            <w:shd w:val="clear" w:color="auto" w:fill="auto"/>
            <w:noWrap/>
            <w:vAlign w:val="bottom"/>
            <w:hideMark/>
          </w:tcPr>
          <w:p w14:paraId="7068A0DA"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0.94244</w:t>
            </w:r>
          </w:p>
        </w:tc>
        <w:tc>
          <w:tcPr>
            <w:tcW w:w="993" w:type="dxa"/>
            <w:tcBorders>
              <w:top w:val="nil"/>
              <w:left w:val="nil"/>
              <w:bottom w:val="nil"/>
              <w:right w:val="nil"/>
            </w:tcBorders>
            <w:shd w:val="clear" w:color="auto" w:fill="auto"/>
            <w:noWrap/>
            <w:vAlign w:val="bottom"/>
            <w:hideMark/>
          </w:tcPr>
          <w:p w14:paraId="78EFB404"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-0.1887</w:t>
            </w:r>
          </w:p>
        </w:tc>
        <w:tc>
          <w:tcPr>
            <w:tcW w:w="993" w:type="dxa"/>
            <w:tcBorders>
              <w:top w:val="nil"/>
              <w:left w:val="nil"/>
              <w:bottom w:val="nil"/>
              <w:right w:val="nil"/>
            </w:tcBorders>
            <w:shd w:val="clear" w:color="auto" w:fill="auto"/>
            <w:noWrap/>
            <w:vAlign w:val="bottom"/>
            <w:hideMark/>
          </w:tcPr>
          <w:p w14:paraId="1EDA0227"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0.25095</w:t>
            </w:r>
          </w:p>
        </w:tc>
      </w:tr>
      <w:tr w:rsidR="00460E2E" w:rsidRPr="002122FC" w14:paraId="16C099D4" w14:textId="77777777" w:rsidTr="00460E2E">
        <w:trPr>
          <w:trHeight w:val="300"/>
          <w:jc w:val="center"/>
        </w:trPr>
        <w:tc>
          <w:tcPr>
            <w:tcW w:w="1339" w:type="dxa"/>
            <w:tcBorders>
              <w:top w:val="nil"/>
              <w:left w:val="nil"/>
              <w:bottom w:val="nil"/>
              <w:right w:val="nil"/>
            </w:tcBorders>
            <w:shd w:val="clear" w:color="auto" w:fill="auto"/>
            <w:noWrap/>
            <w:vAlign w:val="center"/>
            <w:hideMark/>
          </w:tcPr>
          <w:p w14:paraId="601D6F17"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nitrogen</w:t>
            </w:r>
          </w:p>
        </w:tc>
        <w:tc>
          <w:tcPr>
            <w:tcW w:w="993" w:type="dxa"/>
            <w:tcBorders>
              <w:top w:val="nil"/>
              <w:left w:val="nil"/>
              <w:bottom w:val="nil"/>
              <w:right w:val="nil"/>
            </w:tcBorders>
            <w:shd w:val="clear" w:color="auto" w:fill="auto"/>
            <w:noWrap/>
            <w:vAlign w:val="bottom"/>
            <w:hideMark/>
          </w:tcPr>
          <w:p w14:paraId="643BA5F0"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0.95712</w:t>
            </w:r>
          </w:p>
        </w:tc>
        <w:tc>
          <w:tcPr>
            <w:tcW w:w="993" w:type="dxa"/>
            <w:tcBorders>
              <w:top w:val="nil"/>
              <w:left w:val="nil"/>
              <w:bottom w:val="nil"/>
              <w:right w:val="nil"/>
            </w:tcBorders>
            <w:shd w:val="clear" w:color="auto" w:fill="auto"/>
            <w:noWrap/>
            <w:vAlign w:val="bottom"/>
            <w:hideMark/>
          </w:tcPr>
          <w:p w14:paraId="5F59C732"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-0.0172</w:t>
            </w:r>
          </w:p>
        </w:tc>
        <w:tc>
          <w:tcPr>
            <w:tcW w:w="993" w:type="dxa"/>
            <w:tcBorders>
              <w:top w:val="nil"/>
              <w:left w:val="nil"/>
              <w:bottom w:val="nil"/>
              <w:right w:val="nil"/>
            </w:tcBorders>
            <w:shd w:val="clear" w:color="auto" w:fill="auto"/>
            <w:noWrap/>
            <w:vAlign w:val="bottom"/>
            <w:hideMark/>
          </w:tcPr>
          <w:p w14:paraId="123BAF4B"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0.2441</w:t>
            </w:r>
          </w:p>
        </w:tc>
      </w:tr>
      <w:tr w:rsidR="00460E2E" w:rsidRPr="002122FC" w14:paraId="3CE6DCAD" w14:textId="77777777" w:rsidTr="00460E2E">
        <w:trPr>
          <w:trHeight w:val="300"/>
          <w:jc w:val="center"/>
        </w:trPr>
        <w:tc>
          <w:tcPr>
            <w:tcW w:w="1339" w:type="dxa"/>
            <w:tcBorders>
              <w:top w:val="nil"/>
              <w:left w:val="nil"/>
              <w:bottom w:val="nil"/>
              <w:right w:val="nil"/>
            </w:tcBorders>
            <w:shd w:val="clear" w:color="auto" w:fill="auto"/>
            <w:noWrap/>
            <w:vAlign w:val="center"/>
            <w:hideMark/>
          </w:tcPr>
          <w:p w14:paraId="75DA1BBA"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phosphorus</w:t>
            </w:r>
          </w:p>
        </w:tc>
        <w:tc>
          <w:tcPr>
            <w:tcW w:w="993" w:type="dxa"/>
            <w:tcBorders>
              <w:top w:val="nil"/>
              <w:left w:val="nil"/>
              <w:bottom w:val="nil"/>
              <w:right w:val="nil"/>
            </w:tcBorders>
            <w:shd w:val="clear" w:color="auto" w:fill="auto"/>
            <w:noWrap/>
            <w:vAlign w:val="bottom"/>
            <w:hideMark/>
          </w:tcPr>
          <w:p w14:paraId="4B6693DF"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0.97856</w:t>
            </w:r>
          </w:p>
        </w:tc>
        <w:tc>
          <w:tcPr>
            <w:tcW w:w="993" w:type="dxa"/>
            <w:tcBorders>
              <w:top w:val="nil"/>
              <w:left w:val="nil"/>
              <w:bottom w:val="nil"/>
              <w:right w:val="nil"/>
            </w:tcBorders>
            <w:shd w:val="clear" w:color="auto" w:fill="auto"/>
            <w:noWrap/>
            <w:vAlign w:val="bottom"/>
            <w:hideMark/>
          </w:tcPr>
          <w:p w14:paraId="3943C208"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0.17774</w:t>
            </w:r>
          </w:p>
        </w:tc>
        <w:tc>
          <w:tcPr>
            <w:tcW w:w="993" w:type="dxa"/>
            <w:tcBorders>
              <w:top w:val="nil"/>
              <w:left w:val="nil"/>
              <w:bottom w:val="nil"/>
              <w:right w:val="nil"/>
            </w:tcBorders>
            <w:shd w:val="clear" w:color="auto" w:fill="auto"/>
            <w:noWrap/>
            <w:vAlign w:val="bottom"/>
            <w:hideMark/>
          </w:tcPr>
          <w:p w14:paraId="77777595"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0.01415</w:t>
            </w:r>
          </w:p>
        </w:tc>
      </w:tr>
      <w:tr w:rsidR="00460E2E" w:rsidRPr="002122FC" w14:paraId="164654E6" w14:textId="77777777" w:rsidTr="00460E2E">
        <w:trPr>
          <w:trHeight w:val="300"/>
          <w:jc w:val="center"/>
        </w:trPr>
        <w:tc>
          <w:tcPr>
            <w:tcW w:w="1339" w:type="dxa"/>
            <w:tcBorders>
              <w:top w:val="nil"/>
              <w:left w:val="nil"/>
              <w:bottom w:val="nil"/>
              <w:right w:val="nil"/>
            </w:tcBorders>
            <w:shd w:val="clear" w:color="auto" w:fill="auto"/>
            <w:noWrap/>
            <w:vAlign w:val="center"/>
            <w:hideMark/>
          </w:tcPr>
          <w:p w14:paraId="7FACA2F3"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magnesium</w:t>
            </w:r>
          </w:p>
        </w:tc>
        <w:tc>
          <w:tcPr>
            <w:tcW w:w="993" w:type="dxa"/>
            <w:tcBorders>
              <w:top w:val="nil"/>
              <w:left w:val="nil"/>
              <w:bottom w:val="nil"/>
              <w:right w:val="nil"/>
            </w:tcBorders>
            <w:shd w:val="clear" w:color="auto" w:fill="auto"/>
            <w:noWrap/>
            <w:vAlign w:val="bottom"/>
            <w:hideMark/>
          </w:tcPr>
          <w:p w14:paraId="1CF436C5"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0.98892</w:t>
            </w:r>
          </w:p>
        </w:tc>
        <w:tc>
          <w:tcPr>
            <w:tcW w:w="993" w:type="dxa"/>
            <w:tcBorders>
              <w:top w:val="nil"/>
              <w:left w:val="nil"/>
              <w:bottom w:val="nil"/>
              <w:right w:val="nil"/>
            </w:tcBorders>
            <w:shd w:val="clear" w:color="auto" w:fill="auto"/>
            <w:noWrap/>
            <w:vAlign w:val="bottom"/>
            <w:hideMark/>
          </w:tcPr>
          <w:p w14:paraId="5FE5EC05"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0.10379</w:t>
            </w:r>
          </w:p>
        </w:tc>
        <w:tc>
          <w:tcPr>
            <w:tcW w:w="993" w:type="dxa"/>
            <w:tcBorders>
              <w:top w:val="nil"/>
              <w:left w:val="nil"/>
              <w:bottom w:val="nil"/>
              <w:right w:val="nil"/>
            </w:tcBorders>
            <w:shd w:val="clear" w:color="auto" w:fill="auto"/>
            <w:noWrap/>
            <w:vAlign w:val="bottom"/>
            <w:hideMark/>
          </w:tcPr>
          <w:p w14:paraId="129C6E76"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0.03588</w:t>
            </w:r>
          </w:p>
        </w:tc>
      </w:tr>
      <w:tr w:rsidR="00460E2E" w:rsidRPr="002122FC" w14:paraId="06CC58C8" w14:textId="77777777" w:rsidTr="00460E2E">
        <w:trPr>
          <w:trHeight w:val="300"/>
          <w:jc w:val="center"/>
        </w:trPr>
        <w:tc>
          <w:tcPr>
            <w:tcW w:w="1339" w:type="dxa"/>
            <w:tcBorders>
              <w:top w:val="nil"/>
              <w:left w:val="nil"/>
              <w:bottom w:val="nil"/>
              <w:right w:val="nil"/>
            </w:tcBorders>
            <w:shd w:val="clear" w:color="auto" w:fill="auto"/>
            <w:noWrap/>
            <w:vAlign w:val="center"/>
            <w:hideMark/>
          </w:tcPr>
          <w:p w14:paraId="2333BF97"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calcium</w:t>
            </w:r>
          </w:p>
        </w:tc>
        <w:tc>
          <w:tcPr>
            <w:tcW w:w="993" w:type="dxa"/>
            <w:tcBorders>
              <w:top w:val="nil"/>
              <w:left w:val="nil"/>
              <w:bottom w:val="nil"/>
              <w:right w:val="nil"/>
            </w:tcBorders>
            <w:shd w:val="clear" w:color="auto" w:fill="auto"/>
            <w:noWrap/>
            <w:vAlign w:val="bottom"/>
            <w:hideMark/>
          </w:tcPr>
          <w:p w14:paraId="1349DB00"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0.97073</w:t>
            </w:r>
          </w:p>
        </w:tc>
        <w:tc>
          <w:tcPr>
            <w:tcW w:w="993" w:type="dxa"/>
            <w:tcBorders>
              <w:top w:val="nil"/>
              <w:left w:val="nil"/>
              <w:bottom w:val="nil"/>
              <w:right w:val="nil"/>
            </w:tcBorders>
            <w:shd w:val="clear" w:color="auto" w:fill="auto"/>
            <w:noWrap/>
            <w:vAlign w:val="bottom"/>
            <w:hideMark/>
          </w:tcPr>
          <w:p w14:paraId="13634BFF"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0.12311</w:t>
            </w:r>
          </w:p>
        </w:tc>
        <w:tc>
          <w:tcPr>
            <w:tcW w:w="993" w:type="dxa"/>
            <w:tcBorders>
              <w:top w:val="nil"/>
              <w:left w:val="nil"/>
              <w:bottom w:val="nil"/>
              <w:right w:val="nil"/>
            </w:tcBorders>
            <w:shd w:val="clear" w:color="auto" w:fill="auto"/>
            <w:noWrap/>
            <w:vAlign w:val="bottom"/>
            <w:hideMark/>
          </w:tcPr>
          <w:p w14:paraId="63672391"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-0.132</w:t>
            </w:r>
          </w:p>
        </w:tc>
      </w:tr>
      <w:tr w:rsidR="00460E2E" w:rsidRPr="002122FC" w14:paraId="165F10A7" w14:textId="77777777" w:rsidTr="00460E2E">
        <w:trPr>
          <w:trHeight w:val="300"/>
          <w:jc w:val="center"/>
        </w:trPr>
        <w:tc>
          <w:tcPr>
            <w:tcW w:w="1339" w:type="dxa"/>
            <w:tcBorders>
              <w:top w:val="nil"/>
              <w:left w:val="nil"/>
              <w:bottom w:val="nil"/>
              <w:right w:val="nil"/>
            </w:tcBorders>
            <w:shd w:val="clear" w:color="auto" w:fill="auto"/>
            <w:noWrap/>
            <w:vAlign w:val="center"/>
            <w:hideMark/>
          </w:tcPr>
          <w:p w14:paraId="6876A1BB"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potassium</w:t>
            </w:r>
          </w:p>
        </w:tc>
        <w:tc>
          <w:tcPr>
            <w:tcW w:w="993" w:type="dxa"/>
            <w:tcBorders>
              <w:top w:val="nil"/>
              <w:left w:val="nil"/>
              <w:bottom w:val="nil"/>
              <w:right w:val="nil"/>
            </w:tcBorders>
            <w:shd w:val="clear" w:color="auto" w:fill="auto"/>
            <w:noWrap/>
            <w:vAlign w:val="bottom"/>
            <w:hideMark/>
          </w:tcPr>
          <w:p w14:paraId="2A27822A"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0.73706</w:t>
            </w:r>
          </w:p>
        </w:tc>
        <w:tc>
          <w:tcPr>
            <w:tcW w:w="993" w:type="dxa"/>
            <w:tcBorders>
              <w:top w:val="nil"/>
              <w:left w:val="nil"/>
              <w:bottom w:val="nil"/>
              <w:right w:val="nil"/>
            </w:tcBorders>
            <w:shd w:val="clear" w:color="auto" w:fill="auto"/>
            <w:noWrap/>
            <w:vAlign w:val="bottom"/>
            <w:hideMark/>
          </w:tcPr>
          <w:p w14:paraId="48B94911"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-0.6283</w:t>
            </w:r>
          </w:p>
        </w:tc>
        <w:tc>
          <w:tcPr>
            <w:tcW w:w="993" w:type="dxa"/>
            <w:tcBorders>
              <w:top w:val="nil"/>
              <w:left w:val="nil"/>
              <w:bottom w:val="nil"/>
              <w:right w:val="nil"/>
            </w:tcBorders>
            <w:shd w:val="clear" w:color="auto" w:fill="auto"/>
            <w:noWrap/>
            <w:vAlign w:val="bottom"/>
            <w:hideMark/>
          </w:tcPr>
          <w:p w14:paraId="0734F9C8"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-0.2475</w:t>
            </w:r>
          </w:p>
        </w:tc>
      </w:tr>
      <w:tr w:rsidR="00460E2E" w:rsidRPr="002122FC" w14:paraId="5EFD1A10" w14:textId="77777777" w:rsidTr="00460E2E">
        <w:trPr>
          <w:trHeight w:val="300"/>
          <w:jc w:val="center"/>
        </w:trPr>
        <w:tc>
          <w:tcPr>
            <w:tcW w:w="1339" w:type="dxa"/>
            <w:tcBorders>
              <w:top w:val="nil"/>
              <w:left w:val="nil"/>
              <w:bottom w:val="single" w:sz="4" w:space="0" w:color="auto"/>
              <w:right w:val="nil"/>
            </w:tcBorders>
            <w:shd w:val="clear" w:color="auto" w:fill="auto"/>
            <w:noWrap/>
            <w:vAlign w:val="center"/>
            <w:hideMark/>
          </w:tcPr>
          <w:p w14:paraId="580E8379"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rPr>
              <w:t>sulphur</w:t>
            </w:r>
          </w:p>
        </w:tc>
        <w:tc>
          <w:tcPr>
            <w:tcW w:w="993" w:type="dxa"/>
            <w:tcBorders>
              <w:top w:val="nil"/>
              <w:left w:val="nil"/>
              <w:bottom w:val="single" w:sz="4" w:space="0" w:color="auto"/>
              <w:right w:val="nil"/>
            </w:tcBorders>
            <w:shd w:val="clear" w:color="auto" w:fill="auto"/>
            <w:noWrap/>
            <w:vAlign w:val="bottom"/>
            <w:hideMark/>
          </w:tcPr>
          <w:p w14:paraId="3FD6AAA0"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0.88604</w:t>
            </w:r>
          </w:p>
        </w:tc>
        <w:tc>
          <w:tcPr>
            <w:tcW w:w="993" w:type="dxa"/>
            <w:tcBorders>
              <w:top w:val="nil"/>
              <w:left w:val="nil"/>
              <w:bottom w:val="single" w:sz="4" w:space="0" w:color="auto"/>
              <w:right w:val="nil"/>
            </w:tcBorders>
            <w:shd w:val="clear" w:color="auto" w:fill="auto"/>
            <w:noWrap/>
            <w:vAlign w:val="bottom"/>
            <w:hideMark/>
          </w:tcPr>
          <w:p w14:paraId="295C84A8"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0.3214</w:t>
            </w:r>
          </w:p>
        </w:tc>
        <w:tc>
          <w:tcPr>
            <w:tcW w:w="993" w:type="dxa"/>
            <w:tcBorders>
              <w:top w:val="nil"/>
              <w:left w:val="nil"/>
              <w:bottom w:val="single" w:sz="4" w:space="0" w:color="auto"/>
              <w:right w:val="nil"/>
            </w:tcBorders>
            <w:shd w:val="clear" w:color="auto" w:fill="auto"/>
            <w:noWrap/>
            <w:vAlign w:val="bottom"/>
            <w:hideMark/>
          </w:tcPr>
          <w:p w14:paraId="5D59F446" w14:textId="77777777" w:rsidR="00460E2E" w:rsidRPr="002122FC" w:rsidRDefault="00460E2E" w:rsidP="00B5468F">
            <w:pPr>
              <w:spacing w:after="0" w:line="240" w:lineRule="auto"/>
              <w:rPr>
                <w:rFonts w:ascii="Cambria" w:eastAsia="Times New Roman" w:hAnsi="Cambria" w:cs="Calibri"/>
                <w:color w:val="000000"/>
                <w:lang w:val="en-US"/>
              </w:rPr>
            </w:pPr>
            <w:r w:rsidRPr="002122FC">
              <w:rPr>
                <w:rFonts w:ascii="Cambria" w:eastAsia="Times New Roman" w:hAnsi="Cambria" w:cs="Calibri"/>
                <w:color w:val="000000"/>
                <w:lang w:val="en-US"/>
              </w:rPr>
              <w:t>-0.2887</w:t>
            </w:r>
          </w:p>
        </w:tc>
      </w:tr>
    </w:tbl>
    <w:p w14:paraId="7914FBB0" w14:textId="77777777" w:rsidR="00460E2E" w:rsidRDefault="00460E2E" w:rsidP="00460E2E">
      <w:pPr>
        <w:spacing w:after="0" w:line="480" w:lineRule="auto"/>
        <w:rPr>
          <w:rFonts w:ascii="Cambria" w:hAnsi="Cambria"/>
          <w:i/>
          <w:iCs/>
          <w:sz w:val="24"/>
          <w:szCs w:val="24"/>
        </w:rPr>
      </w:pPr>
    </w:p>
    <w:p w14:paraId="235A0186" w14:textId="77777777" w:rsidR="00460E2E" w:rsidRDefault="00460E2E" w:rsidP="00460E2E">
      <w:pPr>
        <w:spacing w:after="0" w:line="480" w:lineRule="auto"/>
        <w:rPr>
          <w:rFonts w:ascii="Cambria" w:hAnsi="Cambria"/>
          <w:i/>
          <w:iCs/>
          <w:sz w:val="24"/>
          <w:szCs w:val="24"/>
        </w:rPr>
      </w:pPr>
    </w:p>
    <w:p w14:paraId="0C7EC81E" w14:textId="77777777" w:rsidR="00460E2E" w:rsidRPr="00460E2E" w:rsidRDefault="00460E2E" w:rsidP="00460E2E">
      <w:pPr>
        <w:pStyle w:val="Heading1"/>
        <w:spacing w:before="0"/>
        <w:rPr>
          <w:rFonts w:ascii="Cambria" w:hAnsi="Cambria"/>
          <w:color w:val="auto"/>
          <w:sz w:val="24"/>
          <w:szCs w:val="24"/>
        </w:rPr>
      </w:pPr>
      <w:bookmarkStart w:id="4" w:name="_Toc94201690"/>
      <w:r w:rsidRPr="00460E2E">
        <w:rPr>
          <w:rFonts w:ascii="Cambria" w:hAnsi="Cambria"/>
          <w:b/>
          <w:bCs/>
          <w:color w:val="auto"/>
          <w:sz w:val="24"/>
          <w:szCs w:val="24"/>
        </w:rPr>
        <w:t>Fig. S5</w:t>
      </w:r>
      <w:r w:rsidRPr="00460E2E">
        <w:rPr>
          <w:rFonts w:ascii="Cambria" w:hAnsi="Cambria"/>
          <w:color w:val="auto"/>
          <w:sz w:val="24"/>
          <w:szCs w:val="24"/>
        </w:rPr>
        <w:t>. Graphical representation and summary of results of the principal component analysis depicting the relationships between different variables and percentage of variance explained by the two main principal components (Dim1 and Dim2).</w:t>
      </w:r>
      <w:bookmarkEnd w:id="4"/>
      <w:r w:rsidRPr="00460E2E">
        <w:rPr>
          <w:rFonts w:ascii="Cambria" w:hAnsi="Cambria"/>
          <w:color w:val="auto"/>
          <w:sz w:val="24"/>
          <w:szCs w:val="24"/>
        </w:rPr>
        <w:t xml:space="preserve"> </w:t>
      </w:r>
    </w:p>
    <w:p w14:paraId="146011AB" w14:textId="77777777" w:rsidR="00460E2E" w:rsidRDefault="00460E2E" w:rsidP="00460E2E">
      <w:pPr>
        <w:spacing w:after="0" w:line="240" w:lineRule="auto"/>
        <w:jc w:val="both"/>
        <w:rPr>
          <w:rFonts w:ascii="Cambria" w:hAnsi="Cambria"/>
          <w:sz w:val="24"/>
          <w:szCs w:val="24"/>
        </w:rPr>
        <w:sectPr w:rsidR="00460E2E" w:rsidSect="00460E2E">
          <w:pgSz w:w="12240" w:h="15840"/>
          <w:pgMar w:top="1440" w:right="1440" w:bottom="1440" w:left="1440" w:header="720" w:footer="720" w:gutter="0"/>
          <w:cols w:space="720"/>
          <w:docGrid w:linePitch="360"/>
        </w:sectPr>
      </w:pPr>
    </w:p>
    <w:p w14:paraId="76CFCF48" w14:textId="77777777" w:rsidR="00460E2E" w:rsidRDefault="00460E2E" w:rsidP="00460E2E">
      <w:pPr>
        <w:spacing w:after="0" w:line="240" w:lineRule="auto"/>
        <w:jc w:val="both"/>
        <w:rPr>
          <w:rFonts w:ascii="Cambria" w:hAnsi="Cambria"/>
          <w:sz w:val="24"/>
          <w:szCs w:val="24"/>
        </w:rPr>
      </w:pPr>
    </w:p>
    <w:p w14:paraId="1D4FF9B1" w14:textId="77777777" w:rsidR="00460E2E" w:rsidRDefault="00460E2E" w:rsidP="00460E2E">
      <w:pPr>
        <w:spacing w:after="0" w:line="240" w:lineRule="auto"/>
        <w:jc w:val="both"/>
        <w:rPr>
          <w:rFonts w:ascii="Cambria" w:hAnsi="Cambria"/>
          <w:sz w:val="24"/>
          <w:szCs w:val="24"/>
        </w:rPr>
      </w:pPr>
    </w:p>
    <w:p w14:paraId="202AAA95" w14:textId="77777777" w:rsidR="00460E2E" w:rsidRPr="002A429F" w:rsidRDefault="00460E2E" w:rsidP="00460E2E">
      <w:pPr>
        <w:spacing w:after="0" w:line="240" w:lineRule="auto"/>
        <w:jc w:val="both"/>
        <w:rPr>
          <w:rFonts w:ascii="Cambria" w:hAnsi="Cambria"/>
          <w:sz w:val="24"/>
          <w:szCs w:val="24"/>
        </w:rPr>
      </w:pPr>
    </w:p>
    <w:p w14:paraId="426B2BD8" w14:textId="77777777" w:rsidR="00A85470" w:rsidRDefault="00A85470" w:rsidP="00460E2E">
      <w:pPr>
        <w:spacing w:after="0" w:line="480" w:lineRule="auto"/>
        <w:jc w:val="center"/>
        <w:rPr>
          <w:rFonts w:ascii="Cambria" w:hAnsi="Cambria"/>
          <w:i/>
          <w:iCs/>
          <w:sz w:val="24"/>
          <w:szCs w:val="24"/>
        </w:rPr>
      </w:pPr>
    </w:p>
    <w:p w14:paraId="1FDEE136" w14:textId="6D67CE88" w:rsidR="00460E2E" w:rsidRDefault="00460E2E" w:rsidP="00460E2E">
      <w:pPr>
        <w:spacing w:after="0" w:line="480" w:lineRule="auto"/>
        <w:jc w:val="center"/>
        <w:rPr>
          <w:rFonts w:ascii="Cambria" w:hAnsi="Cambria"/>
          <w:i/>
          <w:iCs/>
          <w:sz w:val="24"/>
          <w:szCs w:val="24"/>
        </w:rPr>
      </w:pPr>
      <w:r>
        <w:rPr>
          <w:noProof/>
        </w:rPr>
        <w:lastRenderedPageBreak/>
        <w:drawing>
          <wp:inline distT="0" distB="0" distL="0" distR="0" wp14:anchorId="0B46BE5C" wp14:editId="3401757D">
            <wp:extent cx="3159263" cy="2947505"/>
            <wp:effectExtent l="0" t="0" r="3175" b="5715"/>
            <wp:docPr id="13" name="Chart 13">
              <a:extLst xmlns:a="http://schemas.openxmlformats.org/drawingml/2006/main">
                <a:ext uri="{FF2B5EF4-FFF2-40B4-BE49-F238E27FC236}">
                  <a16:creationId xmlns:a16="http://schemas.microsoft.com/office/drawing/2014/main" id="{47521AEC-D8DB-4DE0-BE6E-B27B53232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72883E" w14:textId="77777777" w:rsidR="00460E2E" w:rsidRPr="00460E2E" w:rsidRDefault="00460E2E" w:rsidP="00460E2E">
      <w:pPr>
        <w:pStyle w:val="Heading1"/>
        <w:spacing w:before="0"/>
        <w:rPr>
          <w:rFonts w:ascii="Cambria" w:hAnsi="Cambria"/>
          <w:color w:val="auto"/>
          <w:sz w:val="24"/>
          <w:szCs w:val="24"/>
        </w:rPr>
      </w:pPr>
      <w:bookmarkStart w:id="5" w:name="_Toc94201691"/>
      <w:r w:rsidRPr="00460E2E">
        <w:rPr>
          <w:rFonts w:ascii="Cambria" w:hAnsi="Cambria"/>
          <w:b/>
          <w:bCs/>
          <w:color w:val="auto"/>
          <w:sz w:val="24"/>
          <w:szCs w:val="24"/>
        </w:rPr>
        <w:t>Fig. S6</w:t>
      </w:r>
      <w:r w:rsidRPr="00460E2E">
        <w:rPr>
          <w:rFonts w:ascii="Cambria" w:hAnsi="Cambria"/>
          <w:color w:val="auto"/>
          <w:sz w:val="24"/>
          <w:szCs w:val="24"/>
        </w:rPr>
        <w:t>. Increase in temperature of fresh human urine when it is dosed with 2 g MgO L</w:t>
      </w:r>
      <w:r w:rsidRPr="00460E2E">
        <w:rPr>
          <w:rFonts w:ascii="Cambria" w:hAnsi="Cambria"/>
          <w:color w:val="auto"/>
          <w:sz w:val="24"/>
          <w:szCs w:val="24"/>
          <w:vertAlign w:val="superscript"/>
        </w:rPr>
        <w:t>-1</w:t>
      </w:r>
      <w:r w:rsidRPr="00460E2E">
        <w:rPr>
          <w:rFonts w:ascii="Cambria" w:hAnsi="Cambria"/>
          <w:color w:val="auto"/>
          <w:sz w:val="24"/>
          <w:szCs w:val="24"/>
        </w:rPr>
        <w:t>.</w:t>
      </w:r>
      <w:bookmarkEnd w:id="5"/>
      <w:r w:rsidRPr="00460E2E">
        <w:rPr>
          <w:rFonts w:ascii="Cambria" w:hAnsi="Cambria"/>
          <w:color w:val="auto"/>
          <w:sz w:val="24"/>
          <w:szCs w:val="24"/>
        </w:rPr>
        <w:t xml:space="preserve">  </w:t>
      </w:r>
    </w:p>
    <w:p w14:paraId="78E19221" w14:textId="77777777" w:rsidR="00460E2E" w:rsidRDefault="00460E2E" w:rsidP="00460E2E">
      <w:pPr>
        <w:spacing w:after="0" w:line="240" w:lineRule="auto"/>
        <w:jc w:val="both"/>
        <w:rPr>
          <w:rFonts w:ascii="Cambria" w:hAnsi="Cambria"/>
          <w:sz w:val="24"/>
          <w:szCs w:val="24"/>
        </w:rPr>
      </w:pPr>
    </w:p>
    <w:p w14:paraId="00AFF381" w14:textId="77777777" w:rsidR="00460E2E" w:rsidRDefault="00460E2E" w:rsidP="00460E2E">
      <w:pPr>
        <w:spacing w:after="0" w:line="240" w:lineRule="auto"/>
        <w:jc w:val="both"/>
        <w:rPr>
          <w:rFonts w:ascii="Cambria" w:hAnsi="Cambria"/>
          <w:sz w:val="24"/>
          <w:szCs w:val="24"/>
        </w:rPr>
      </w:pPr>
    </w:p>
    <w:p w14:paraId="791D448C" w14:textId="77777777" w:rsidR="00460E2E" w:rsidRDefault="00460E2E" w:rsidP="00460E2E">
      <w:pPr>
        <w:spacing w:after="0" w:line="240" w:lineRule="auto"/>
        <w:jc w:val="both"/>
        <w:rPr>
          <w:rFonts w:ascii="Cambria" w:hAnsi="Cambria"/>
          <w:sz w:val="24"/>
          <w:szCs w:val="24"/>
        </w:rPr>
      </w:pPr>
    </w:p>
    <w:p w14:paraId="72DBA0E6" w14:textId="77777777" w:rsidR="00460E2E" w:rsidRDefault="00460E2E" w:rsidP="00460E2E">
      <w:pPr>
        <w:spacing w:after="0" w:line="480" w:lineRule="auto"/>
        <w:jc w:val="center"/>
        <w:rPr>
          <w:rFonts w:ascii="Cambria" w:hAnsi="Cambria"/>
          <w:b/>
          <w:bCs/>
          <w:sz w:val="24"/>
          <w:szCs w:val="24"/>
        </w:rPr>
      </w:pPr>
      <w:r>
        <w:rPr>
          <w:noProof/>
        </w:rPr>
        <w:drawing>
          <wp:inline distT="0" distB="0" distL="0" distR="0" wp14:anchorId="3704FA60" wp14:editId="55061708">
            <wp:extent cx="3037437" cy="2929890"/>
            <wp:effectExtent l="0" t="0" r="0" b="3810"/>
            <wp:docPr id="16" name="Chart 16">
              <a:extLst xmlns:a="http://schemas.openxmlformats.org/drawingml/2006/main">
                <a:ext uri="{FF2B5EF4-FFF2-40B4-BE49-F238E27FC236}">
                  <a16:creationId xmlns:a16="http://schemas.microsoft.com/office/drawing/2014/main" id="{D5931A98-25EA-4D36-A493-B27BE4351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B88E77" w14:textId="22BFFF49" w:rsidR="00460E2E" w:rsidRPr="00460E2E" w:rsidRDefault="00460E2E" w:rsidP="00460E2E">
      <w:pPr>
        <w:pStyle w:val="Heading1"/>
        <w:spacing w:before="0"/>
        <w:rPr>
          <w:rFonts w:ascii="Cambria" w:hAnsi="Cambria"/>
          <w:color w:val="auto"/>
          <w:sz w:val="24"/>
          <w:szCs w:val="24"/>
        </w:rPr>
      </w:pPr>
      <w:bookmarkStart w:id="6" w:name="_Toc94201692"/>
      <w:r w:rsidRPr="00460E2E">
        <w:rPr>
          <w:rFonts w:ascii="Cambria" w:hAnsi="Cambria"/>
          <w:b/>
          <w:bCs/>
          <w:color w:val="auto"/>
          <w:sz w:val="24"/>
          <w:szCs w:val="24"/>
        </w:rPr>
        <w:t>Fig. S7</w:t>
      </w:r>
      <w:r w:rsidRPr="00460E2E">
        <w:rPr>
          <w:rFonts w:ascii="Cambria" w:hAnsi="Cambria"/>
          <w:color w:val="auto"/>
          <w:sz w:val="24"/>
          <w:szCs w:val="24"/>
        </w:rPr>
        <w:t>. The simulated temperature of urine saturated with Mg(OH)</w:t>
      </w:r>
      <w:r w:rsidRPr="00460E2E">
        <w:rPr>
          <w:rFonts w:ascii="Cambria" w:hAnsi="Cambria"/>
          <w:color w:val="auto"/>
          <w:sz w:val="24"/>
          <w:szCs w:val="24"/>
          <w:vertAlign w:val="subscript"/>
        </w:rPr>
        <w:t>2</w:t>
      </w:r>
      <w:r w:rsidRPr="00460E2E">
        <w:rPr>
          <w:rFonts w:ascii="Cambria" w:hAnsi="Cambria"/>
          <w:color w:val="auto"/>
          <w:sz w:val="24"/>
          <w:szCs w:val="24"/>
        </w:rPr>
        <w:t xml:space="preserve"> at which pH is ≥10 (to prevent enzymatic urea hydrolysis) is shown for different urine concentration factors (CF).</w:t>
      </w:r>
      <w:bookmarkEnd w:id="6"/>
    </w:p>
    <w:p w14:paraId="393E4F43" w14:textId="77777777" w:rsidR="00460E2E" w:rsidRPr="00460E2E" w:rsidRDefault="00460E2E" w:rsidP="00460E2E">
      <w:pPr>
        <w:pStyle w:val="Heading1"/>
        <w:spacing w:before="0"/>
        <w:rPr>
          <w:rFonts w:ascii="Cambria" w:hAnsi="Cambria"/>
          <w:b/>
          <w:bCs/>
          <w:color w:val="auto"/>
          <w:sz w:val="24"/>
          <w:szCs w:val="24"/>
        </w:rPr>
      </w:pPr>
    </w:p>
    <w:p w14:paraId="267383B3" w14:textId="77777777" w:rsidR="00460E2E" w:rsidRDefault="00460E2E" w:rsidP="00460E2E">
      <w:pPr>
        <w:spacing w:after="0" w:line="240" w:lineRule="auto"/>
        <w:jc w:val="both"/>
        <w:rPr>
          <w:rFonts w:ascii="Cambria" w:hAnsi="Cambria"/>
          <w:i/>
          <w:iCs/>
          <w:sz w:val="24"/>
          <w:szCs w:val="24"/>
        </w:rPr>
      </w:pPr>
    </w:p>
    <w:p w14:paraId="38903302" w14:textId="77777777" w:rsidR="00460E2E" w:rsidRDefault="00460E2E" w:rsidP="00460E2E">
      <w:pPr>
        <w:spacing w:after="0" w:line="480" w:lineRule="auto"/>
        <w:rPr>
          <w:rFonts w:ascii="Cambria" w:hAnsi="Cambria"/>
          <w:b/>
          <w:bCs/>
          <w:sz w:val="24"/>
          <w:szCs w:val="24"/>
        </w:rPr>
      </w:pPr>
    </w:p>
    <w:p w14:paraId="1E30FF1B" w14:textId="77777777" w:rsidR="00EF3B47" w:rsidRDefault="00EF3B47" w:rsidP="00460E2E">
      <w:pPr>
        <w:spacing w:after="0" w:line="480" w:lineRule="auto"/>
        <w:jc w:val="center"/>
        <w:rPr>
          <w:rFonts w:ascii="Cambria" w:hAnsi="Cambria"/>
          <w:b/>
          <w:bCs/>
          <w:sz w:val="24"/>
          <w:szCs w:val="24"/>
        </w:rPr>
      </w:pPr>
    </w:p>
    <w:p w14:paraId="0E36DCB6" w14:textId="77777777" w:rsidR="00EF3B47" w:rsidRDefault="00EF3B47" w:rsidP="00460E2E">
      <w:pPr>
        <w:spacing w:after="0" w:line="480" w:lineRule="auto"/>
        <w:jc w:val="center"/>
        <w:rPr>
          <w:rFonts w:ascii="Cambria" w:hAnsi="Cambria"/>
          <w:b/>
          <w:bCs/>
          <w:sz w:val="24"/>
          <w:szCs w:val="24"/>
        </w:rPr>
      </w:pPr>
    </w:p>
    <w:p w14:paraId="3784EE37" w14:textId="77777777" w:rsidR="00EF3B47" w:rsidRDefault="00EF3B47" w:rsidP="00460E2E">
      <w:pPr>
        <w:spacing w:after="0" w:line="480" w:lineRule="auto"/>
        <w:jc w:val="center"/>
        <w:rPr>
          <w:rFonts w:ascii="Cambria" w:hAnsi="Cambria"/>
          <w:b/>
          <w:bCs/>
          <w:sz w:val="24"/>
          <w:szCs w:val="24"/>
        </w:rPr>
      </w:pPr>
    </w:p>
    <w:p w14:paraId="605482F6" w14:textId="77777777" w:rsidR="00EF3B47" w:rsidRDefault="00EF3B47" w:rsidP="00460E2E">
      <w:pPr>
        <w:spacing w:after="0" w:line="480" w:lineRule="auto"/>
        <w:jc w:val="center"/>
        <w:rPr>
          <w:rFonts w:ascii="Cambria" w:hAnsi="Cambria"/>
          <w:b/>
          <w:bCs/>
          <w:sz w:val="24"/>
          <w:szCs w:val="24"/>
        </w:rPr>
      </w:pPr>
    </w:p>
    <w:p w14:paraId="2847E8B7" w14:textId="01B38DD3" w:rsidR="00EF3B47" w:rsidRDefault="00EF3B47" w:rsidP="00460E2E">
      <w:pPr>
        <w:spacing w:after="0" w:line="480" w:lineRule="auto"/>
        <w:jc w:val="center"/>
        <w:rPr>
          <w:rFonts w:ascii="Cambria" w:hAnsi="Cambria"/>
          <w:b/>
          <w:bCs/>
          <w:sz w:val="24"/>
          <w:szCs w:val="24"/>
        </w:rPr>
      </w:pPr>
      <w:r>
        <w:rPr>
          <w:rFonts w:ascii="Cambria" w:hAnsi="Cambria"/>
          <w:b/>
          <w:bCs/>
          <w:noProof/>
          <w:sz w:val="24"/>
          <w:szCs w:val="24"/>
        </w:rPr>
        <w:drawing>
          <wp:inline distT="0" distB="0" distL="0" distR="0" wp14:anchorId="6B0693A9" wp14:editId="06A3F7D5">
            <wp:extent cx="3665372" cy="310092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5715" cy="3109677"/>
                    </a:xfrm>
                    <a:prstGeom prst="rect">
                      <a:avLst/>
                    </a:prstGeom>
                    <a:noFill/>
                  </pic:spPr>
                </pic:pic>
              </a:graphicData>
            </a:graphic>
          </wp:inline>
        </w:drawing>
      </w:r>
    </w:p>
    <w:p w14:paraId="6FFC3A41" w14:textId="0A4392E2" w:rsidR="00EF3B47" w:rsidRDefault="00EF3B47" w:rsidP="00EF3B47">
      <w:pPr>
        <w:pStyle w:val="Heading1"/>
        <w:spacing w:before="0"/>
        <w:rPr>
          <w:rFonts w:ascii="Cambria" w:hAnsi="Cambria"/>
          <w:color w:val="auto"/>
          <w:sz w:val="24"/>
          <w:szCs w:val="24"/>
        </w:rPr>
      </w:pPr>
      <w:bookmarkStart w:id="7" w:name="_Toc94201693"/>
      <w:r w:rsidRPr="00460E2E">
        <w:rPr>
          <w:rFonts w:ascii="Cambria" w:hAnsi="Cambria"/>
          <w:b/>
          <w:bCs/>
          <w:color w:val="auto"/>
          <w:sz w:val="24"/>
          <w:szCs w:val="24"/>
        </w:rPr>
        <w:t>Fig. S8.</w:t>
      </w:r>
      <w:r w:rsidRPr="00460E2E">
        <w:rPr>
          <w:rFonts w:ascii="Cambria" w:hAnsi="Cambria"/>
          <w:color w:val="auto"/>
          <w:sz w:val="24"/>
          <w:szCs w:val="24"/>
        </w:rPr>
        <w:t xml:space="preserve"> </w:t>
      </w:r>
      <w:r w:rsidR="00EC5778">
        <w:rPr>
          <w:rFonts w:ascii="Cambria" w:hAnsi="Cambria"/>
          <w:color w:val="auto"/>
          <w:sz w:val="24"/>
          <w:szCs w:val="24"/>
        </w:rPr>
        <w:t>Simulated c</w:t>
      </w:r>
      <w:r>
        <w:rPr>
          <w:rFonts w:ascii="Cambria" w:hAnsi="Cambria"/>
          <w:color w:val="auto"/>
          <w:sz w:val="24"/>
          <w:szCs w:val="24"/>
        </w:rPr>
        <w:t xml:space="preserve">hange in amount of major solids </w:t>
      </w:r>
      <w:r w:rsidR="00EC5778">
        <w:rPr>
          <w:rFonts w:ascii="Cambria" w:hAnsi="Cambria"/>
          <w:color w:val="auto"/>
          <w:sz w:val="24"/>
          <w:szCs w:val="24"/>
        </w:rPr>
        <w:t xml:space="preserve">formed </w:t>
      </w:r>
      <w:r>
        <w:rPr>
          <w:rFonts w:ascii="Cambria" w:hAnsi="Cambria"/>
          <w:color w:val="auto"/>
          <w:sz w:val="24"/>
          <w:szCs w:val="24"/>
        </w:rPr>
        <w:t>as function of concentration factor (CF)</w:t>
      </w:r>
      <w:r w:rsidRPr="00460E2E">
        <w:rPr>
          <w:rFonts w:ascii="Cambria" w:hAnsi="Cambria"/>
          <w:color w:val="auto"/>
          <w:sz w:val="24"/>
          <w:szCs w:val="24"/>
        </w:rPr>
        <w:t xml:space="preserve"> </w:t>
      </w:r>
      <w:r>
        <w:rPr>
          <w:rFonts w:ascii="Cambria" w:hAnsi="Cambria"/>
          <w:color w:val="auto"/>
          <w:sz w:val="24"/>
          <w:szCs w:val="24"/>
        </w:rPr>
        <w:t>when fresh urine is saturated with Ca(OH)</w:t>
      </w:r>
      <w:r w:rsidRPr="00EF3B47">
        <w:rPr>
          <w:rFonts w:ascii="Cambria" w:hAnsi="Cambria"/>
          <w:color w:val="auto"/>
          <w:sz w:val="24"/>
          <w:szCs w:val="24"/>
          <w:vertAlign w:val="subscript"/>
        </w:rPr>
        <w:t>2</w:t>
      </w:r>
      <w:r>
        <w:rPr>
          <w:rFonts w:ascii="Cambria" w:hAnsi="Cambria"/>
          <w:color w:val="auto"/>
          <w:sz w:val="24"/>
          <w:szCs w:val="24"/>
        </w:rPr>
        <w:t xml:space="preserve">. </w:t>
      </w:r>
      <w:r w:rsidR="00EC5778">
        <w:rPr>
          <w:rFonts w:ascii="Cambria" w:hAnsi="Cambria"/>
          <w:color w:val="auto"/>
          <w:sz w:val="24"/>
          <w:szCs w:val="24"/>
        </w:rPr>
        <w:t xml:space="preserve">Legend: hydroxyapatite </w:t>
      </w:r>
      <w:r w:rsidR="00EC5778" w:rsidRPr="00EC5778">
        <w:rPr>
          <w:rFonts w:ascii="Cambria" w:hAnsi="Cambria"/>
          <w:color w:val="auto"/>
          <w:sz w:val="24"/>
          <w:szCs w:val="24"/>
        </w:rPr>
        <w:t>(</w:t>
      </w:r>
      <w:r w:rsidR="00EC5778" w:rsidRPr="00EC5778">
        <w:rPr>
          <w:rFonts w:ascii="Cambria" w:eastAsia="+mn-ea" w:hAnsi="Cambria" w:cs="Angsana New"/>
          <w:b/>
          <w:bCs/>
          <w:color w:val="FFC000" w:themeColor="accent4"/>
          <w:kern w:val="24"/>
          <w:sz w:val="24"/>
          <w:szCs w:val="24"/>
        </w:rPr>
        <w:t>—</w:t>
      </w:r>
      <w:r w:rsidR="00EC5778" w:rsidRPr="00EC5778">
        <w:rPr>
          <w:rFonts w:ascii="Cambria" w:hAnsi="Cambria"/>
          <w:color w:val="auto"/>
          <w:sz w:val="24"/>
          <w:szCs w:val="24"/>
        </w:rPr>
        <w:t>),</w:t>
      </w:r>
      <w:r w:rsidR="00EC5778">
        <w:rPr>
          <w:rFonts w:ascii="Cambria" w:hAnsi="Cambria"/>
          <w:sz w:val="24"/>
          <w:szCs w:val="24"/>
        </w:rPr>
        <w:t xml:space="preserve"> </w:t>
      </w:r>
      <w:r w:rsidR="00EC5778" w:rsidRPr="00EC5778">
        <w:rPr>
          <w:rFonts w:ascii="Cambria" w:hAnsi="Cambria"/>
          <w:color w:val="auto"/>
          <w:sz w:val="24"/>
          <w:szCs w:val="24"/>
        </w:rPr>
        <w:t>gypsum (</w:t>
      </w:r>
      <w:r w:rsidR="00EC5778" w:rsidRPr="00EC5778">
        <w:rPr>
          <w:rFonts w:ascii="Cambria" w:eastAsia="+mn-ea" w:hAnsi="Cambria" w:cs="Angsana New"/>
          <w:b/>
          <w:bCs/>
          <w:color w:val="ED7D31" w:themeColor="accent2"/>
          <w:kern w:val="24"/>
          <w:sz w:val="24"/>
          <w:szCs w:val="24"/>
        </w:rPr>
        <w:t>—</w:t>
      </w:r>
      <w:r w:rsidR="00EC5778" w:rsidRPr="00EC5778">
        <w:rPr>
          <w:rFonts w:ascii="Cambria" w:hAnsi="Cambria"/>
          <w:color w:val="auto"/>
          <w:sz w:val="24"/>
          <w:szCs w:val="24"/>
        </w:rPr>
        <w:t>)</w:t>
      </w:r>
      <w:r w:rsidR="00EC5778">
        <w:rPr>
          <w:rFonts w:ascii="Cambria" w:hAnsi="Cambria"/>
          <w:sz w:val="24"/>
          <w:szCs w:val="24"/>
        </w:rPr>
        <w:t xml:space="preserve"> </w:t>
      </w:r>
      <w:r w:rsidR="00EC5778" w:rsidRPr="00EC5778">
        <w:rPr>
          <w:rFonts w:ascii="Cambria" w:hAnsi="Cambria"/>
          <w:color w:val="auto"/>
          <w:sz w:val="24"/>
          <w:szCs w:val="24"/>
        </w:rPr>
        <w:t>and</w:t>
      </w:r>
      <w:r w:rsidR="00EC5778">
        <w:rPr>
          <w:rFonts w:ascii="Cambria" w:hAnsi="Cambria"/>
          <w:sz w:val="24"/>
          <w:szCs w:val="24"/>
        </w:rPr>
        <w:t xml:space="preserve"> </w:t>
      </w:r>
      <w:r w:rsidR="00EC5778" w:rsidRPr="00EC5778">
        <w:rPr>
          <w:rFonts w:ascii="Cambria" w:hAnsi="Cambria"/>
          <w:color w:val="auto"/>
          <w:sz w:val="24"/>
          <w:szCs w:val="24"/>
        </w:rPr>
        <w:t>anhydrite</w:t>
      </w:r>
      <w:r w:rsidR="00EC5778" w:rsidRPr="00EC5778">
        <w:rPr>
          <w:rFonts w:ascii="Cambria" w:hAnsi="Cambria"/>
          <w:sz w:val="24"/>
          <w:szCs w:val="24"/>
        </w:rPr>
        <w:t xml:space="preserve"> </w:t>
      </w:r>
      <w:r w:rsidR="00EC5778" w:rsidRPr="00EC5778">
        <w:rPr>
          <w:rFonts w:ascii="Cambria" w:hAnsi="Cambria"/>
          <w:color w:val="auto"/>
          <w:sz w:val="24"/>
          <w:szCs w:val="24"/>
        </w:rPr>
        <w:t>(</w:t>
      </w:r>
      <w:r w:rsidR="00EC5778" w:rsidRPr="00EC5778">
        <w:rPr>
          <w:rFonts w:ascii="Cambria" w:eastAsia="+mn-ea" w:hAnsi="Cambria" w:cs="Angsana New"/>
          <w:b/>
          <w:bCs/>
          <w:color w:val="808080" w:themeColor="background1" w:themeShade="80"/>
          <w:kern w:val="24"/>
          <w:sz w:val="24"/>
          <w:szCs w:val="24"/>
        </w:rPr>
        <w:t>—</w:t>
      </w:r>
      <w:r w:rsidR="00EC5778" w:rsidRPr="00EC5778">
        <w:rPr>
          <w:rFonts w:ascii="Cambria" w:hAnsi="Cambria"/>
          <w:color w:val="auto"/>
          <w:sz w:val="24"/>
          <w:szCs w:val="24"/>
        </w:rPr>
        <w:t>)</w:t>
      </w:r>
      <w:r w:rsidR="00EC5778">
        <w:rPr>
          <w:rFonts w:ascii="Cambria" w:hAnsi="Cambria"/>
          <w:sz w:val="24"/>
          <w:szCs w:val="24"/>
        </w:rPr>
        <w:t xml:space="preserve">. </w:t>
      </w:r>
      <w:r w:rsidRPr="00EC5778">
        <w:rPr>
          <w:rFonts w:ascii="Cambria" w:hAnsi="Cambria"/>
          <w:color w:val="auto"/>
          <w:sz w:val="24"/>
          <w:szCs w:val="24"/>
        </w:rPr>
        <w:t>Change</w:t>
      </w:r>
      <w:r>
        <w:rPr>
          <w:rFonts w:ascii="Cambria" w:hAnsi="Cambria"/>
          <w:color w:val="auto"/>
          <w:sz w:val="24"/>
          <w:szCs w:val="24"/>
        </w:rPr>
        <w:t xml:space="preserve"> in pH </w:t>
      </w:r>
      <w:r w:rsidR="00DA2639" w:rsidRPr="00EC5778">
        <w:rPr>
          <w:rFonts w:ascii="Cambria" w:hAnsi="Cambria"/>
          <w:color w:val="auto"/>
          <w:sz w:val="24"/>
          <w:szCs w:val="24"/>
        </w:rPr>
        <w:t>(</w:t>
      </w:r>
      <w:r w:rsidR="00DA2639" w:rsidRPr="00DA2639">
        <w:rPr>
          <w:rFonts w:ascii="Cambria" w:eastAsia="+mn-ea" w:hAnsi="Cambria" w:cs="Angsana New"/>
          <w:b/>
          <w:bCs/>
          <w:color w:val="4472C4" w:themeColor="accent1"/>
          <w:kern w:val="24"/>
          <w:sz w:val="24"/>
          <w:szCs w:val="24"/>
        </w:rPr>
        <w:t>—</w:t>
      </w:r>
      <w:r w:rsidR="00DA2639" w:rsidRPr="00EC5778">
        <w:rPr>
          <w:rFonts w:ascii="Cambria" w:hAnsi="Cambria"/>
          <w:color w:val="auto"/>
          <w:sz w:val="24"/>
          <w:szCs w:val="24"/>
        </w:rPr>
        <w:t>)</w:t>
      </w:r>
      <w:r w:rsidR="00DA2639">
        <w:rPr>
          <w:rFonts w:ascii="Cambria" w:hAnsi="Cambria"/>
          <w:color w:val="auto"/>
          <w:sz w:val="24"/>
          <w:szCs w:val="24"/>
        </w:rPr>
        <w:t xml:space="preserve"> </w:t>
      </w:r>
      <w:r>
        <w:rPr>
          <w:rFonts w:ascii="Cambria" w:hAnsi="Cambria"/>
          <w:color w:val="auto"/>
          <w:sz w:val="24"/>
          <w:szCs w:val="24"/>
        </w:rPr>
        <w:t>of urine is shown on secondary y-axis.</w:t>
      </w:r>
      <w:bookmarkEnd w:id="7"/>
      <w:r>
        <w:rPr>
          <w:rFonts w:ascii="Cambria" w:hAnsi="Cambria"/>
          <w:color w:val="auto"/>
          <w:sz w:val="24"/>
          <w:szCs w:val="24"/>
        </w:rPr>
        <w:t xml:space="preserve">  </w:t>
      </w:r>
    </w:p>
    <w:p w14:paraId="3AFF6631" w14:textId="77777777" w:rsidR="00EF3B47" w:rsidRDefault="00EF3B47" w:rsidP="00EF3B47">
      <w:pPr>
        <w:pStyle w:val="Heading1"/>
        <w:spacing w:before="0"/>
        <w:rPr>
          <w:rFonts w:ascii="Cambria" w:hAnsi="Cambria"/>
          <w:color w:val="auto"/>
          <w:sz w:val="24"/>
          <w:szCs w:val="24"/>
        </w:rPr>
      </w:pPr>
    </w:p>
    <w:p w14:paraId="4B8CA6D7" w14:textId="6DE95F7E" w:rsidR="00EF3B47" w:rsidRDefault="00EF3B47" w:rsidP="00460E2E">
      <w:pPr>
        <w:spacing w:after="0" w:line="480" w:lineRule="auto"/>
        <w:jc w:val="center"/>
        <w:rPr>
          <w:rFonts w:ascii="Cambria" w:hAnsi="Cambria"/>
          <w:b/>
          <w:bCs/>
          <w:sz w:val="24"/>
          <w:szCs w:val="24"/>
        </w:rPr>
      </w:pPr>
    </w:p>
    <w:p w14:paraId="2D01595D" w14:textId="77777777" w:rsidR="00EF3B47" w:rsidRDefault="00EF3B47" w:rsidP="00460E2E">
      <w:pPr>
        <w:spacing w:after="0" w:line="480" w:lineRule="auto"/>
        <w:jc w:val="center"/>
        <w:rPr>
          <w:rFonts w:ascii="Cambria" w:hAnsi="Cambria"/>
          <w:b/>
          <w:bCs/>
          <w:sz w:val="24"/>
          <w:szCs w:val="24"/>
        </w:rPr>
      </w:pPr>
    </w:p>
    <w:p w14:paraId="7E3F28FB" w14:textId="77777777" w:rsidR="00EF3B47" w:rsidRDefault="00EF3B47" w:rsidP="00460E2E">
      <w:pPr>
        <w:spacing w:after="0" w:line="480" w:lineRule="auto"/>
        <w:jc w:val="center"/>
        <w:rPr>
          <w:rFonts w:ascii="Cambria" w:hAnsi="Cambria"/>
          <w:b/>
          <w:bCs/>
          <w:sz w:val="24"/>
          <w:szCs w:val="24"/>
        </w:rPr>
      </w:pPr>
    </w:p>
    <w:p w14:paraId="16E58468" w14:textId="77777777" w:rsidR="00EF3B47" w:rsidRDefault="00EF3B47" w:rsidP="00460E2E">
      <w:pPr>
        <w:spacing w:after="0" w:line="480" w:lineRule="auto"/>
        <w:jc w:val="center"/>
        <w:rPr>
          <w:rFonts w:ascii="Cambria" w:hAnsi="Cambria"/>
          <w:b/>
          <w:bCs/>
          <w:sz w:val="24"/>
          <w:szCs w:val="24"/>
        </w:rPr>
      </w:pPr>
    </w:p>
    <w:p w14:paraId="143FCC16" w14:textId="77777777" w:rsidR="00EF3B47" w:rsidRDefault="00EF3B47" w:rsidP="00460E2E">
      <w:pPr>
        <w:spacing w:after="0" w:line="480" w:lineRule="auto"/>
        <w:jc w:val="center"/>
        <w:rPr>
          <w:rFonts w:ascii="Cambria" w:hAnsi="Cambria"/>
          <w:b/>
          <w:bCs/>
          <w:sz w:val="24"/>
          <w:szCs w:val="24"/>
        </w:rPr>
      </w:pPr>
    </w:p>
    <w:p w14:paraId="036A5D0C" w14:textId="77777777" w:rsidR="00EF3B47" w:rsidRDefault="00EF3B47" w:rsidP="00460E2E">
      <w:pPr>
        <w:spacing w:after="0" w:line="480" w:lineRule="auto"/>
        <w:jc w:val="center"/>
        <w:rPr>
          <w:rFonts w:ascii="Cambria" w:hAnsi="Cambria"/>
          <w:b/>
          <w:bCs/>
          <w:sz w:val="24"/>
          <w:szCs w:val="24"/>
        </w:rPr>
      </w:pPr>
    </w:p>
    <w:p w14:paraId="2C5AA3BB" w14:textId="77777777" w:rsidR="00EF3B47" w:rsidRDefault="00EF3B47" w:rsidP="00460E2E">
      <w:pPr>
        <w:spacing w:after="0" w:line="480" w:lineRule="auto"/>
        <w:jc w:val="center"/>
        <w:rPr>
          <w:rFonts w:ascii="Cambria" w:hAnsi="Cambria"/>
          <w:b/>
          <w:bCs/>
          <w:sz w:val="24"/>
          <w:szCs w:val="24"/>
        </w:rPr>
      </w:pPr>
    </w:p>
    <w:p w14:paraId="5FECF1A8" w14:textId="77777777" w:rsidR="00EF3B47" w:rsidRDefault="00EF3B47" w:rsidP="00460E2E">
      <w:pPr>
        <w:spacing w:after="0" w:line="480" w:lineRule="auto"/>
        <w:jc w:val="center"/>
        <w:rPr>
          <w:rFonts w:ascii="Cambria" w:hAnsi="Cambria"/>
          <w:b/>
          <w:bCs/>
          <w:sz w:val="24"/>
          <w:szCs w:val="24"/>
        </w:rPr>
      </w:pPr>
    </w:p>
    <w:p w14:paraId="2FF768B6" w14:textId="2383CF63" w:rsidR="00EF3B47" w:rsidRDefault="00EF3B47" w:rsidP="00460E2E">
      <w:pPr>
        <w:spacing w:after="0" w:line="480" w:lineRule="auto"/>
        <w:jc w:val="center"/>
        <w:rPr>
          <w:rFonts w:ascii="Cambria" w:hAnsi="Cambria"/>
          <w:b/>
          <w:bCs/>
          <w:sz w:val="24"/>
          <w:szCs w:val="24"/>
        </w:rPr>
      </w:pPr>
    </w:p>
    <w:p w14:paraId="12B7C8CF" w14:textId="77777777" w:rsidR="00EC5778" w:rsidRDefault="00EC5778" w:rsidP="00460E2E">
      <w:pPr>
        <w:spacing w:after="0" w:line="480" w:lineRule="auto"/>
        <w:jc w:val="center"/>
        <w:rPr>
          <w:rFonts w:ascii="Cambria" w:hAnsi="Cambria"/>
          <w:b/>
          <w:bCs/>
          <w:sz w:val="24"/>
          <w:szCs w:val="24"/>
        </w:rPr>
      </w:pPr>
    </w:p>
    <w:p w14:paraId="566D336B" w14:textId="77777777" w:rsidR="00EF3B47" w:rsidRDefault="00EF3B47" w:rsidP="00460E2E">
      <w:pPr>
        <w:spacing w:after="0" w:line="480" w:lineRule="auto"/>
        <w:jc w:val="center"/>
        <w:rPr>
          <w:rFonts w:ascii="Cambria" w:hAnsi="Cambria"/>
          <w:b/>
          <w:bCs/>
          <w:sz w:val="24"/>
          <w:szCs w:val="24"/>
        </w:rPr>
      </w:pPr>
    </w:p>
    <w:p w14:paraId="02C50332" w14:textId="77777777" w:rsidR="00EF3B47" w:rsidRDefault="00EF3B47" w:rsidP="00460E2E">
      <w:pPr>
        <w:spacing w:after="0" w:line="480" w:lineRule="auto"/>
        <w:jc w:val="center"/>
        <w:rPr>
          <w:rFonts w:ascii="Cambria" w:hAnsi="Cambria"/>
          <w:b/>
          <w:bCs/>
          <w:sz w:val="24"/>
          <w:szCs w:val="24"/>
        </w:rPr>
      </w:pPr>
    </w:p>
    <w:p w14:paraId="1FC65514" w14:textId="14F47F51" w:rsidR="00EF3B47" w:rsidRDefault="00EF3B47" w:rsidP="00460E2E">
      <w:pPr>
        <w:spacing w:after="0" w:line="480" w:lineRule="auto"/>
        <w:jc w:val="center"/>
        <w:rPr>
          <w:rFonts w:ascii="Cambria" w:hAnsi="Cambria"/>
          <w:b/>
          <w:bCs/>
          <w:sz w:val="24"/>
          <w:szCs w:val="24"/>
        </w:rPr>
      </w:pPr>
      <w:r>
        <w:rPr>
          <w:rFonts w:ascii="Cambria" w:hAnsi="Cambria"/>
          <w:b/>
          <w:bCs/>
          <w:noProof/>
          <w:sz w:val="24"/>
          <w:szCs w:val="24"/>
        </w:rPr>
        <w:drawing>
          <wp:inline distT="0" distB="0" distL="0" distR="0" wp14:anchorId="190F6892" wp14:editId="5D07D069">
            <wp:extent cx="3719195" cy="3042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9195" cy="3042285"/>
                    </a:xfrm>
                    <a:prstGeom prst="rect">
                      <a:avLst/>
                    </a:prstGeom>
                    <a:noFill/>
                  </pic:spPr>
                </pic:pic>
              </a:graphicData>
            </a:graphic>
          </wp:inline>
        </w:drawing>
      </w:r>
    </w:p>
    <w:p w14:paraId="4DF3AAC7" w14:textId="619127B4" w:rsidR="00460E2E" w:rsidRPr="00460E2E" w:rsidRDefault="00460E2E" w:rsidP="00460E2E">
      <w:pPr>
        <w:pStyle w:val="Heading1"/>
        <w:spacing w:before="0"/>
        <w:rPr>
          <w:rFonts w:ascii="Cambria" w:hAnsi="Cambria"/>
          <w:color w:val="auto"/>
          <w:sz w:val="24"/>
          <w:szCs w:val="24"/>
        </w:rPr>
      </w:pPr>
      <w:bookmarkStart w:id="8" w:name="_Toc94201694"/>
      <w:r w:rsidRPr="00460E2E">
        <w:rPr>
          <w:rFonts w:ascii="Cambria" w:hAnsi="Cambria"/>
          <w:b/>
          <w:bCs/>
          <w:color w:val="auto"/>
          <w:sz w:val="24"/>
          <w:szCs w:val="24"/>
        </w:rPr>
        <w:t>Fig. S</w:t>
      </w:r>
      <w:r w:rsidR="00EF3B47">
        <w:rPr>
          <w:rFonts w:ascii="Cambria" w:hAnsi="Cambria"/>
          <w:b/>
          <w:bCs/>
          <w:color w:val="auto"/>
          <w:sz w:val="24"/>
          <w:szCs w:val="24"/>
        </w:rPr>
        <w:t>9</w:t>
      </w:r>
      <w:r w:rsidRPr="00460E2E">
        <w:rPr>
          <w:rFonts w:ascii="Cambria" w:hAnsi="Cambria"/>
          <w:b/>
          <w:bCs/>
          <w:color w:val="auto"/>
          <w:sz w:val="24"/>
          <w:szCs w:val="24"/>
        </w:rPr>
        <w:t>.</w:t>
      </w:r>
      <w:r w:rsidRPr="00460E2E">
        <w:rPr>
          <w:rFonts w:ascii="Cambria" w:hAnsi="Cambria"/>
          <w:color w:val="auto"/>
          <w:sz w:val="24"/>
          <w:szCs w:val="24"/>
        </w:rPr>
        <w:t xml:space="preserve"> </w:t>
      </w:r>
      <w:r w:rsidR="00EF3B47">
        <w:rPr>
          <w:rFonts w:ascii="Cambria" w:hAnsi="Cambria"/>
          <w:color w:val="auto"/>
          <w:sz w:val="24"/>
          <w:szCs w:val="24"/>
        </w:rPr>
        <w:t>D</w:t>
      </w:r>
      <w:r w:rsidRPr="00460E2E">
        <w:rPr>
          <w:rFonts w:ascii="Cambria" w:hAnsi="Cambria"/>
          <w:color w:val="auto"/>
          <w:sz w:val="24"/>
          <w:szCs w:val="24"/>
        </w:rPr>
        <w:t>istribution (mole fraction) of soluble phosphate (</w:t>
      </w:r>
      <w:r w:rsidRPr="00460E2E">
        <w:rPr>
          <w:rFonts w:ascii="Cambria" w:hAnsi="Cambria" w:cs="Cambria Math"/>
          <w:color w:val="auto"/>
          <w:sz w:val="24"/>
          <w:szCs w:val="24"/>
        </w:rPr>
        <w:t>⋯</w:t>
      </w:r>
      <w:r w:rsidRPr="00460E2E">
        <w:rPr>
          <w:rFonts w:ascii="Cambria" w:hAnsi="Cambria"/>
          <w:color w:val="auto"/>
          <w:sz w:val="24"/>
          <w:szCs w:val="24"/>
        </w:rPr>
        <w:t>) excreted in fresh urine as precipitated struvite (MAP) and hydroxyapatite (HAP) when fresh human urine is saturated at 25 °C with Mg(OH)</w:t>
      </w:r>
      <w:r w:rsidRPr="00460E2E">
        <w:rPr>
          <w:rFonts w:ascii="Cambria" w:hAnsi="Cambria"/>
          <w:color w:val="auto"/>
          <w:sz w:val="24"/>
          <w:szCs w:val="24"/>
          <w:vertAlign w:val="subscript"/>
        </w:rPr>
        <w:t>2</w:t>
      </w:r>
      <w:r w:rsidRPr="00460E2E">
        <w:rPr>
          <w:rFonts w:ascii="Cambria" w:hAnsi="Cambria"/>
          <w:color w:val="auto"/>
          <w:sz w:val="24"/>
          <w:szCs w:val="24"/>
        </w:rPr>
        <w:t xml:space="preserve"> at various concentration factors. The water removed (%) from urine at different concentration factors is shown on secondary y-axis (—).</w:t>
      </w:r>
      <w:bookmarkEnd w:id="8"/>
      <w:r w:rsidRPr="00460E2E">
        <w:rPr>
          <w:rFonts w:ascii="Cambria" w:hAnsi="Cambria"/>
          <w:color w:val="auto"/>
          <w:sz w:val="24"/>
          <w:szCs w:val="24"/>
        </w:rPr>
        <w:t xml:space="preserve"> </w:t>
      </w:r>
    </w:p>
    <w:p w14:paraId="3668CF39" w14:textId="77777777" w:rsidR="00921248" w:rsidRDefault="00921248"/>
    <w:sectPr w:rsidR="00921248" w:rsidSect="00460E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c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2E"/>
    <w:rsid w:val="00212E7D"/>
    <w:rsid w:val="00322F70"/>
    <w:rsid w:val="00460E2E"/>
    <w:rsid w:val="004D3838"/>
    <w:rsid w:val="006A2CB3"/>
    <w:rsid w:val="00921248"/>
    <w:rsid w:val="00A85470"/>
    <w:rsid w:val="00BD3905"/>
    <w:rsid w:val="00BD6717"/>
    <w:rsid w:val="00DA2639"/>
    <w:rsid w:val="00DC572A"/>
    <w:rsid w:val="00EC5778"/>
    <w:rsid w:val="00EF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1CFF0"/>
  <w14:defaultImageDpi w14:val="32767"/>
  <w15:chartTrackingRefBased/>
  <w15:docId w15:val="{2B1B9A1F-8C7C-4796-A6C9-42EE758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2E"/>
    <w:rPr>
      <w:lang w:val="en-GB"/>
    </w:rPr>
  </w:style>
  <w:style w:type="paragraph" w:styleId="Heading1">
    <w:name w:val="heading 1"/>
    <w:basedOn w:val="Normal"/>
    <w:next w:val="Normal"/>
    <w:link w:val="Heading1Char"/>
    <w:uiPriority w:val="9"/>
    <w:qFormat/>
    <w:rsid w:val="00460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E2E"/>
    <w:rPr>
      <w:color w:val="0563C1" w:themeColor="hyperlink"/>
      <w:u w:val="single"/>
    </w:rPr>
  </w:style>
  <w:style w:type="character" w:customStyle="1" w:styleId="Heading1Char">
    <w:name w:val="Heading 1 Char"/>
    <w:basedOn w:val="DefaultParagraphFont"/>
    <w:link w:val="Heading1"/>
    <w:uiPriority w:val="9"/>
    <w:rsid w:val="00460E2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460E2E"/>
    <w:pPr>
      <w:outlineLvl w:val="9"/>
    </w:pPr>
    <w:rPr>
      <w:lang w:val="en-US"/>
    </w:rPr>
  </w:style>
  <w:style w:type="paragraph" w:styleId="TOC1">
    <w:name w:val="toc 1"/>
    <w:basedOn w:val="Normal"/>
    <w:next w:val="Normal"/>
    <w:autoRedefine/>
    <w:uiPriority w:val="39"/>
    <w:unhideWhenUsed/>
    <w:rsid w:val="00460E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ithvi.simha@mespom.eu" TargetMode="External"/><Relationship Id="rId11" Type="http://schemas.openxmlformats.org/officeDocument/2006/relationships/image" Target="media/image5.png"/><Relationship Id="rId5" Type="http://schemas.openxmlformats.org/officeDocument/2006/relationships/hyperlink" Target="mailto:Prithvi.Simha@slu.se" TargetMode="Externa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rsi0001\Dropbox%20(SLU%20Kretsloppsteknik)\Kretsloppsteknik\Prithvi\1.%20Projects\18.%20MgO%20Solubility%20%20--\Manuscropt\exp1%20CHINMO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si0001\Dropbox%20(SLU%20Kretsloppsteknik)\Kretsloppsteknik\Prithvi\1.%20Projects\18.%20MgO%20Solubility%20%20--\Manuscript\Effect%20of%20Concentration%20U1%20to%20U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55142037874023"/>
          <c:y val="4.7396017988095014E-2"/>
          <c:w val="0.75710949040963038"/>
          <c:h val="0.76705552662336451"/>
        </c:manualLayout>
      </c:layout>
      <c:scatterChart>
        <c:scatterStyle val="lineMarker"/>
        <c:varyColors val="0"/>
        <c:ser>
          <c:idx val="0"/>
          <c:order val="0"/>
          <c:spPr>
            <a:ln w="3175" cap="rnd">
              <a:solidFill>
                <a:srgbClr val="FF0000"/>
              </a:solidFill>
              <a:prstDash val="sysDash"/>
              <a:round/>
            </a:ln>
            <a:effectLst/>
          </c:spPr>
          <c:marker>
            <c:symbol val="none"/>
          </c:marker>
          <c:xVal>
            <c:numRef>
              <c:f>'F Urine- pH &amp;EC'!$DX$7:$DX$25</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30</c:v>
                </c:pt>
                <c:pt idx="17">
                  <c:v>45</c:v>
                </c:pt>
                <c:pt idx="18">
                  <c:v>60</c:v>
                </c:pt>
              </c:numCache>
            </c:numRef>
          </c:xVal>
          <c:yVal>
            <c:numRef>
              <c:f>'F Urine- pH &amp;EC'!$DY$7:$DY$25</c:f>
              <c:numCache>
                <c:formatCode>General</c:formatCode>
                <c:ptCount val="19"/>
                <c:pt idx="0">
                  <c:v>23.816666666666666</c:v>
                </c:pt>
                <c:pt idx="1">
                  <c:v>23.824999999999999</c:v>
                </c:pt>
                <c:pt idx="2">
                  <c:v>23.925000000000001</c:v>
                </c:pt>
                <c:pt idx="3">
                  <c:v>24.016666666666666</c:v>
                </c:pt>
                <c:pt idx="4">
                  <c:v>24.058333333333334</c:v>
                </c:pt>
                <c:pt idx="5">
                  <c:v>24.108333333333334</c:v>
                </c:pt>
                <c:pt idx="6">
                  <c:v>24.150000000000002</c:v>
                </c:pt>
                <c:pt idx="7">
                  <c:v>24.175000000000001</c:v>
                </c:pt>
                <c:pt idx="8">
                  <c:v>24.216666666666669</c:v>
                </c:pt>
                <c:pt idx="9">
                  <c:v>24.233333333333338</c:v>
                </c:pt>
                <c:pt idx="10">
                  <c:v>24.258333333333336</c:v>
                </c:pt>
                <c:pt idx="11">
                  <c:v>24.283333333333335</c:v>
                </c:pt>
                <c:pt idx="12">
                  <c:v>24.3</c:v>
                </c:pt>
                <c:pt idx="13">
                  <c:v>24.333333333333332</c:v>
                </c:pt>
                <c:pt idx="14">
                  <c:v>24.383333333333329</c:v>
                </c:pt>
                <c:pt idx="15">
                  <c:v>24.399999999999995</c:v>
                </c:pt>
                <c:pt idx="16">
                  <c:v>24.808333333333337</c:v>
                </c:pt>
                <c:pt idx="17">
                  <c:v>25.258333333333336</c:v>
                </c:pt>
                <c:pt idx="18">
                  <c:v>25.658333333333342</c:v>
                </c:pt>
              </c:numCache>
            </c:numRef>
          </c:yVal>
          <c:smooth val="0"/>
          <c:extLst>
            <c:ext xmlns:c16="http://schemas.microsoft.com/office/drawing/2014/chart" uri="{C3380CC4-5D6E-409C-BE32-E72D297353CC}">
              <c16:uniqueId val="{00000000-5344-4B6D-A3EA-B9B8BDC5C3D6}"/>
            </c:ext>
          </c:extLst>
        </c:ser>
        <c:dLbls>
          <c:showLegendKey val="0"/>
          <c:showVal val="0"/>
          <c:showCatName val="0"/>
          <c:showSerName val="0"/>
          <c:showPercent val="0"/>
          <c:showBubbleSize val="0"/>
        </c:dLbls>
        <c:axId val="1281245536"/>
        <c:axId val="1281255936"/>
      </c:scatterChart>
      <c:valAx>
        <c:axId val="1281245536"/>
        <c:scaling>
          <c:orientation val="minMax"/>
          <c:max val="6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r>
                  <a:rPr lang="en-US"/>
                  <a:t>Time [min]</a:t>
                </a:r>
              </a:p>
            </c:rich>
          </c:tx>
          <c:layout>
            <c:manualLayout>
              <c:xMode val="edge"/>
              <c:yMode val="edge"/>
              <c:x val="0.46130538512856989"/>
              <c:y val="0.912017574552970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crossAx val="1281255936"/>
        <c:crosses val="autoZero"/>
        <c:crossBetween val="midCat"/>
        <c:majorUnit val="10"/>
      </c:valAx>
      <c:valAx>
        <c:axId val="1281255936"/>
        <c:scaling>
          <c:orientation val="minMax"/>
          <c:max val="30"/>
          <c:min val="2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r>
                  <a:rPr lang="en-US"/>
                  <a:t>Temperature [C]</a:t>
                </a:r>
              </a:p>
            </c:rich>
          </c:tx>
          <c:layout>
            <c:manualLayout>
              <c:xMode val="edge"/>
              <c:yMode val="edge"/>
              <c:x val="1.537225612429228E-2"/>
              <c:y val="0.269172401743169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crossAx val="1281245536"/>
        <c:crosses val="autoZero"/>
        <c:crossBetween val="midCat"/>
        <c:majorUnit val="2"/>
      </c:valAx>
      <c:spPr>
        <a:noFill/>
        <a:ln>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Bahnschrift Light"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MgO!$AI$14</c:f>
              <c:strCache>
                <c:ptCount val="1"/>
                <c:pt idx="0">
                  <c:v>T</c:v>
                </c:pt>
              </c:strCache>
            </c:strRef>
          </c:tx>
          <c:spPr>
            <a:ln w="19050" cap="rnd">
              <a:noFill/>
              <a:round/>
            </a:ln>
            <a:effectLst/>
          </c:spPr>
          <c:marker>
            <c:symbol val="circle"/>
            <c:size val="5"/>
            <c:spPr>
              <a:solidFill>
                <a:schemeClr val="tx1"/>
              </a:solidFill>
              <a:ln w="9525">
                <a:solidFill>
                  <a:schemeClr val="tx1"/>
                </a:solidFill>
              </a:ln>
              <a:effectLst/>
            </c:spPr>
          </c:marker>
          <c:trendline>
            <c:spPr>
              <a:ln w="6350" cap="rnd">
                <a:solidFill>
                  <a:schemeClr val="tx1"/>
                </a:solidFill>
                <a:prstDash val="sysDot"/>
              </a:ln>
              <a:effectLst/>
            </c:spPr>
            <c:trendlineType val="linear"/>
            <c:dispRSqr val="1"/>
            <c:dispEq val="1"/>
            <c:trendlineLbl>
              <c:layout>
                <c:manualLayout>
                  <c:x val="5.559993940202226E-3"/>
                  <c:y val="-0.3718665072364658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trendlineLbl>
          </c:trendline>
          <c:xVal>
            <c:numRef>
              <c:f>MgO!$AH$15:$AH$19</c:f>
              <c:numCache>
                <c:formatCode>General</c:formatCode>
                <c:ptCount val="5"/>
                <c:pt idx="0">
                  <c:v>1</c:v>
                </c:pt>
                <c:pt idx="1">
                  <c:v>2</c:v>
                </c:pt>
                <c:pt idx="2">
                  <c:v>4</c:v>
                </c:pt>
                <c:pt idx="3">
                  <c:v>8</c:v>
                </c:pt>
                <c:pt idx="4">
                  <c:v>16</c:v>
                </c:pt>
              </c:numCache>
            </c:numRef>
          </c:xVal>
          <c:yVal>
            <c:numRef>
              <c:f>MgO!$AI$15:$AI$19</c:f>
              <c:numCache>
                <c:formatCode>General</c:formatCode>
                <c:ptCount val="5"/>
                <c:pt idx="0">
                  <c:v>31</c:v>
                </c:pt>
                <c:pt idx="1">
                  <c:v>30</c:v>
                </c:pt>
                <c:pt idx="2">
                  <c:v>29</c:v>
                </c:pt>
                <c:pt idx="3">
                  <c:v>27</c:v>
                </c:pt>
                <c:pt idx="4">
                  <c:v>22</c:v>
                </c:pt>
              </c:numCache>
            </c:numRef>
          </c:yVal>
          <c:smooth val="0"/>
          <c:extLst>
            <c:ext xmlns:c16="http://schemas.microsoft.com/office/drawing/2014/chart" uri="{C3380CC4-5D6E-409C-BE32-E72D297353CC}">
              <c16:uniqueId val="{00000001-6573-456E-9B57-46C901B64428}"/>
            </c:ext>
          </c:extLst>
        </c:ser>
        <c:dLbls>
          <c:showLegendKey val="0"/>
          <c:showVal val="0"/>
          <c:showCatName val="0"/>
          <c:showSerName val="0"/>
          <c:showPercent val="0"/>
          <c:showBubbleSize val="0"/>
        </c:dLbls>
        <c:axId val="1394819199"/>
        <c:axId val="1394830847"/>
      </c:scatterChart>
      <c:valAx>
        <c:axId val="1394819199"/>
        <c:scaling>
          <c:orientation val="minMax"/>
          <c:max val="16"/>
          <c:min val="0"/>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r>
                  <a:rPr lang="en-US"/>
                  <a:t>CF [-]</a:t>
                </a:r>
              </a:p>
            </c:rich>
          </c:tx>
          <c:layout>
            <c:manualLayout>
              <c:xMode val="edge"/>
              <c:yMode val="edge"/>
              <c:x val="0.50399279984611212"/>
              <c:y val="0.918332629823969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crossAx val="1394830847"/>
        <c:crosses val="autoZero"/>
        <c:crossBetween val="midCat"/>
        <c:majorUnit val="4"/>
      </c:valAx>
      <c:valAx>
        <c:axId val="1394830847"/>
        <c:scaling>
          <c:orientation val="minMax"/>
          <c:max val="35"/>
          <c:min val="15"/>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r>
                  <a:rPr lang="en-US"/>
                  <a:t>Temperature [ C]</a:t>
                </a:r>
              </a:p>
            </c:rich>
          </c:tx>
          <c:layout>
            <c:manualLayout>
              <c:xMode val="edge"/>
              <c:yMode val="edge"/>
              <c:x val="1.1668892864511242E-2"/>
              <c:y val="0.2820061588104978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hnschrift Light" panose="020B0502040204020203" pitchFamily="34" charset="0"/>
                <a:ea typeface="+mn-ea"/>
                <a:cs typeface="+mn-cs"/>
              </a:defRPr>
            </a:pPr>
            <a:endParaRPr lang="en-US"/>
          </a:p>
        </c:txPr>
        <c:crossAx val="1394819199"/>
        <c:crosses val="autoZero"/>
        <c:crossBetween val="midCat"/>
        <c:majorUnit val="5"/>
      </c:valAx>
      <c:spPr>
        <a:noFill/>
        <a:ln>
          <a:solidFill>
            <a:schemeClr val="bg1">
              <a:lumMod val="8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Bahnschrift Light" panose="020B05020402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71DF-7F4A-4852-AD83-845D291C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Prithvi Simha</dc:creator>
  <cp:keywords/>
  <dc:description/>
  <cp:lastModifiedBy>Prithvi Simha</cp:lastModifiedBy>
  <cp:revision>8</cp:revision>
  <cp:lastPrinted>2022-01-27T18:54:00Z</cp:lastPrinted>
  <dcterms:created xsi:type="dcterms:W3CDTF">2022-01-26T09:26:00Z</dcterms:created>
  <dcterms:modified xsi:type="dcterms:W3CDTF">2022-03-27T08:44:00Z</dcterms:modified>
</cp:coreProperties>
</file>