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3" w:rsidRPr="00310DB0" w:rsidRDefault="00717FBE" w:rsidP="00B632F3">
      <w:pPr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</w:pPr>
      <w:r w:rsidRPr="00310DB0"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  <w:t>Table S1</w:t>
      </w:r>
      <w:r w:rsidR="00B632F3" w:rsidRPr="00310DB0"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  <w:t>. Distribution of genotypes and Hardy–Weinberg equilibrium test of different SNPs in Cohort 1</w:t>
      </w:r>
    </w:p>
    <w:tbl>
      <w:tblPr>
        <w:tblW w:w="14432" w:type="dxa"/>
        <w:tblInd w:w="-10" w:type="dxa"/>
        <w:tblLook w:val="04A0"/>
      </w:tblPr>
      <w:tblGrid>
        <w:gridCol w:w="964"/>
        <w:gridCol w:w="1313"/>
        <w:gridCol w:w="1141"/>
        <w:gridCol w:w="2091"/>
        <w:gridCol w:w="1738"/>
        <w:gridCol w:w="2409"/>
        <w:gridCol w:w="1592"/>
        <w:gridCol w:w="1592"/>
        <w:gridCol w:w="1592"/>
      </w:tblGrid>
      <w:tr w:rsidR="00310DB0" w:rsidRPr="00310DB0" w:rsidTr="002F0C7D">
        <w:trPr>
          <w:trHeight w:val="2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Gene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SNP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Genotype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Control group, n (%)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PMI group, n (%)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H–W </w:t>
            </w:r>
            <w:r w:rsidRPr="00310DB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  <w:t>P</w:t>
            </w: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 for </w:t>
            </w:r>
          </w:p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>control group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H–W </w:t>
            </w:r>
            <w:r w:rsidRPr="00310DB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  <w:t>P</w:t>
            </w: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 for PMI group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  <w:t>P</w:t>
            </w:r>
            <w:r w:rsidRPr="00310DB0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 xml:space="preserve"> for distribution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宋体" w:hAnsi="Times New Roman"/>
                <w:b/>
                <w:bCs/>
                <w:iCs/>
                <w:sz w:val="21"/>
                <w:szCs w:val="21"/>
                <w:lang w:eastAsia="zh-CN"/>
              </w:rPr>
            </w:pPr>
            <w:proofErr w:type="spellStart"/>
            <w:r w:rsidRPr="00310DB0">
              <w:rPr>
                <w:rFonts w:ascii="Times New Roman" w:eastAsia="宋体" w:hAnsi="Times New Roman" w:hint="eastAsia"/>
                <w:b/>
                <w:bCs/>
                <w:i/>
                <w:iCs/>
                <w:sz w:val="21"/>
                <w:szCs w:val="21"/>
                <w:lang w:eastAsia="zh-CN"/>
              </w:rPr>
              <w:t>P</w:t>
            </w:r>
            <w:r w:rsidRPr="00310DB0">
              <w:rPr>
                <w:rFonts w:ascii="Times New Roman" w:eastAsia="宋体" w:hAnsi="Times New Roman" w:hint="eastAsia"/>
                <w:b/>
                <w:bCs/>
                <w:i/>
                <w:iCs/>
                <w:sz w:val="21"/>
                <w:szCs w:val="21"/>
                <w:vertAlign w:val="subscript"/>
                <w:lang w:eastAsia="zh-CN"/>
              </w:rPr>
              <w:t>adjust</w:t>
            </w:r>
            <w:r w:rsidRPr="00310DB0">
              <w:rPr>
                <w:rFonts w:ascii="Times New Roman" w:eastAsia="宋体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for</w:t>
            </w:r>
            <w:proofErr w:type="spellEnd"/>
          </w:p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 w:hint="eastAsia"/>
                <w:b/>
                <w:bCs/>
                <w:iCs/>
                <w:sz w:val="21"/>
                <w:szCs w:val="21"/>
                <w:lang w:eastAsia="zh-CN"/>
              </w:rPr>
              <w:t>distribution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  <w:t>PCSK9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rs2479409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598 (48.3)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196 (47.5)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0.374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0.754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0.908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.927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535 (43.2)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179 (43.3)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106 (8.6)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38 (9.2)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rs11583680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952 (76.8)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324 (78.5)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A974FA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A974FA"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  <w:t>&lt; 0.001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0.274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  <w:t>–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CT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246 (19.9)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81 (19.6)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TT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41 (3.3)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8 (1.9)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rs151193009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1183 (95.5)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406 (98.3)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0.100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0.862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0.032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.104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CT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54 (4.3)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7 (1.7)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TT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 (0.2)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 (0.0)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rs505151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1093 (88.2)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366 (88.6)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0.229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0.674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0.914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.927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144 (11.6)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46 (11.1)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 (0.2)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 (0.2)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eastAsia="zh-CN"/>
              </w:rPr>
              <w:t>APOB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rs1042034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663 (53.5)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252 (61.0)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0.646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0.091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0.018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0.078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CT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491 (39.6)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132 (32.0)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TT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85 (6.9)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29 (7.0)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rs676210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746 (60.2)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247 (59.8)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A974FA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A974FA"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  <w:t>&lt; 0.001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0.103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bCs/>
                <w:sz w:val="21"/>
                <w:szCs w:val="21"/>
                <w:lang w:eastAsia="zh-CN"/>
              </w:rPr>
              <w:t>–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493 (39.8)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137 (33.2)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 (0.0)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29 (7.0)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rs679899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867 (70.0)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291 (70.5)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0.712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0.915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0.927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.927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341 (27.5)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111 (26.9)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31 (2.4)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11 (2.7)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rs13306194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940(75.9)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341 (82.6)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0.721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0.707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0.018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.078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280 (22.6)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67 (16.2)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19 (1.5)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5 (1.2)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rs13306198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1076 (86.8)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360 (87.2)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0.603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0.538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0.715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.927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156 (12.6)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52 (12.6)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7 (0.6)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 (0.2)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rs1367117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945 (76.3)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305 (73.8)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0.672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0.440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0.596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.861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276 (22.3)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102 (24.7)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18 (1.5)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6 (1.5)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szCs w:val="21"/>
              </w:rPr>
            </w:pPr>
            <w:r w:rsidRPr="00310DB0">
              <w:rPr>
                <w:rFonts w:ascii="Times New Roman" w:hAnsi="Times New Roman"/>
                <w:b/>
                <w:bCs/>
                <w:i/>
                <w:iCs/>
                <w:szCs w:val="21"/>
              </w:rPr>
              <w:t>LDLR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rs6511721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678 (54.7)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229 (55.4)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0.097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0.559</w:t>
            </w: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0.372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.691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492 (39.7)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154 (37.3)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69 (5.6)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30 (7.3)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rs2738446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869 (70.1)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280 (67.8)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0.962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0.469</w:t>
            </w:r>
          </w:p>
        </w:tc>
        <w:tc>
          <w:tcPr>
            <w:tcW w:w="1592" w:type="dxa"/>
            <w:vAlign w:val="bottom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0.574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.861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12363C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</w:t>
            </w: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337 (27.2)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119 (28.8)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bottom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12363C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GG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33 (2.7)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14 (3.4)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bottom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rs2738459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AA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738 (59.6)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220 (53.3)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632F3" w:rsidRPr="00A974FA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A974FA">
              <w:rPr>
                <w:rFonts w:ascii="Times New Roman" w:hAnsi="Times New Roman"/>
                <w:sz w:val="21"/>
                <w:szCs w:val="21"/>
                <w:lang w:eastAsia="zh-CN"/>
              </w:rPr>
              <w:t>&lt; 0.001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0.296</w:t>
            </w:r>
          </w:p>
        </w:tc>
        <w:tc>
          <w:tcPr>
            <w:tcW w:w="1592" w:type="dxa"/>
            <w:vAlign w:val="bottom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–</w:t>
            </w: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AC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392 (31.6)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157 (38.0)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bottom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</w:tr>
      <w:tr w:rsidR="00310DB0" w:rsidRPr="00310DB0" w:rsidTr="002F0C7D">
        <w:trPr>
          <w:trHeight w:val="20"/>
        </w:trPr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widowControl w:val="0"/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109 (8.8)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>36 (8.7)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F3" w:rsidRPr="00310DB0" w:rsidRDefault="00B632F3" w:rsidP="00036054">
            <w:pPr>
              <w:spacing w:line="480" w:lineRule="auto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632F3" w:rsidRPr="00310DB0" w:rsidRDefault="00B632F3" w:rsidP="000360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</w:tr>
    </w:tbl>
    <w:p w:rsidR="006C78C2" w:rsidRPr="00310DB0" w:rsidRDefault="00B632F3" w:rsidP="00036054">
      <w:pPr>
        <w:spacing w:line="480" w:lineRule="auto"/>
        <w:rPr>
          <w:rFonts w:ascii="Times New Roman" w:eastAsia="宋体" w:hAnsi="Times New Roman"/>
          <w:sz w:val="21"/>
          <w:szCs w:val="21"/>
        </w:rPr>
      </w:pPr>
      <w:r w:rsidRPr="00310DB0">
        <w:rPr>
          <w:rFonts w:ascii="Times New Roman" w:eastAsia="宋体" w:hAnsi="Times New Roman"/>
          <w:sz w:val="21"/>
          <w:szCs w:val="21"/>
        </w:rPr>
        <w:t xml:space="preserve">H–W </w:t>
      </w:r>
      <w:r w:rsidRPr="00310DB0">
        <w:rPr>
          <w:rFonts w:ascii="Times New Roman" w:eastAsia="宋体" w:hAnsi="Times New Roman"/>
          <w:i/>
          <w:sz w:val="21"/>
          <w:szCs w:val="21"/>
        </w:rPr>
        <w:t xml:space="preserve">P </w:t>
      </w:r>
      <w:r w:rsidRPr="00310DB0">
        <w:rPr>
          <w:rFonts w:ascii="Times New Roman" w:eastAsia="宋体" w:hAnsi="Times New Roman"/>
          <w:sz w:val="21"/>
          <w:szCs w:val="21"/>
        </w:rPr>
        <w:t xml:space="preserve">&lt; 0.05 means the SNP failed the HWE test. SNP = single-nucleotide polymorphism, PMI = premature myocardial infarction, PCSK9 = </w:t>
      </w:r>
      <w:proofErr w:type="spellStart"/>
      <w:r w:rsidRPr="00310DB0">
        <w:rPr>
          <w:rFonts w:ascii="Times New Roman" w:eastAsia="宋体" w:hAnsi="Times New Roman"/>
          <w:sz w:val="21"/>
          <w:szCs w:val="21"/>
        </w:rPr>
        <w:t>proprotein</w:t>
      </w:r>
      <w:proofErr w:type="spellEnd"/>
      <w:r w:rsidRPr="00310DB0">
        <w:rPr>
          <w:rFonts w:ascii="Times New Roman" w:eastAsia="宋体" w:hAnsi="Times New Roman"/>
          <w:sz w:val="21"/>
          <w:szCs w:val="21"/>
        </w:rPr>
        <w:t xml:space="preserve"> </w:t>
      </w:r>
      <w:proofErr w:type="spellStart"/>
      <w:r w:rsidRPr="00310DB0">
        <w:rPr>
          <w:rFonts w:ascii="Times New Roman" w:eastAsia="宋体" w:hAnsi="Times New Roman"/>
          <w:sz w:val="21"/>
          <w:szCs w:val="21"/>
        </w:rPr>
        <w:t>convertase</w:t>
      </w:r>
      <w:proofErr w:type="spellEnd"/>
      <w:r w:rsidRPr="00310DB0">
        <w:rPr>
          <w:rFonts w:ascii="Times New Roman" w:eastAsia="宋体" w:hAnsi="Times New Roman"/>
          <w:sz w:val="21"/>
          <w:szCs w:val="21"/>
        </w:rPr>
        <w:t xml:space="preserve"> </w:t>
      </w:r>
      <w:proofErr w:type="spellStart"/>
      <w:r w:rsidRPr="00310DB0">
        <w:rPr>
          <w:rFonts w:ascii="Times New Roman" w:eastAsia="宋体" w:hAnsi="Times New Roman"/>
          <w:sz w:val="21"/>
          <w:szCs w:val="21"/>
        </w:rPr>
        <w:t>subtilisin</w:t>
      </w:r>
      <w:proofErr w:type="spellEnd"/>
      <w:r w:rsidRPr="00310DB0">
        <w:rPr>
          <w:rFonts w:ascii="Times New Roman" w:eastAsia="宋体" w:hAnsi="Times New Roman"/>
          <w:sz w:val="21"/>
          <w:szCs w:val="21"/>
        </w:rPr>
        <w:t>/</w:t>
      </w:r>
      <w:proofErr w:type="spellStart"/>
      <w:r w:rsidRPr="00310DB0">
        <w:rPr>
          <w:rFonts w:ascii="Times New Roman" w:eastAsia="宋体" w:hAnsi="Times New Roman"/>
          <w:sz w:val="21"/>
          <w:szCs w:val="21"/>
        </w:rPr>
        <w:t>kexin</w:t>
      </w:r>
      <w:proofErr w:type="spellEnd"/>
      <w:r w:rsidRPr="00310DB0">
        <w:rPr>
          <w:rFonts w:ascii="Times New Roman" w:eastAsia="宋体" w:hAnsi="Times New Roman"/>
          <w:sz w:val="21"/>
          <w:szCs w:val="21"/>
        </w:rPr>
        <w:t xml:space="preserve"> type 9, APOB = </w:t>
      </w:r>
      <w:proofErr w:type="spellStart"/>
      <w:r w:rsidRPr="00310DB0">
        <w:rPr>
          <w:rFonts w:ascii="Times New Roman" w:eastAsia="宋体" w:hAnsi="Times New Roman"/>
          <w:sz w:val="21"/>
          <w:szCs w:val="21"/>
        </w:rPr>
        <w:t>apolipoprotein</w:t>
      </w:r>
      <w:proofErr w:type="spellEnd"/>
      <w:r w:rsidRPr="00310DB0">
        <w:rPr>
          <w:rFonts w:ascii="Times New Roman" w:eastAsia="宋体" w:hAnsi="Times New Roman"/>
          <w:sz w:val="21"/>
          <w:szCs w:val="21"/>
        </w:rPr>
        <w:t xml:space="preserve"> B, LDLR = low-density lipoprotein receptor.</w:t>
      </w:r>
    </w:p>
    <w:p w:rsidR="006C78C2" w:rsidRPr="00310DB0" w:rsidRDefault="006C78C2">
      <w:pPr>
        <w:rPr>
          <w:rFonts w:ascii="Times New Roman" w:eastAsia="宋体" w:hAnsi="Times New Roman"/>
          <w:sz w:val="21"/>
          <w:szCs w:val="21"/>
        </w:rPr>
      </w:pPr>
      <w:r w:rsidRPr="00310DB0">
        <w:rPr>
          <w:rFonts w:ascii="Times New Roman" w:eastAsia="宋体" w:hAnsi="Times New Roman"/>
          <w:sz w:val="21"/>
          <w:szCs w:val="21"/>
        </w:rPr>
        <w:br w:type="page"/>
      </w:r>
    </w:p>
    <w:p w:rsidR="006C78C2" w:rsidRPr="00310DB0" w:rsidRDefault="006C78C2" w:rsidP="006C78C2">
      <w:pPr>
        <w:widowControl w:val="0"/>
        <w:spacing w:line="480" w:lineRule="auto"/>
        <w:jc w:val="both"/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</w:pPr>
      <w:r w:rsidRPr="00310DB0"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  <w:lastRenderedPageBreak/>
        <w:t xml:space="preserve">Table </w:t>
      </w:r>
      <w:r w:rsidR="00717FBE" w:rsidRPr="00310DB0"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  <w:t>S2</w:t>
      </w:r>
      <w:r w:rsidRPr="00310DB0"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  <w:t xml:space="preserve">. Gene–environment interaction between the rs151193009 variant of </w:t>
      </w:r>
      <w:r w:rsidRPr="00310DB0">
        <w:rPr>
          <w:rFonts w:ascii="Times New Roman" w:eastAsia="宋体" w:hAnsi="Times New Roman"/>
          <w:b/>
          <w:i/>
          <w:kern w:val="2"/>
          <w:sz w:val="24"/>
          <w:szCs w:val="24"/>
          <w:lang w:eastAsia="zh-CN"/>
        </w:rPr>
        <w:t>PCSK9</w:t>
      </w:r>
      <w:r w:rsidRPr="00310DB0">
        <w:rPr>
          <w:rFonts w:ascii="Times New Roman" w:eastAsia="宋体" w:hAnsi="Times New Roman"/>
          <w:b/>
          <w:kern w:val="2"/>
          <w:sz w:val="24"/>
          <w:szCs w:val="24"/>
          <w:lang w:eastAsia="zh-CN"/>
        </w:rPr>
        <w:t xml:space="preserve"> and traditional risk factors for CHD</w:t>
      </w:r>
    </w:p>
    <w:tbl>
      <w:tblPr>
        <w:tblW w:w="0" w:type="auto"/>
        <w:tblLook w:val="04A0"/>
      </w:tblPr>
      <w:tblGrid>
        <w:gridCol w:w="1992"/>
        <w:gridCol w:w="1694"/>
        <w:gridCol w:w="2290"/>
        <w:gridCol w:w="1993"/>
        <w:gridCol w:w="2062"/>
        <w:gridCol w:w="1735"/>
        <w:gridCol w:w="2182"/>
      </w:tblGrid>
      <w:tr w:rsidR="00310DB0" w:rsidRPr="00310DB0" w:rsidTr="006C78C2"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Risk factors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Genotype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Control group, n (%)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PMI group, n (%)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i/>
                <w:kern w:val="2"/>
                <w:sz w:val="21"/>
                <w:szCs w:val="21"/>
                <w:lang w:eastAsia="zh-CN"/>
              </w:rPr>
              <w:t xml:space="preserve">OR </w:t>
            </w: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 xml:space="preserve">(95% </w:t>
            </w:r>
            <w:r w:rsidRPr="00310DB0">
              <w:rPr>
                <w:rFonts w:ascii="Times New Roman" w:eastAsia="宋体" w:hAnsi="Times New Roman"/>
                <w:b/>
                <w:i/>
                <w:kern w:val="2"/>
                <w:sz w:val="21"/>
                <w:szCs w:val="21"/>
                <w:lang w:eastAsia="zh-CN"/>
              </w:rPr>
              <w:t>CI</w:t>
            </w: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i/>
                <w:kern w:val="2"/>
                <w:sz w:val="21"/>
                <w:szCs w:val="21"/>
                <w:lang w:eastAsia="zh-CN"/>
              </w:rPr>
              <w:t xml:space="preserve">P </w:t>
            </w: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value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i/>
                <w:kern w:val="2"/>
                <w:sz w:val="21"/>
                <w:szCs w:val="21"/>
                <w:lang w:eastAsia="zh-CN"/>
              </w:rPr>
              <w:t xml:space="preserve">SI </w:t>
            </w: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 xml:space="preserve">(95% </w:t>
            </w:r>
            <w:r w:rsidRPr="00310DB0">
              <w:rPr>
                <w:rFonts w:ascii="Times New Roman" w:eastAsia="宋体" w:hAnsi="Times New Roman"/>
                <w:b/>
                <w:i/>
                <w:kern w:val="2"/>
                <w:sz w:val="21"/>
                <w:szCs w:val="21"/>
                <w:lang w:eastAsia="zh-CN"/>
              </w:rPr>
              <w:t>CI</w:t>
            </w: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)</w:t>
            </w:r>
          </w:p>
        </w:tc>
      </w:tr>
      <w:tr w:rsidR="00310DB0" w:rsidRPr="00310DB0" w:rsidTr="006C78C2"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Hypertension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ind w:firstLineChars="100" w:firstLine="21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774 (62.5)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172 (41.6)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0.413 (0.005–30.095)</w:t>
            </w: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ind w:firstLineChars="100" w:firstLine="21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CT + TT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30 (2.4)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 (0.2)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0.150 (0.020–1.107)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0.063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414 (33.4)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234 (56.7)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2.543 (2.202–3.202)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&lt; 0.001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CT + TT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21 (1.7)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6 (1.5)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1.286 (0.511–3.233)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0.593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Diabetes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8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No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1075 (86.8)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302 (73.1)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2.769 (0.149–51.471)</w:t>
            </w: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No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CT + TT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49 (4.0)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4 (1.0)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0.291 (0.104–0.812)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0.018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113 (9.1)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104 (25.2)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3.276 (2.438–4.402)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&lt; 0.001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CT + TT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2 (0.2)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 (0.7)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5.339 (0.888–32.100)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0.067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  <w:t>Smoking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8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lastRenderedPageBreak/>
              <w:t xml:space="preserve"> No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829 (66.9)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130 (31.5)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1.000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0.120 (0.001–224.020)</w:t>
            </w: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No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CT + TT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33 (2.7)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 (0.7)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0.580 (0.175–1.918)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0.372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694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2290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359 (29.0)</w:t>
            </w:r>
          </w:p>
        </w:tc>
        <w:tc>
          <w:tcPr>
            <w:tcW w:w="1993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276 (66.8)</w:t>
            </w:r>
          </w:p>
        </w:tc>
        <w:tc>
          <w:tcPr>
            <w:tcW w:w="2062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4.903 (3.847–6.248)</w:t>
            </w:r>
          </w:p>
        </w:tc>
        <w:tc>
          <w:tcPr>
            <w:tcW w:w="1735" w:type="dxa"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&lt; 0.001</w:t>
            </w:r>
          </w:p>
        </w:tc>
        <w:tc>
          <w:tcPr>
            <w:tcW w:w="2182" w:type="dxa"/>
            <w:vMerge/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310DB0" w:rsidRPr="00310DB0" w:rsidTr="006C78C2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 xml:space="preserve"> Yes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CT + TT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18 (1.5)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4 (1.0)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1.417 (0.472–4.253)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  <w:r w:rsidRPr="00310DB0"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  <w:t>0.534</w:t>
            </w: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8C2" w:rsidRPr="00310DB0" w:rsidRDefault="006C78C2" w:rsidP="006C78C2">
            <w:pPr>
              <w:widowControl w:val="0"/>
              <w:spacing w:line="480" w:lineRule="auto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717FBE" w:rsidRPr="00310DB0" w:rsidRDefault="006C78C2" w:rsidP="00717FBE">
      <w:pPr>
        <w:spacing w:line="480" w:lineRule="auto"/>
        <w:rPr>
          <w:rFonts w:ascii="Times New Roman" w:eastAsia="宋体" w:hAnsi="Times New Roman"/>
          <w:szCs w:val="21"/>
        </w:rPr>
      </w:pPr>
      <w:r w:rsidRPr="00310DB0">
        <w:rPr>
          <w:rFonts w:ascii="Times New Roman" w:eastAsia="宋体" w:hAnsi="Times New Roman"/>
          <w:i/>
          <w:szCs w:val="21"/>
        </w:rPr>
        <w:t xml:space="preserve">SI </w:t>
      </w:r>
      <w:r w:rsidRPr="00310DB0">
        <w:rPr>
          <w:rFonts w:ascii="Times New Roman" w:eastAsia="宋体" w:hAnsi="Times New Roman"/>
          <w:szCs w:val="21"/>
        </w:rPr>
        <w:t xml:space="preserve">&gt; 1 indicates that there is a synergistic interaction between the variant and the risk factor for CHD, </w:t>
      </w:r>
      <w:r w:rsidRPr="00310DB0">
        <w:rPr>
          <w:rFonts w:ascii="Times New Roman" w:eastAsia="宋体" w:hAnsi="Times New Roman"/>
          <w:i/>
          <w:szCs w:val="21"/>
        </w:rPr>
        <w:t xml:space="preserve">SI </w:t>
      </w:r>
      <w:r w:rsidRPr="00310DB0">
        <w:rPr>
          <w:rFonts w:ascii="Times New Roman" w:eastAsia="宋体" w:hAnsi="Times New Roman"/>
          <w:szCs w:val="21"/>
        </w:rPr>
        <w:t xml:space="preserve">= 1 indicates that there is no interaction between the variant and the risk factor for CHD, and </w:t>
      </w:r>
      <w:r w:rsidRPr="00310DB0">
        <w:rPr>
          <w:rFonts w:ascii="Times New Roman" w:eastAsia="宋体" w:hAnsi="Times New Roman"/>
          <w:i/>
          <w:szCs w:val="21"/>
        </w:rPr>
        <w:t xml:space="preserve">SI </w:t>
      </w:r>
      <w:r w:rsidRPr="00310DB0">
        <w:rPr>
          <w:rFonts w:ascii="Times New Roman" w:eastAsia="宋体" w:hAnsi="Times New Roman"/>
          <w:szCs w:val="21"/>
        </w:rPr>
        <w:t>&lt; 1 indicates that there is an antagonistic interaction between the variant and the risk factor for CHD. PMI = premature myocardial infarction, OR = odds ratio, CI = confidence interval, SI = synergy index.</w:t>
      </w:r>
      <w:r w:rsidR="00717FBE" w:rsidRPr="00310DB0">
        <w:rPr>
          <w:rFonts w:ascii="Times New Roman" w:eastAsia="宋体" w:hAnsi="Times New Roman"/>
          <w:szCs w:val="21"/>
        </w:rPr>
        <w:br w:type="page"/>
      </w:r>
    </w:p>
    <w:p w:rsidR="00717FBE" w:rsidRPr="00310DB0" w:rsidRDefault="00717FBE">
      <w:pPr>
        <w:rPr>
          <w:rFonts w:ascii="Times New Roman" w:eastAsia="宋体" w:hAnsi="Times New Roman"/>
          <w:szCs w:val="21"/>
        </w:rPr>
      </w:pPr>
    </w:p>
    <w:p w:rsidR="00717FBE" w:rsidRPr="00310DB0" w:rsidRDefault="00717FBE" w:rsidP="00717FBE">
      <w:pPr>
        <w:pStyle w:val="1"/>
        <w:spacing w:line="480" w:lineRule="auto"/>
        <w:rPr>
          <w:rFonts w:ascii="Times New Roman" w:eastAsia="宋体" w:hAnsi="Times New Roman"/>
          <w:b/>
          <w:sz w:val="24"/>
          <w:szCs w:val="24"/>
        </w:rPr>
      </w:pPr>
      <w:r w:rsidRPr="00310DB0">
        <w:rPr>
          <w:rFonts w:ascii="Times New Roman" w:eastAsia="宋体" w:hAnsi="Times New Roman"/>
          <w:b/>
          <w:sz w:val="24"/>
          <w:szCs w:val="24"/>
        </w:rPr>
        <w:t>Table S3. The relationship between the rs151193009 variant and the levels of TC and LDL-C in this study</w:t>
      </w:r>
    </w:p>
    <w:tbl>
      <w:tblPr>
        <w:tblW w:w="0" w:type="auto"/>
        <w:tblLook w:val="04A0"/>
      </w:tblPr>
      <w:tblGrid>
        <w:gridCol w:w="2024"/>
        <w:gridCol w:w="2025"/>
        <w:gridCol w:w="2438"/>
        <w:gridCol w:w="1612"/>
        <w:gridCol w:w="2025"/>
        <w:gridCol w:w="2600"/>
        <w:gridCol w:w="1450"/>
      </w:tblGrid>
      <w:tr w:rsidR="00310DB0" w:rsidRPr="00310DB0" w:rsidTr="002F0C7D">
        <w:trPr>
          <w:trHeight w:val="288"/>
        </w:trPr>
        <w:tc>
          <w:tcPr>
            <w:tcW w:w="20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TC (</w:t>
            </w:r>
            <w:proofErr w:type="spellStart"/>
            <w:r w:rsidRPr="00310DB0">
              <w:rPr>
                <w:rFonts w:ascii="Times New Roman" w:eastAsia="宋体" w:hAnsi="Times New Roman"/>
                <w:b/>
                <w:szCs w:val="21"/>
              </w:rPr>
              <w:t>mmol</w:t>
            </w:r>
            <w:proofErr w:type="spellEnd"/>
            <w:r w:rsidRPr="00310DB0">
              <w:rPr>
                <w:rFonts w:ascii="Times New Roman" w:eastAsia="宋体" w:hAnsi="Times New Roman"/>
                <w:b/>
                <w:szCs w:val="21"/>
              </w:rPr>
              <w:t>/L</w:t>
            </w: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)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LDL-C (</w:t>
            </w:r>
            <w:proofErr w:type="spellStart"/>
            <w:r w:rsidRPr="00310DB0">
              <w:rPr>
                <w:rFonts w:ascii="Times New Roman" w:eastAsia="宋体" w:hAnsi="Times New Roman"/>
                <w:b/>
                <w:szCs w:val="21"/>
              </w:rPr>
              <w:t>mmol</w:t>
            </w:r>
            <w:proofErr w:type="spellEnd"/>
            <w:r w:rsidRPr="00310DB0">
              <w:rPr>
                <w:rFonts w:ascii="Times New Roman" w:eastAsia="宋体" w:hAnsi="Times New Roman"/>
                <w:b/>
                <w:szCs w:val="21"/>
              </w:rPr>
              <w:t>/L</w:t>
            </w: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)</w:t>
            </w:r>
          </w:p>
        </w:tc>
      </w:tr>
      <w:tr w:rsidR="00310DB0" w:rsidRPr="00310DB0" w:rsidTr="002F0C7D"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Variant carriers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/>
                <w:b/>
                <w:szCs w:val="21"/>
              </w:rPr>
              <w:t>Non-variant carriers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i/>
                <w:szCs w:val="21"/>
              </w:rPr>
              <w:t xml:space="preserve">P </w:t>
            </w:r>
            <w:r w:rsidRPr="00310DB0">
              <w:rPr>
                <w:rFonts w:ascii="Times New Roman" w:eastAsia="宋体" w:hAnsi="Times New Roman"/>
                <w:b/>
                <w:szCs w:val="21"/>
              </w:rPr>
              <w:t>value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Variant carriers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/>
                <w:b/>
                <w:szCs w:val="21"/>
              </w:rPr>
              <w:t>Non-variant carriers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i/>
                <w:szCs w:val="21"/>
              </w:rPr>
              <w:t xml:space="preserve">P </w:t>
            </w:r>
            <w:r w:rsidRPr="00310DB0">
              <w:rPr>
                <w:rFonts w:ascii="Times New Roman" w:eastAsia="宋体" w:hAnsi="Times New Roman"/>
                <w:b/>
                <w:szCs w:val="21"/>
              </w:rPr>
              <w:t>value</w:t>
            </w:r>
          </w:p>
        </w:tc>
      </w:tr>
      <w:tr w:rsidR="00310DB0" w:rsidRPr="00310DB0" w:rsidTr="002F0C7D"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Cohort 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>3.85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1.13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4.17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1.22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/>
                <w:szCs w:val="21"/>
              </w:rPr>
              <w:t>0.041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2.33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1.22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2.75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0.91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>0.009</w:t>
            </w:r>
          </w:p>
        </w:tc>
      </w:tr>
      <w:tr w:rsidR="00310DB0" w:rsidRPr="00310DB0" w:rsidTr="002F0C7D"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b/>
                <w:szCs w:val="21"/>
              </w:rPr>
              <w:t>Cohort 2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4.26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0.77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4.56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1.05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>0.011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2.51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0.70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 xml:space="preserve">2.88 </w:t>
            </w:r>
            <w:r w:rsidRPr="00310DB0">
              <w:rPr>
                <w:rFonts w:ascii="Times New Roman" w:hAnsi="Times New Roman"/>
                <w:kern w:val="0"/>
                <w:szCs w:val="21"/>
              </w:rPr>
              <w:sym w:font="Symbol" w:char="F0B1"/>
            </w:r>
            <w:r w:rsidRPr="00310DB0">
              <w:rPr>
                <w:rFonts w:ascii="Times New Roman" w:hAnsi="Times New Roman"/>
                <w:kern w:val="0"/>
                <w:szCs w:val="21"/>
              </w:rPr>
              <w:t xml:space="preserve"> 1.12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310DB0" w:rsidRDefault="00717FBE" w:rsidP="002F0C7D">
            <w:pPr>
              <w:pStyle w:val="1"/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310DB0">
              <w:rPr>
                <w:rFonts w:ascii="Times New Roman" w:eastAsia="宋体" w:hAnsi="Times New Roman" w:hint="eastAsia"/>
                <w:szCs w:val="21"/>
              </w:rPr>
              <w:t>0.0</w:t>
            </w:r>
            <w:r w:rsidRPr="00310DB0">
              <w:rPr>
                <w:rFonts w:ascii="Times New Roman" w:eastAsia="宋体" w:hAnsi="Times New Roman"/>
                <w:szCs w:val="21"/>
              </w:rPr>
              <w:t>0</w:t>
            </w:r>
            <w:r w:rsidRPr="00310DB0">
              <w:rPr>
                <w:rFonts w:ascii="Times New Roman" w:eastAsia="宋体" w:hAnsi="Times New Roman" w:hint="eastAsia"/>
                <w:szCs w:val="21"/>
              </w:rPr>
              <w:t>1</w:t>
            </w:r>
          </w:p>
        </w:tc>
      </w:tr>
    </w:tbl>
    <w:p w:rsidR="00B632F3" w:rsidRPr="00310DB0" w:rsidRDefault="00717FBE" w:rsidP="00036054">
      <w:pPr>
        <w:spacing w:line="480" w:lineRule="auto"/>
        <w:rPr>
          <w:sz w:val="21"/>
          <w:szCs w:val="21"/>
        </w:rPr>
      </w:pPr>
      <w:r w:rsidRPr="00310DB0">
        <w:rPr>
          <w:rFonts w:ascii="Times New Roman" w:eastAsia="宋体" w:hAnsi="Times New Roman"/>
          <w:szCs w:val="21"/>
        </w:rPr>
        <w:t xml:space="preserve">TC </w:t>
      </w:r>
      <w:r w:rsidRPr="00310DB0">
        <w:rPr>
          <w:rFonts w:ascii="Times New Roman" w:hAnsi="Times New Roman"/>
          <w:szCs w:val="21"/>
        </w:rPr>
        <w:t>= total cholesterol,</w:t>
      </w:r>
      <w:r w:rsidRPr="00310DB0">
        <w:rPr>
          <w:rFonts w:ascii="Times New Roman" w:eastAsia="宋体" w:hAnsi="Times New Roman"/>
          <w:szCs w:val="21"/>
        </w:rPr>
        <w:t xml:space="preserve"> LDL-C = low-density lipoprotein cholesterol.</w:t>
      </w:r>
      <w:bookmarkStart w:id="0" w:name="_GoBack"/>
      <w:bookmarkEnd w:id="0"/>
    </w:p>
    <w:sectPr w:rsidR="00B632F3" w:rsidRPr="00310DB0" w:rsidSect="000E7E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F7" w:rsidRDefault="005A4DF7" w:rsidP="000E7ED7">
      <w:r>
        <w:separator/>
      </w:r>
    </w:p>
  </w:endnote>
  <w:endnote w:type="continuationSeparator" w:id="1">
    <w:p w:rsidR="005A4DF7" w:rsidRDefault="005A4DF7" w:rsidP="000E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F7" w:rsidRDefault="005A4DF7" w:rsidP="000E7ED7">
      <w:r>
        <w:separator/>
      </w:r>
    </w:p>
  </w:footnote>
  <w:footnote w:type="continuationSeparator" w:id="1">
    <w:p w:rsidR="005A4DF7" w:rsidRDefault="005A4DF7" w:rsidP="000E7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D05"/>
    <w:rsid w:val="00036054"/>
    <w:rsid w:val="000830E4"/>
    <w:rsid w:val="000E7ED7"/>
    <w:rsid w:val="00113C01"/>
    <w:rsid w:val="0012363C"/>
    <w:rsid w:val="00310DB0"/>
    <w:rsid w:val="005A4DF7"/>
    <w:rsid w:val="006A590C"/>
    <w:rsid w:val="006C78C2"/>
    <w:rsid w:val="00717FBE"/>
    <w:rsid w:val="00A26D05"/>
    <w:rsid w:val="00A974FA"/>
    <w:rsid w:val="00B52B2C"/>
    <w:rsid w:val="00B632F3"/>
    <w:rsid w:val="00CF6269"/>
    <w:rsid w:val="00EB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D7"/>
    <w:rPr>
      <w:rFonts w:ascii="等线" w:eastAsia="等线" w:hAnsi="等线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E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E7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ED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E7ED7"/>
    <w:rPr>
      <w:sz w:val="18"/>
      <w:szCs w:val="18"/>
    </w:rPr>
  </w:style>
  <w:style w:type="paragraph" w:customStyle="1" w:styleId="1">
    <w:name w:val="正文1"/>
    <w:qFormat/>
    <w:rsid w:val="000E7ED7"/>
    <w:pPr>
      <w:widowControl w:val="0"/>
      <w:jc w:val="both"/>
    </w:pPr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13611361556@163.com</dc:creator>
  <cp:lastModifiedBy>Dell</cp:lastModifiedBy>
  <cp:revision>3</cp:revision>
  <cp:lastPrinted>2022-03-17T05:33:00Z</cp:lastPrinted>
  <dcterms:created xsi:type="dcterms:W3CDTF">2022-03-17T02:44:00Z</dcterms:created>
  <dcterms:modified xsi:type="dcterms:W3CDTF">2022-03-17T05:34:00Z</dcterms:modified>
</cp:coreProperties>
</file>