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u w:val="single"/>
          <w:rtl w:val="0"/>
        </w:rPr>
        <w:t xml:space="preserve">Appendix A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Database: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rtl w:val="0"/>
        </w:rPr>
        <w:t xml:space="preserve">OVID Medline: Epub Ahead of Print, In-Process &amp; Other Non-indexed Citations, OVID MEDLINE Daily and OVID MEDLINE 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(1947-Present)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581025</wp:posOffset>
            </wp:positionV>
            <wp:extent cx="7000875" cy="3076091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3308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30760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Database: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rtl w:val="0"/>
        </w:rPr>
        <w:t xml:space="preserve">Embase Classic, Embase (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1947-2021)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-595312</wp:posOffset>
            </wp:positionH>
            <wp:positionV relativeFrom="paragraph">
              <wp:posOffset>295275</wp:posOffset>
            </wp:positionV>
            <wp:extent cx="7134225" cy="3973432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2986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9734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Database: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highlight w:val="white"/>
          <w:rtl w:val="0"/>
        </w:rPr>
        <w:t xml:space="preserve">EBSCO CINAHL (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highlight w:val="white"/>
          <w:rtl w:val="0"/>
        </w:rPr>
        <w:t xml:space="preserve">1947-Present)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504825</wp:posOffset>
            </wp:positionV>
            <wp:extent cx="5943600" cy="4162425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41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