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1AED9" w14:textId="0CE00A43" w:rsidR="00A04A61" w:rsidRDefault="00654E8F" w:rsidP="00A04A61">
      <w:pPr>
        <w:pStyle w:val="SupplementaryMaterial"/>
      </w:pPr>
      <w:r w:rsidRPr="001549D3">
        <w:t>Supplementary Material</w:t>
      </w:r>
    </w:p>
    <w:p w14:paraId="09F65A80" w14:textId="4AFA8FC8" w:rsidR="00F249CC" w:rsidRPr="00F249CC" w:rsidRDefault="00F249CC" w:rsidP="00F249CC"/>
    <w:p w14:paraId="096AB6BD" w14:textId="5DF12449" w:rsidR="00F249CC" w:rsidRPr="00F249CC" w:rsidRDefault="00F249CC" w:rsidP="00F249CC"/>
    <w:p w14:paraId="0709E422" w14:textId="21819723" w:rsidR="00F249CC" w:rsidRPr="00F249CC" w:rsidRDefault="00F249CC" w:rsidP="00F249CC"/>
    <w:p w14:paraId="038FE8B1" w14:textId="42DE9303" w:rsidR="00F249CC" w:rsidRPr="00F249CC" w:rsidRDefault="00F249CC" w:rsidP="00F249CC"/>
    <w:p w14:paraId="6FBAA338" w14:textId="66147FF8" w:rsidR="00F249CC" w:rsidRPr="00F249CC" w:rsidRDefault="00F249CC" w:rsidP="00F249CC"/>
    <w:p w14:paraId="3B7E4B33" w14:textId="7717B1E6" w:rsidR="00F249CC" w:rsidRPr="00F249CC" w:rsidRDefault="00F249CC" w:rsidP="00F249CC"/>
    <w:p w14:paraId="6310C49B" w14:textId="1553587C" w:rsidR="00F249CC" w:rsidRPr="00F249CC" w:rsidRDefault="00F249CC" w:rsidP="00F249CC"/>
    <w:p w14:paraId="39764F49" w14:textId="0ACC6CE1" w:rsidR="00F249CC" w:rsidRPr="00F249CC" w:rsidRDefault="00F249CC" w:rsidP="00F249CC"/>
    <w:p w14:paraId="5F79A08B" w14:textId="5810E629" w:rsidR="00F249CC" w:rsidRPr="00F249CC" w:rsidRDefault="00F249CC" w:rsidP="00F249CC"/>
    <w:p w14:paraId="1B5AA1CA" w14:textId="7EFD95A0" w:rsidR="00F249CC" w:rsidRPr="00F249CC" w:rsidRDefault="00F249CC" w:rsidP="00F249CC"/>
    <w:p w14:paraId="616213C2" w14:textId="0A9CE467" w:rsidR="00F249CC" w:rsidRPr="00F249CC" w:rsidRDefault="00F249CC" w:rsidP="00F249CC"/>
    <w:p w14:paraId="3FF2FE9D" w14:textId="681E938A" w:rsidR="00F249CC" w:rsidRPr="00F249CC" w:rsidRDefault="00F249CC" w:rsidP="00F249CC"/>
    <w:p w14:paraId="780F1269" w14:textId="75423AF4" w:rsidR="00F249CC" w:rsidRPr="00F249CC" w:rsidRDefault="00F249CC" w:rsidP="00F249CC"/>
    <w:p w14:paraId="08DCA9BD" w14:textId="14687E52" w:rsidR="00F249CC" w:rsidRPr="00F249CC" w:rsidRDefault="00F249CC" w:rsidP="00F249CC"/>
    <w:p w14:paraId="07C2CE48" w14:textId="5770665D" w:rsidR="00F249CC" w:rsidRPr="00F249CC" w:rsidRDefault="00F249CC" w:rsidP="00F249CC"/>
    <w:p w14:paraId="0E13DF32" w14:textId="2B6639BD" w:rsidR="00F249CC" w:rsidRPr="00F249CC" w:rsidRDefault="00F249CC" w:rsidP="00F249CC"/>
    <w:p w14:paraId="0BC1C076" w14:textId="23011635" w:rsidR="00F249CC" w:rsidRPr="00F249CC" w:rsidRDefault="00F249CC" w:rsidP="00F249CC"/>
    <w:p w14:paraId="7BBDB097" w14:textId="372C79AE" w:rsidR="00F249CC" w:rsidRPr="00F249CC" w:rsidRDefault="00F249CC" w:rsidP="00F249CC"/>
    <w:p w14:paraId="4044E68C" w14:textId="2E4D56A3" w:rsidR="00F249CC" w:rsidRPr="00F249CC" w:rsidRDefault="00F249CC" w:rsidP="00F249CC"/>
    <w:p w14:paraId="68017385" w14:textId="1AB99A06" w:rsidR="00F249CC" w:rsidRPr="00F249CC" w:rsidRDefault="00F249CC" w:rsidP="00F249CC"/>
    <w:p w14:paraId="5D569073" w14:textId="5CF0756D" w:rsidR="00F249CC" w:rsidRPr="00F249CC" w:rsidRDefault="00F249CC" w:rsidP="00F249CC"/>
    <w:p w14:paraId="0FD5B4C9" w14:textId="148542DD" w:rsidR="00F249CC" w:rsidRPr="00F249CC" w:rsidRDefault="00F249CC" w:rsidP="00F249CC"/>
    <w:p w14:paraId="5762C278" w14:textId="02CB598D" w:rsidR="00F249CC" w:rsidRPr="00F249CC" w:rsidRDefault="00F249CC" w:rsidP="00F249CC">
      <w:pPr>
        <w:tabs>
          <w:tab w:val="left" w:pos="8511"/>
        </w:tabs>
      </w:pPr>
      <w:r>
        <w:tab/>
      </w:r>
    </w:p>
    <w:p w14:paraId="609F801D" w14:textId="76E54AD7" w:rsidR="00A04A61" w:rsidRDefault="00A04A61" w:rsidP="00A04A61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3D38B0B" wp14:editId="37920825">
            <wp:simplePos x="0" y="0"/>
            <wp:positionH relativeFrom="margin">
              <wp:align>center</wp:align>
            </wp:positionH>
            <wp:positionV relativeFrom="paragraph">
              <wp:posOffset>133070</wp:posOffset>
            </wp:positionV>
            <wp:extent cx="7207200" cy="8200800"/>
            <wp:effectExtent l="0" t="0" r="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2" t="1864" r="2324" b="21237"/>
                    <a:stretch/>
                  </pic:blipFill>
                  <pic:spPr bwMode="auto">
                    <a:xfrm>
                      <a:off x="0" y="0"/>
                      <a:ext cx="7207200" cy="82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2B884" w14:textId="17E4EB5C" w:rsidR="00CF2E99" w:rsidRDefault="00A04A61" w:rsidP="00A04A61">
      <w:pPr>
        <w:jc w:val="both"/>
        <w:rPr>
          <w:rFonts w:cs="Times New Roman"/>
          <w:szCs w:val="24"/>
          <w:lang w:val="en-AU"/>
        </w:rPr>
      </w:pPr>
      <w:r w:rsidRPr="004F2DBA">
        <w:rPr>
          <w:rFonts w:cs="Times New Roman"/>
          <w:b/>
          <w:bCs/>
          <w:szCs w:val="24"/>
          <w:lang w:val="en-AU"/>
        </w:rPr>
        <w:lastRenderedPageBreak/>
        <w:t xml:space="preserve">Supplementary Figure 1. Bioinformatics strategy used to identify T-cell populations in lymphocyte cluster. (A) </w:t>
      </w:r>
      <w:r w:rsidRPr="004F2DBA">
        <w:rPr>
          <w:rFonts w:cs="Times New Roman"/>
          <w:szCs w:val="24"/>
          <w:lang w:val="en-AU"/>
        </w:rPr>
        <w:t>Lymphocyte clusters were removed from non-lymphocyte populations and re-clustered to segregate T cells from non-T-cell lymphocyte populations based on differential expression of genes (</w:t>
      </w:r>
      <w:r w:rsidRPr="004F2DBA">
        <w:rPr>
          <w:rFonts w:cs="Times New Roman"/>
          <w:color w:val="000000" w:themeColor="text1"/>
          <w:kern w:val="24"/>
          <w:szCs w:val="24"/>
          <w:lang w:val="en-AU"/>
        </w:rPr>
        <w:t>adapted from Ebert et al</w:t>
      </w:r>
      <w:r>
        <w:rPr>
          <w:rFonts w:cs="Times New Roman"/>
          <w:color w:val="000000" w:themeColor="text1"/>
          <w:kern w:val="24"/>
          <w:szCs w:val="24"/>
          <w:lang w:val="en-AU"/>
        </w:rPr>
        <w:t>.,</w:t>
      </w:r>
      <w:r w:rsidRPr="004F2DBA">
        <w:rPr>
          <w:rFonts w:cs="Times New Roman"/>
          <w:color w:val="000000" w:themeColor="text1"/>
          <w:kern w:val="24"/>
          <w:szCs w:val="24"/>
          <w:lang w:val="en-AU"/>
        </w:rPr>
        <w:t xml:space="preserve"> 2020)</w:t>
      </w:r>
      <w:r w:rsidRPr="004F2DBA">
        <w:rPr>
          <w:rFonts w:cs="Times New Roman"/>
          <w:szCs w:val="24"/>
          <w:lang w:val="en-AU"/>
        </w:rPr>
        <w:t xml:space="preserve">. The lymphocyte UMAP plot identifies T cells, NK cells, B cells and contaminating macrophages upon re-clustering of the original lymphocyte cluster. </w:t>
      </w:r>
      <w:r w:rsidRPr="004F2DBA">
        <w:rPr>
          <w:rFonts w:cs="Times New Roman"/>
          <w:b/>
          <w:bCs/>
          <w:szCs w:val="24"/>
          <w:lang w:val="en-AU"/>
        </w:rPr>
        <w:t xml:space="preserve">(B, C) </w:t>
      </w:r>
      <w:r w:rsidRPr="004F2DBA">
        <w:rPr>
          <w:rFonts w:cs="Times New Roman"/>
          <w:szCs w:val="24"/>
          <w:lang w:val="en-AU"/>
        </w:rPr>
        <w:t>UMAP plots, where the colo</w:t>
      </w:r>
      <w:r>
        <w:rPr>
          <w:rFonts w:cs="Times New Roman"/>
          <w:szCs w:val="24"/>
          <w:lang w:val="en-AU"/>
        </w:rPr>
        <w:t>u</w:t>
      </w:r>
      <w:r w:rsidRPr="004F2DBA">
        <w:rPr>
          <w:rFonts w:cs="Times New Roman"/>
          <w:szCs w:val="24"/>
          <w:lang w:val="en-AU"/>
        </w:rPr>
        <w:t>r gradient corresponds to the level of gene expression within each cell, were used to identify lymphocyte and T-cell populations by visualising expression of lineage-markers.</w:t>
      </w:r>
      <w:r w:rsidRPr="004F2DBA">
        <w:rPr>
          <w:rFonts w:cs="Times New Roman"/>
          <w:b/>
          <w:bCs/>
          <w:szCs w:val="24"/>
          <w:lang w:val="en-AU"/>
        </w:rPr>
        <w:t xml:space="preserve"> (B) </w:t>
      </w:r>
      <w:r w:rsidRPr="004F2DBA">
        <w:rPr>
          <w:rFonts w:cs="Times New Roman"/>
          <w:szCs w:val="24"/>
          <w:lang w:val="en-AU"/>
        </w:rPr>
        <w:t xml:space="preserve">B-cell and contaminating macrophage clusters were identified by visualising expression of the canonical markers </w:t>
      </w:r>
      <w:r w:rsidRPr="004F2DBA">
        <w:rPr>
          <w:rFonts w:cs="Times New Roman"/>
          <w:i/>
          <w:iCs/>
          <w:szCs w:val="24"/>
          <w:lang w:val="en-AU"/>
        </w:rPr>
        <w:t xml:space="preserve">CD19 </w:t>
      </w:r>
      <w:r w:rsidRPr="004F2DBA">
        <w:rPr>
          <w:rFonts w:cs="Times New Roman"/>
          <w:szCs w:val="24"/>
          <w:lang w:val="en-AU"/>
        </w:rPr>
        <w:t xml:space="preserve">and </w:t>
      </w:r>
      <w:r w:rsidRPr="004F2DBA">
        <w:rPr>
          <w:rFonts w:cs="Times New Roman"/>
          <w:i/>
          <w:iCs/>
          <w:szCs w:val="24"/>
          <w:lang w:val="en-AU"/>
        </w:rPr>
        <w:t>EBF1</w:t>
      </w:r>
      <w:r w:rsidRPr="004F2DBA">
        <w:rPr>
          <w:rFonts w:cs="Times New Roman"/>
          <w:szCs w:val="24"/>
          <w:lang w:val="en-AU"/>
        </w:rPr>
        <w:t xml:space="preserve">, and </w:t>
      </w:r>
      <w:r w:rsidRPr="004F2DBA">
        <w:rPr>
          <w:rFonts w:cs="Times New Roman"/>
          <w:i/>
          <w:iCs/>
          <w:szCs w:val="24"/>
          <w:lang w:val="en-AU"/>
        </w:rPr>
        <w:t xml:space="preserve">CD14 </w:t>
      </w:r>
      <w:r w:rsidRPr="004F2DBA">
        <w:rPr>
          <w:rFonts w:cs="Times New Roman"/>
          <w:szCs w:val="24"/>
          <w:lang w:val="en-AU"/>
        </w:rPr>
        <w:t xml:space="preserve">and </w:t>
      </w:r>
      <w:r w:rsidRPr="004F2DBA">
        <w:rPr>
          <w:rFonts w:cs="Times New Roman"/>
          <w:i/>
          <w:iCs/>
          <w:szCs w:val="24"/>
          <w:lang w:val="en-AU"/>
        </w:rPr>
        <w:t xml:space="preserve">CD68 </w:t>
      </w:r>
      <w:r w:rsidRPr="004F2DBA">
        <w:rPr>
          <w:rFonts w:cs="Times New Roman"/>
          <w:szCs w:val="24"/>
          <w:lang w:val="en-AU"/>
        </w:rPr>
        <w:t>respectively.</w:t>
      </w:r>
      <w:r w:rsidRPr="004F2DBA">
        <w:rPr>
          <w:rFonts w:cs="Times New Roman"/>
          <w:i/>
          <w:iCs/>
          <w:szCs w:val="24"/>
          <w:lang w:val="en-AU"/>
        </w:rPr>
        <w:t xml:space="preserve"> </w:t>
      </w:r>
      <w:r w:rsidRPr="004F2DBA">
        <w:rPr>
          <w:rFonts w:cs="Times New Roman"/>
          <w:b/>
          <w:bCs/>
          <w:szCs w:val="24"/>
          <w:lang w:val="en-AU"/>
        </w:rPr>
        <w:t xml:space="preserve">(C) </w:t>
      </w:r>
      <w:r w:rsidRPr="004F2DBA">
        <w:rPr>
          <w:rFonts w:cs="Times New Roman"/>
          <w:szCs w:val="24"/>
          <w:lang w:val="en-AU"/>
        </w:rPr>
        <w:t>CD8</w:t>
      </w:r>
      <w:r w:rsidRPr="004F2DBA">
        <w:rPr>
          <w:rFonts w:cs="Times New Roman"/>
          <w:szCs w:val="24"/>
          <w:vertAlign w:val="superscript"/>
          <w:lang w:val="en-AU"/>
        </w:rPr>
        <w:t>+</w:t>
      </w:r>
      <w:r w:rsidRPr="004F2DBA">
        <w:rPr>
          <w:rFonts w:cs="Times New Roman"/>
          <w:szCs w:val="24"/>
          <w:lang w:val="en-AU"/>
        </w:rPr>
        <w:t xml:space="preserve"> and CD4</w:t>
      </w:r>
      <w:r w:rsidRPr="004F2DBA">
        <w:rPr>
          <w:rFonts w:cs="Times New Roman"/>
          <w:szCs w:val="24"/>
          <w:vertAlign w:val="superscript"/>
          <w:lang w:val="en-AU"/>
        </w:rPr>
        <w:t>+</w:t>
      </w:r>
      <w:r w:rsidRPr="004F2DBA">
        <w:rPr>
          <w:rFonts w:cs="Times New Roman"/>
          <w:szCs w:val="24"/>
          <w:lang w:val="en-AU"/>
        </w:rPr>
        <w:t xml:space="preserve"> T cells, Tregs and NK cells were identified by visualising </w:t>
      </w:r>
      <w:r w:rsidRPr="004F2DBA">
        <w:rPr>
          <w:rFonts w:cs="Times New Roman"/>
          <w:i/>
          <w:iCs/>
          <w:szCs w:val="24"/>
          <w:lang w:val="en-AU"/>
        </w:rPr>
        <w:t>CD3D</w:t>
      </w:r>
      <w:r w:rsidRPr="004F2DBA">
        <w:rPr>
          <w:rFonts w:cs="Times New Roman"/>
          <w:szCs w:val="24"/>
          <w:lang w:val="en-AU"/>
        </w:rPr>
        <w:t xml:space="preserve">, </w:t>
      </w:r>
      <w:r w:rsidRPr="004F2DBA">
        <w:rPr>
          <w:rFonts w:cs="Times New Roman"/>
          <w:i/>
          <w:iCs/>
          <w:szCs w:val="24"/>
          <w:lang w:val="en-AU"/>
        </w:rPr>
        <w:t>CD8A</w:t>
      </w:r>
      <w:r w:rsidRPr="004F2DBA">
        <w:rPr>
          <w:rFonts w:cs="Times New Roman"/>
          <w:szCs w:val="24"/>
          <w:lang w:val="en-AU"/>
        </w:rPr>
        <w:t xml:space="preserve">, </w:t>
      </w:r>
      <w:r w:rsidRPr="004F2DBA">
        <w:rPr>
          <w:rFonts w:cs="Times New Roman"/>
          <w:i/>
          <w:iCs/>
          <w:szCs w:val="24"/>
          <w:lang w:val="en-AU"/>
        </w:rPr>
        <w:t>CD4</w:t>
      </w:r>
      <w:r w:rsidRPr="004F2DBA">
        <w:rPr>
          <w:rFonts w:cs="Times New Roman"/>
          <w:szCs w:val="24"/>
          <w:lang w:val="en-AU"/>
        </w:rPr>
        <w:t xml:space="preserve">, </w:t>
      </w:r>
      <w:r w:rsidRPr="004F2DBA">
        <w:rPr>
          <w:rFonts w:cs="Times New Roman"/>
          <w:i/>
          <w:iCs/>
          <w:szCs w:val="24"/>
          <w:lang w:val="en-AU"/>
        </w:rPr>
        <w:t>FOXP3</w:t>
      </w:r>
      <w:r w:rsidRPr="004F2DBA">
        <w:rPr>
          <w:rFonts w:cs="Times New Roman"/>
          <w:szCs w:val="24"/>
          <w:lang w:val="en-AU"/>
        </w:rPr>
        <w:t xml:space="preserve">, and </w:t>
      </w:r>
      <w:r w:rsidRPr="004F2DBA">
        <w:rPr>
          <w:rFonts w:cs="Times New Roman"/>
          <w:i/>
          <w:iCs/>
          <w:szCs w:val="24"/>
          <w:lang w:val="en-AU"/>
        </w:rPr>
        <w:t>NCR1</w:t>
      </w:r>
      <w:r w:rsidRPr="004F2DBA">
        <w:rPr>
          <w:rFonts w:cs="Times New Roman"/>
          <w:szCs w:val="24"/>
          <w:lang w:val="en-AU"/>
        </w:rPr>
        <w:t xml:space="preserve"> genes respectively. Memory (</w:t>
      </w:r>
      <w:r w:rsidRPr="004F2DBA">
        <w:rPr>
          <w:rFonts w:cs="Times New Roman"/>
          <w:i/>
          <w:iCs/>
          <w:szCs w:val="24"/>
          <w:lang w:val="en-AU"/>
        </w:rPr>
        <w:t>TCF7</w:t>
      </w:r>
      <w:r w:rsidRPr="004F2DBA">
        <w:rPr>
          <w:rFonts w:cs="Times New Roman"/>
          <w:szCs w:val="24"/>
          <w:lang w:val="en-AU"/>
        </w:rPr>
        <w:t xml:space="preserve">, </w:t>
      </w:r>
      <w:r w:rsidRPr="004F2DBA">
        <w:rPr>
          <w:rFonts w:cs="Times New Roman"/>
          <w:i/>
          <w:iCs/>
          <w:szCs w:val="24"/>
          <w:lang w:val="en-AU"/>
        </w:rPr>
        <w:t>SELL</w:t>
      </w:r>
      <w:r w:rsidRPr="004F2DBA">
        <w:rPr>
          <w:rFonts w:cs="Times New Roman"/>
          <w:szCs w:val="24"/>
          <w:lang w:val="en-AU"/>
        </w:rPr>
        <w:t xml:space="preserve">, </w:t>
      </w:r>
      <w:r w:rsidRPr="004F2DBA">
        <w:rPr>
          <w:rFonts w:cs="Times New Roman"/>
          <w:i/>
          <w:iCs/>
          <w:szCs w:val="24"/>
          <w:lang w:val="en-AU"/>
        </w:rPr>
        <w:t>CCR7</w:t>
      </w:r>
      <w:r w:rsidRPr="004F2DBA">
        <w:rPr>
          <w:rFonts w:cs="Times New Roman"/>
          <w:szCs w:val="24"/>
          <w:lang w:val="en-AU"/>
        </w:rPr>
        <w:t xml:space="preserve">, </w:t>
      </w:r>
      <w:r w:rsidRPr="004F2DBA">
        <w:rPr>
          <w:rFonts w:cs="Times New Roman"/>
          <w:i/>
          <w:iCs/>
          <w:szCs w:val="24"/>
          <w:lang w:val="en-AU"/>
        </w:rPr>
        <w:t>IL7R</w:t>
      </w:r>
      <w:r w:rsidRPr="004F2DBA">
        <w:rPr>
          <w:rFonts w:cs="Times New Roman"/>
          <w:szCs w:val="24"/>
          <w:lang w:val="en-AU"/>
        </w:rPr>
        <w:t xml:space="preserve">, </w:t>
      </w:r>
      <w:r w:rsidRPr="004F2DBA">
        <w:rPr>
          <w:rFonts w:cs="Times New Roman"/>
          <w:i/>
          <w:iCs/>
          <w:szCs w:val="24"/>
          <w:lang w:val="en-AU"/>
        </w:rPr>
        <w:t>PTGER2</w:t>
      </w:r>
      <w:r w:rsidRPr="004F2DBA">
        <w:rPr>
          <w:rFonts w:cs="Times New Roman"/>
          <w:szCs w:val="24"/>
          <w:lang w:val="en-AU"/>
        </w:rPr>
        <w:t xml:space="preserve">, </w:t>
      </w:r>
      <w:r w:rsidRPr="004F2DBA">
        <w:rPr>
          <w:rFonts w:cs="Times New Roman"/>
          <w:i/>
          <w:iCs/>
          <w:szCs w:val="24"/>
          <w:lang w:val="en-AU"/>
        </w:rPr>
        <w:t>KLRG1</w:t>
      </w:r>
      <w:r w:rsidRPr="004F2DBA">
        <w:rPr>
          <w:rFonts w:cs="Times New Roman"/>
          <w:szCs w:val="24"/>
          <w:lang w:val="en-AU"/>
        </w:rPr>
        <w:t>) and effector (</w:t>
      </w:r>
      <w:r w:rsidRPr="004F2DBA">
        <w:rPr>
          <w:rFonts w:cs="Times New Roman"/>
          <w:i/>
          <w:iCs/>
          <w:szCs w:val="24"/>
          <w:lang w:val="en-AU"/>
        </w:rPr>
        <w:t>GZMB</w:t>
      </w:r>
      <w:r w:rsidRPr="004F2DBA">
        <w:rPr>
          <w:rFonts w:cs="Times New Roman"/>
          <w:szCs w:val="24"/>
          <w:lang w:val="en-AU"/>
        </w:rPr>
        <w:t xml:space="preserve">, </w:t>
      </w:r>
      <w:r w:rsidRPr="004F2DBA">
        <w:rPr>
          <w:rFonts w:cs="Times New Roman"/>
          <w:i/>
          <w:iCs/>
          <w:szCs w:val="24"/>
          <w:lang w:val="en-AU"/>
        </w:rPr>
        <w:t>PDCD1</w:t>
      </w:r>
      <w:r w:rsidRPr="004F2DBA">
        <w:rPr>
          <w:rFonts w:cs="Times New Roman"/>
          <w:szCs w:val="24"/>
          <w:lang w:val="en-AU"/>
        </w:rPr>
        <w:t xml:space="preserve">, </w:t>
      </w:r>
      <w:r w:rsidRPr="004F2DBA">
        <w:rPr>
          <w:rFonts w:cs="Times New Roman"/>
          <w:i/>
          <w:iCs/>
          <w:szCs w:val="24"/>
          <w:lang w:val="en-AU"/>
        </w:rPr>
        <w:t>HLA-DRA</w:t>
      </w:r>
      <w:r w:rsidRPr="004F2DBA">
        <w:rPr>
          <w:rFonts w:cs="Times New Roman"/>
          <w:szCs w:val="24"/>
          <w:lang w:val="en-AU"/>
        </w:rPr>
        <w:t xml:space="preserve">, </w:t>
      </w:r>
      <w:r w:rsidRPr="004F2DBA">
        <w:rPr>
          <w:rFonts w:cs="Times New Roman"/>
          <w:i/>
          <w:iCs/>
          <w:szCs w:val="24"/>
          <w:lang w:val="en-AU"/>
        </w:rPr>
        <w:t>KLRC1</w:t>
      </w:r>
      <w:r w:rsidRPr="004F2DBA">
        <w:rPr>
          <w:rFonts w:cs="Times New Roman"/>
          <w:szCs w:val="24"/>
          <w:lang w:val="en-AU"/>
        </w:rPr>
        <w:t xml:space="preserve">) genes were visualized to identify possible </w:t>
      </w:r>
      <w:proofErr w:type="spellStart"/>
      <w:r w:rsidRPr="004F2DBA">
        <w:rPr>
          <w:rFonts w:cs="Times New Roman"/>
          <w:szCs w:val="24"/>
          <w:lang w:val="en-AU"/>
        </w:rPr>
        <w:t>Tcm</w:t>
      </w:r>
      <w:proofErr w:type="spellEnd"/>
      <w:r w:rsidRPr="004F2DBA">
        <w:rPr>
          <w:rFonts w:cs="Times New Roman"/>
          <w:szCs w:val="24"/>
          <w:lang w:val="en-AU"/>
        </w:rPr>
        <w:t xml:space="preserve">- and </w:t>
      </w:r>
      <w:proofErr w:type="spellStart"/>
      <w:r w:rsidRPr="004F2DBA">
        <w:rPr>
          <w:rFonts w:cs="Times New Roman"/>
          <w:szCs w:val="24"/>
          <w:lang w:val="en-AU"/>
        </w:rPr>
        <w:t>Tem</w:t>
      </w:r>
      <w:proofErr w:type="spellEnd"/>
      <w:r w:rsidRPr="004F2DBA">
        <w:rPr>
          <w:rFonts w:cs="Times New Roman"/>
          <w:szCs w:val="24"/>
          <w:lang w:val="en-AU"/>
        </w:rPr>
        <w:t xml:space="preserve">-phenotypes of sequenced glioblastoma T cells. </w:t>
      </w:r>
      <w:r w:rsidRPr="004F2DBA">
        <w:rPr>
          <w:rFonts w:cs="Times New Roman"/>
          <w:i/>
          <w:iCs/>
          <w:szCs w:val="24"/>
          <w:lang w:val="en-AU"/>
        </w:rPr>
        <w:t xml:space="preserve">ITGA1, ITGAE </w:t>
      </w:r>
      <w:r w:rsidRPr="004F2DBA">
        <w:rPr>
          <w:rFonts w:cs="Times New Roman"/>
          <w:szCs w:val="24"/>
          <w:lang w:val="en-AU"/>
        </w:rPr>
        <w:t xml:space="preserve">and </w:t>
      </w:r>
      <w:r w:rsidRPr="004F2DBA">
        <w:rPr>
          <w:rFonts w:cs="Times New Roman"/>
          <w:i/>
          <w:iCs/>
          <w:szCs w:val="24"/>
          <w:lang w:val="en-AU"/>
        </w:rPr>
        <w:t>CXCR6</w:t>
      </w:r>
      <w:r w:rsidRPr="004F2DBA">
        <w:rPr>
          <w:rFonts w:cs="Times New Roman"/>
          <w:szCs w:val="24"/>
          <w:lang w:val="en-AU"/>
        </w:rPr>
        <w:t xml:space="preserve"> were used to identify T cells with a </w:t>
      </w:r>
      <w:proofErr w:type="spellStart"/>
      <w:r w:rsidRPr="004F2DBA">
        <w:rPr>
          <w:rFonts w:cs="Times New Roman"/>
          <w:szCs w:val="24"/>
          <w:lang w:val="en-AU"/>
        </w:rPr>
        <w:t>Trm</w:t>
      </w:r>
      <w:proofErr w:type="spellEnd"/>
      <w:r w:rsidRPr="004F2DBA">
        <w:rPr>
          <w:rFonts w:cs="Times New Roman"/>
          <w:szCs w:val="24"/>
          <w:lang w:val="en-AU"/>
        </w:rPr>
        <w:t xml:space="preserve">-phenotype. </w:t>
      </w:r>
      <w:r w:rsidRPr="004F2DBA">
        <w:rPr>
          <w:rFonts w:cs="Times New Roman"/>
          <w:b/>
          <w:bCs/>
          <w:szCs w:val="24"/>
          <w:lang w:val="en-AU"/>
        </w:rPr>
        <w:t xml:space="preserve">(A-C) </w:t>
      </w:r>
      <w:r w:rsidRPr="004F2DBA">
        <w:rPr>
          <w:rFonts w:cs="Times New Roman"/>
          <w:szCs w:val="24"/>
          <w:lang w:val="en-AU"/>
        </w:rPr>
        <w:t>n=3 patient glioblastoma biopsies.</w:t>
      </w:r>
    </w:p>
    <w:p w14:paraId="097A0ACA" w14:textId="77777777" w:rsidR="00CF2E99" w:rsidRDefault="00CF2E99">
      <w:pPr>
        <w:spacing w:before="0" w:after="200" w:line="276" w:lineRule="auto"/>
        <w:rPr>
          <w:rFonts w:cs="Times New Roman"/>
          <w:szCs w:val="24"/>
          <w:lang w:val="en-AU"/>
        </w:rPr>
      </w:pPr>
      <w:r>
        <w:rPr>
          <w:rFonts w:cs="Times New Roman"/>
          <w:szCs w:val="24"/>
          <w:lang w:val="en-AU"/>
        </w:rPr>
        <w:br w:type="page"/>
      </w:r>
    </w:p>
    <w:p w14:paraId="64F42FB6" w14:textId="4425DDD9" w:rsidR="00A04A61" w:rsidRDefault="00CF2E99" w:rsidP="00A04A61">
      <w:pPr>
        <w:jc w:val="both"/>
        <w:rPr>
          <w:rFonts w:cs="Times New Roman"/>
          <w:szCs w:val="24"/>
          <w:lang w:val="en-AU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8B56390" wp14:editId="3640E04C">
            <wp:simplePos x="0" y="0"/>
            <wp:positionH relativeFrom="column">
              <wp:posOffset>-167107</wp:posOffset>
            </wp:positionH>
            <wp:positionV relativeFrom="paragraph">
              <wp:posOffset>-572</wp:posOffset>
            </wp:positionV>
            <wp:extent cx="6523200" cy="4413600"/>
            <wp:effectExtent l="0" t="0" r="0" b="635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2" t="2026" r="2327" b="53882"/>
                    <a:stretch/>
                  </pic:blipFill>
                  <pic:spPr bwMode="auto">
                    <a:xfrm>
                      <a:off x="0" y="0"/>
                      <a:ext cx="6523200" cy="44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85C71" w14:textId="78339946" w:rsidR="00CF2E99" w:rsidRPr="00FF71A4" w:rsidRDefault="00CF2E99" w:rsidP="00CF2E99">
      <w:pPr>
        <w:jc w:val="both"/>
      </w:pPr>
      <w:r w:rsidRPr="004F2DBA">
        <w:rPr>
          <w:rFonts w:cs="Times New Roman"/>
          <w:b/>
          <w:bCs/>
          <w:color w:val="000000" w:themeColor="text1"/>
          <w:kern w:val="24"/>
          <w:szCs w:val="24"/>
        </w:rPr>
        <w:t>Supplementary Fig</w:t>
      </w:r>
      <w:r>
        <w:rPr>
          <w:rFonts w:cs="Times New Roman"/>
          <w:b/>
          <w:bCs/>
          <w:color w:val="000000" w:themeColor="text1"/>
          <w:kern w:val="24"/>
          <w:szCs w:val="24"/>
        </w:rPr>
        <w:t>ure</w:t>
      </w:r>
      <w:r w:rsidRPr="004F2DBA">
        <w:rPr>
          <w:rFonts w:cs="Times New Roman"/>
          <w:b/>
          <w:bCs/>
          <w:color w:val="000000" w:themeColor="text1"/>
          <w:kern w:val="24"/>
          <w:szCs w:val="24"/>
        </w:rPr>
        <w:t xml:space="preserve"> </w:t>
      </w:r>
      <w:r>
        <w:rPr>
          <w:rFonts w:cs="Times New Roman"/>
          <w:b/>
          <w:bCs/>
          <w:color w:val="000000" w:themeColor="text1"/>
          <w:kern w:val="24"/>
          <w:szCs w:val="24"/>
        </w:rPr>
        <w:t>2</w:t>
      </w:r>
      <w:r w:rsidRPr="004F2DBA">
        <w:rPr>
          <w:rFonts w:cs="Times New Roman"/>
          <w:b/>
          <w:bCs/>
          <w:color w:val="000000" w:themeColor="text1"/>
          <w:kern w:val="24"/>
          <w:szCs w:val="24"/>
        </w:rPr>
        <w:t xml:space="preserve">. </w:t>
      </w:r>
      <w:r>
        <w:rPr>
          <w:rFonts w:cs="Times New Roman"/>
          <w:b/>
          <w:bCs/>
          <w:color w:val="000000" w:themeColor="text1"/>
          <w:kern w:val="24"/>
          <w:szCs w:val="24"/>
        </w:rPr>
        <w:t>Lymphocyte cluster populations express distinct chemokine receptor and integrin genes.</w:t>
      </w:r>
      <w:r w:rsidRPr="004F2DBA">
        <w:rPr>
          <w:rFonts w:cs="Times New Roman"/>
          <w:color w:val="000000" w:themeColor="text1"/>
          <w:kern w:val="24"/>
          <w:szCs w:val="24"/>
        </w:rPr>
        <w:t xml:space="preserve"> </w:t>
      </w:r>
      <w:r>
        <w:rPr>
          <w:rFonts w:cs="Times New Roman"/>
          <w:color w:val="000000" w:themeColor="text1"/>
          <w:kern w:val="24"/>
          <w:szCs w:val="24"/>
        </w:rPr>
        <w:t>Frequency of macrophages</w:t>
      </w:r>
      <w:r w:rsidRPr="004F2DBA">
        <w:rPr>
          <w:rFonts w:cs="Times New Roman"/>
          <w:szCs w:val="24"/>
        </w:rPr>
        <w:t xml:space="preserve">, </w:t>
      </w:r>
      <w:r>
        <w:rPr>
          <w:rFonts w:cs="Times New Roman"/>
          <w:szCs w:val="24"/>
        </w:rPr>
        <w:t>T cells</w:t>
      </w:r>
      <w:r w:rsidRPr="004F2DBA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NK cells and B cells</w:t>
      </w:r>
      <w:r w:rsidRPr="004F2DBA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positive for </w:t>
      </w:r>
      <w:r w:rsidRPr="00CF2E99">
        <w:rPr>
          <w:rFonts w:cs="Times New Roman"/>
          <w:b/>
          <w:bCs/>
          <w:szCs w:val="24"/>
        </w:rPr>
        <w:t>(A)</w:t>
      </w:r>
      <w:r>
        <w:rPr>
          <w:rFonts w:cs="Times New Roman"/>
          <w:szCs w:val="24"/>
        </w:rPr>
        <w:t xml:space="preserve"> chemokine receptor and </w:t>
      </w:r>
      <w:r w:rsidRPr="00CF2E99">
        <w:rPr>
          <w:rFonts w:cs="Times New Roman"/>
          <w:b/>
          <w:bCs/>
          <w:szCs w:val="24"/>
        </w:rPr>
        <w:t>(B)</w:t>
      </w:r>
      <w:r>
        <w:rPr>
          <w:rFonts w:cs="Times New Roman"/>
          <w:szCs w:val="24"/>
        </w:rPr>
        <w:t xml:space="preserve"> integrin genes. </w:t>
      </w:r>
      <w:r w:rsidRPr="004F2DBA">
        <w:rPr>
          <w:rFonts w:cs="Times New Roman"/>
          <w:szCs w:val="24"/>
        </w:rPr>
        <w:t xml:space="preserve">Bars represent mean ± SEM. n=3 patient glioblastoma biopsies. </w:t>
      </w:r>
    </w:p>
    <w:p w14:paraId="172CD33B" w14:textId="11DD3FE1" w:rsidR="004D316A" w:rsidRPr="004F2DBA" w:rsidRDefault="004D316A" w:rsidP="00A04A61">
      <w:pPr>
        <w:jc w:val="both"/>
        <w:rPr>
          <w:rFonts w:cs="Times New Roman"/>
          <w:szCs w:val="24"/>
          <w:lang w:val="en-AU"/>
        </w:rPr>
      </w:pPr>
    </w:p>
    <w:p w14:paraId="1D6D93F2" w14:textId="3D8D1EF5" w:rsidR="00A04A61" w:rsidRDefault="004D316A" w:rsidP="00A04A61">
      <w:r>
        <w:rPr>
          <w:noProof/>
        </w:rPr>
        <w:lastRenderedPageBreak/>
        <w:drawing>
          <wp:anchor distT="0" distB="0" distL="114300" distR="114300" simplePos="0" relativeHeight="251658239" behindDoc="0" locked="0" layoutInCell="1" allowOverlap="1" wp14:anchorId="26D7E8E0" wp14:editId="5AD823D4">
            <wp:simplePos x="0" y="0"/>
            <wp:positionH relativeFrom="page">
              <wp:align>center</wp:align>
            </wp:positionH>
            <wp:positionV relativeFrom="paragraph">
              <wp:posOffset>512</wp:posOffset>
            </wp:positionV>
            <wp:extent cx="6645275" cy="8734425"/>
            <wp:effectExtent l="0" t="0" r="3175" b="952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" t="8125" r="4938" b="4633"/>
                    <a:stretch/>
                  </pic:blipFill>
                  <pic:spPr bwMode="auto">
                    <a:xfrm>
                      <a:off x="0" y="0"/>
                      <a:ext cx="6645275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16549" w14:textId="63D3B521" w:rsidR="00A04A61" w:rsidRDefault="004D316A" w:rsidP="004D316A">
      <w:pPr>
        <w:jc w:val="both"/>
      </w:pPr>
      <w:r w:rsidRPr="00D45406">
        <w:rPr>
          <w:b/>
          <w:bCs/>
        </w:rPr>
        <w:lastRenderedPageBreak/>
        <w:t xml:space="preserve">Supplementary Figure </w:t>
      </w:r>
      <w:r w:rsidR="00CF2E99">
        <w:rPr>
          <w:b/>
          <w:bCs/>
        </w:rPr>
        <w:t>3</w:t>
      </w:r>
      <w:r w:rsidRPr="00D45406">
        <w:rPr>
          <w:b/>
          <w:bCs/>
        </w:rPr>
        <w:t xml:space="preserve">. </w:t>
      </w:r>
      <w:r>
        <w:rPr>
          <w:b/>
          <w:bCs/>
        </w:rPr>
        <w:t>Naïve T</w:t>
      </w:r>
      <w:r w:rsidR="00962679">
        <w:rPr>
          <w:b/>
          <w:bCs/>
        </w:rPr>
        <w:t xml:space="preserve"> </w:t>
      </w:r>
      <w:r>
        <w:rPr>
          <w:b/>
          <w:bCs/>
        </w:rPr>
        <w:t>cells and CD3</w:t>
      </w:r>
      <w:r w:rsidRPr="004D316A">
        <w:rPr>
          <w:b/>
          <w:bCs/>
          <w:vertAlign w:val="superscript"/>
        </w:rPr>
        <w:t>-</w:t>
      </w:r>
      <w:r>
        <w:rPr>
          <w:b/>
          <w:bCs/>
        </w:rPr>
        <w:t xml:space="preserve"> cells in peripheral blood serve as internal negative controls </w:t>
      </w:r>
      <w:r w:rsidR="00A90BFC">
        <w:rPr>
          <w:b/>
          <w:bCs/>
        </w:rPr>
        <w:t xml:space="preserve">for </w:t>
      </w:r>
      <w:r>
        <w:rPr>
          <w:b/>
          <w:bCs/>
        </w:rPr>
        <w:t xml:space="preserve">chemokine receptor and integrin </w:t>
      </w:r>
      <w:r w:rsidR="00A90BFC">
        <w:rPr>
          <w:b/>
          <w:bCs/>
        </w:rPr>
        <w:t>expression</w:t>
      </w:r>
      <w:r w:rsidRPr="00D45406">
        <w:rPr>
          <w:b/>
          <w:bCs/>
        </w:rPr>
        <w:t xml:space="preserve">. </w:t>
      </w:r>
      <w:r>
        <w:t>Representative histograms showing</w:t>
      </w:r>
      <w:r w:rsidR="00F62DC3">
        <w:t xml:space="preserve"> chemokine receptor and integrin expression in</w:t>
      </w:r>
      <w:r>
        <w:t xml:space="preserve"> </w:t>
      </w:r>
      <w:r w:rsidRPr="00384F24">
        <w:rPr>
          <w:b/>
          <w:bCs/>
        </w:rPr>
        <w:t>(A)</w:t>
      </w:r>
      <w:r>
        <w:t xml:space="preserve"> naïve CD4</w:t>
      </w:r>
      <w:r w:rsidRPr="00384F24">
        <w:rPr>
          <w:vertAlign w:val="superscript"/>
        </w:rPr>
        <w:t>+</w:t>
      </w:r>
      <w:r>
        <w:t xml:space="preserve">, </w:t>
      </w:r>
      <w:r w:rsidRPr="00384F24">
        <w:rPr>
          <w:b/>
          <w:bCs/>
        </w:rPr>
        <w:t>(B)</w:t>
      </w:r>
      <w:r>
        <w:t xml:space="preserve"> naïve CD8</w:t>
      </w:r>
      <w:r w:rsidRPr="00384F24">
        <w:rPr>
          <w:vertAlign w:val="superscript"/>
        </w:rPr>
        <w:t>+</w:t>
      </w:r>
      <w:r>
        <w:t xml:space="preserve"> T cells and </w:t>
      </w:r>
      <w:r w:rsidRPr="00384F24">
        <w:rPr>
          <w:b/>
          <w:bCs/>
        </w:rPr>
        <w:t>(C)</w:t>
      </w:r>
      <w:r>
        <w:t xml:space="preserve"> CD3</w:t>
      </w:r>
      <w:r w:rsidRPr="00384F24">
        <w:rPr>
          <w:vertAlign w:val="superscript"/>
        </w:rPr>
        <w:t>-</w:t>
      </w:r>
      <w:r>
        <w:t xml:space="preserve"> cells</w:t>
      </w:r>
      <w:r w:rsidR="00F62DC3">
        <w:t xml:space="preserve"> (</w:t>
      </w:r>
      <w:r w:rsidR="00384F24">
        <w:t xml:space="preserve">black </w:t>
      </w:r>
      <w:r w:rsidR="00F62DC3">
        <w:t xml:space="preserve">line) compared to fluorescence minus one (FMO) </w:t>
      </w:r>
      <w:proofErr w:type="gramStart"/>
      <w:r w:rsidR="00F62DC3">
        <w:t>control</w:t>
      </w:r>
      <w:r w:rsidR="00384F24">
        <w:t>s</w:t>
      </w:r>
      <w:proofErr w:type="gramEnd"/>
      <w:r w:rsidR="00F62DC3">
        <w:t xml:space="preserve"> (grey</w:t>
      </w:r>
      <w:r w:rsidR="00384F24">
        <w:t xml:space="preserve"> filled</w:t>
      </w:r>
      <w:r w:rsidR="00F62DC3">
        <w:t xml:space="preserve">) in healthy peripheral blood samples. </w:t>
      </w:r>
      <w:r w:rsidR="00636DD5">
        <w:rPr>
          <w:b/>
          <w:bCs/>
        </w:rPr>
        <w:t xml:space="preserve">(A, B) </w:t>
      </w:r>
      <w:r w:rsidR="00384F24">
        <w:t>Naïve CD4</w:t>
      </w:r>
      <w:r w:rsidR="00384F24" w:rsidRPr="00384F24">
        <w:rPr>
          <w:vertAlign w:val="superscript"/>
        </w:rPr>
        <w:t>+</w:t>
      </w:r>
      <w:r w:rsidR="00384F24">
        <w:t xml:space="preserve"> and CD8</w:t>
      </w:r>
      <w:r w:rsidR="00384F24" w:rsidRPr="00384F24">
        <w:rPr>
          <w:vertAlign w:val="superscript"/>
        </w:rPr>
        <w:t>+</w:t>
      </w:r>
      <w:r w:rsidR="00384F24">
        <w:t xml:space="preserve"> T cells lack expression of most receptors except for CXCR3 and CD11a, where peaks corresponding to positive populations were used to set gates. </w:t>
      </w:r>
      <w:r w:rsidR="00384F24" w:rsidRPr="00C23F09">
        <w:rPr>
          <w:b/>
          <w:bCs/>
        </w:rPr>
        <w:t>(C)</w:t>
      </w:r>
      <w:r w:rsidR="00384F24">
        <w:t xml:space="preserve"> CD3</w:t>
      </w:r>
      <w:r w:rsidR="00384F24" w:rsidRPr="00A90BFC">
        <w:rPr>
          <w:vertAlign w:val="superscript"/>
        </w:rPr>
        <w:t>-</w:t>
      </w:r>
      <w:r w:rsidR="00384F24">
        <w:t xml:space="preserve"> cells, which contained distinct positive and negative populations of CXCR4 and CD49d, were used to set positive gates for these receptors. Plots are representative of healthy peripheral blood samples n=3. </w:t>
      </w:r>
    </w:p>
    <w:p w14:paraId="07126BA5" w14:textId="7D3B36BB" w:rsidR="00F057D8" w:rsidRDefault="00F057D8" w:rsidP="004D316A">
      <w:pPr>
        <w:jc w:val="both"/>
      </w:pPr>
    </w:p>
    <w:p w14:paraId="6F276819" w14:textId="77777777" w:rsidR="00A04A61" w:rsidRDefault="00A04A61" w:rsidP="00A04A61"/>
    <w:p w14:paraId="55D18B54" w14:textId="77777777" w:rsidR="00A04A61" w:rsidRDefault="00A04A61" w:rsidP="00A04A61"/>
    <w:p w14:paraId="62DB0648" w14:textId="77777777" w:rsidR="00A04A61" w:rsidRDefault="00A04A61" w:rsidP="00A04A61"/>
    <w:p w14:paraId="078CE029" w14:textId="4DBB5444" w:rsidR="00A04A61" w:rsidRDefault="00A04A61" w:rsidP="00A04A61"/>
    <w:p w14:paraId="42803CDE" w14:textId="63D6C1EF" w:rsidR="00A04A61" w:rsidRDefault="00A04A61" w:rsidP="00A04A61"/>
    <w:p w14:paraId="4CABDE6C" w14:textId="63AFA27C" w:rsidR="00A04A61" w:rsidRDefault="00F057D8" w:rsidP="00A04A61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A616203" wp14:editId="37996D42">
            <wp:simplePos x="0" y="0"/>
            <wp:positionH relativeFrom="column">
              <wp:posOffset>-61178</wp:posOffset>
            </wp:positionH>
            <wp:positionV relativeFrom="paragraph">
              <wp:posOffset>493</wp:posOffset>
            </wp:positionV>
            <wp:extent cx="6829200" cy="6854400"/>
            <wp:effectExtent l="0" t="0" r="0" b="381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3" t="3169" r="1687" b="28372"/>
                    <a:stretch/>
                  </pic:blipFill>
                  <pic:spPr bwMode="auto">
                    <a:xfrm>
                      <a:off x="0" y="0"/>
                      <a:ext cx="6829200" cy="68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80C3E6" w14:textId="141AA6F3" w:rsidR="00A04A61" w:rsidRDefault="00F057D8" w:rsidP="00F057D8">
      <w:pPr>
        <w:jc w:val="both"/>
      </w:pPr>
      <w:r w:rsidRPr="00D45406">
        <w:rPr>
          <w:b/>
          <w:bCs/>
        </w:rPr>
        <w:t xml:space="preserve">Supplementary Figure </w:t>
      </w:r>
      <w:r w:rsidR="00CF2E99">
        <w:rPr>
          <w:b/>
          <w:bCs/>
        </w:rPr>
        <w:t>4</w:t>
      </w:r>
      <w:r w:rsidRPr="00D45406">
        <w:rPr>
          <w:b/>
          <w:bCs/>
        </w:rPr>
        <w:t xml:space="preserve">. </w:t>
      </w:r>
      <w:r>
        <w:rPr>
          <w:b/>
          <w:bCs/>
        </w:rPr>
        <w:t xml:space="preserve">Chemokine receptor and integrin expression on paired blood and glioblastoma </w:t>
      </w:r>
      <w:r w:rsidR="00F5115E">
        <w:rPr>
          <w:b/>
          <w:bCs/>
        </w:rPr>
        <w:t>CD4</w:t>
      </w:r>
      <w:r w:rsidR="00F5115E" w:rsidRPr="00F5115E">
        <w:rPr>
          <w:b/>
          <w:bCs/>
          <w:vertAlign w:val="superscript"/>
        </w:rPr>
        <w:t>+</w:t>
      </w:r>
      <w:r w:rsidR="00F5115E">
        <w:rPr>
          <w:b/>
          <w:bCs/>
        </w:rPr>
        <w:t xml:space="preserve"> </w:t>
      </w:r>
      <w:r>
        <w:rPr>
          <w:b/>
          <w:bCs/>
        </w:rPr>
        <w:t xml:space="preserve">T-cell subsets. </w:t>
      </w:r>
      <w:r w:rsidRPr="00D45406">
        <w:rPr>
          <w:b/>
          <w:bCs/>
        </w:rPr>
        <w:t>(A</w:t>
      </w:r>
      <w:r>
        <w:rPr>
          <w:b/>
          <w:bCs/>
        </w:rPr>
        <w:t>)</w:t>
      </w:r>
      <w:r w:rsidR="00F5115E">
        <w:rPr>
          <w:b/>
          <w:bCs/>
        </w:rPr>
        <w:t xml:space="preserve"> </w:t>
      </w:r>
      <w:r w:rsidR="00F5115E">
        <w:t>Representative histograms showing chemokine receptor and integrin expression within CD4</w:t>
      </w:r>
      <w:r w:rsidR="00F5115E" w:rsidRPr="00CE597C">
        <w:rPr>
          <w:vertAlign w:val="superscript"/>
        </w:rPr>
        <w:t>+</w:t>
      </w:r>
      <w:r w:rsidR="00F5115E">
        <w:t xml:space="preserve"> T-cell subsets in glioblastoma (GBM) (filled) and paired blood samples (line). Representative of matched blood and GBM samples n=5-8 each.</w:t>
      </w:r>
      <w:r>
        <w:t xml:space="preserve"> </w:t>
      </w:r>
    </w:p>
    <w:p w14:paraId="7EE8599E" w14:textId="70AB1403" w:rsidR="00A04A61" w:rsidRDefault="00850E49" w:rsidP="00850E49">
      <w:pPr>
        <w:tabs>
          <w:tab w:val="left" w:pos="8565"/>
        </w:tabs>
      </w:pPr>
      <w:r>
        <w:tab/>
      </w:r>
    </w:p>
    <w:p w14:paraId="7C373F98" w14:textId="1F211F39" w:rsidR="00F906BB" w:rsidRDefault="00CE597C">
      <w:pPr>
        <w:spacing w:before="0" w:after="200" w:line="276" w:lineRule="auto"/>
        <w:jc w:val="both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6A79935" wp14:editId="10E903F8">
            <wp:simplePos x="0" y="0"/>
            <wp:positionH relativeFrom="column">
              <wp:posOffset>286517</wp:posOffset>
            </wp:positionH>
            <wp:positionV relativeFrom="paragraph">
              <wp:posOffset>218</wp:posOffset>
            </wp:positionV>
            <wp:extent cx="5408930" cy="4969510"/>
            <wp:effectExtent l="0" t="0" r="1270" b="254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42" r="28036" b="27520"/>
                    <a:stretch/>
                  </pic:blipFill>
                  <pic:spPr bwMode="auto">
                    <a:xfrm>
                      <a:off x="0" y="0"/>
                      <a:ext cx="5408930" cy="496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B4759C" w14:textId="16C0D1AA" w:rsidR="00CE597C" w:rsidRDefault="009A1B0C" w:rsidP="00BA276F">
      <w:pPr>
        <w:spacing w:before="0" w:after="200"/>
        <w:jc w:val="both"/>
      </w:pPr>
      <w:r w:rsidRPr="00D45406">
        <w:rPr>
          <w:b/>
          <w:bCs/>
        </w:rPr>
        <w:t xml:space="preserve">Supplementary Figure </w:t>
      </w:r>
      <w:r w:rsidR="00CF2E99">
        <w:rPr>
          <w:b/>
          <w:bCs/>
        </w:rPr>
        <w:t>5</w:t>
      </w:r>
      <w:r w:rsidRPr="00D45406">
        <w:rPr>
          <w:b/>
          <w:bCs/>
        </w:rPr>
        <w:t>. Abundance of CXCR4, CD11a and CD49d on glioblastoma T-cell subsets compared to paired blood samples. (A,</w:t>
      </w:r>
      <w:r w:rsidR="00F906BB">
        <w:rPr>
          <w:b/>
          <w:bCs/>
        </w:rPr>
        <w:t xml:space="preserve"> </w:t>
      </w:r>
      <w:r w:rsidRPr="00D45406">
        <w:rPr>
          <w:b/>
          <w:bCs/>
        </w:rPr>
        <w:t>B)</w:t>
      </w:r>
      <w:r>
        <w:t xml:space="preserve"> Geometric mean fluorescence intensity (</w:t>
      </w:r>
      <w:proofErr w:type="spellStart"/>
      <w:r>
        <w:t>gMFI</w:t>
      </w:r>
      <w:proofErr w:type="spellEnd"/>
      <w:r>
        <w:t xml:space="preserve">) of CXCR4, CD11a and CD49d on </w:t>
      </w:r>
      <w:r w:rsidRPr="00D45406">
        <w:rPr>
          <w:b/>
          <w:bCs/>
        </w:rPr>
        <w:t>(A)</w:t>
      </w:r>
      <w:r>
        <w:t xml:space="preserve"> CD4</w:t>
      </w:r>
      <w:r w:rsidRPr="000C107B">
        <w:rPr>
          <w:vertAlign w:val="superscript"/>
        </w:rPr>
        <w:t>+</w:t>
      </w:r>
      <w:r>
        <w:t xml:space="preserve"> and </w:t>
      </w:r>
      <w:r w:rsidRPr="00D45406">
        <w:rPr>
          <w:b/>
          <w:bCs/>
        </w:rPr>
        <w:t>(B)</w:t>
      </w:r>
      <w:r>
        <w:t xml:space="preserve"> CD8</w:t>
      </w:r>
      <w:r w:rsidRPr="000C107B">
        <w:rPr>
          <w:vertAlign w:val="superscript"/>
        </w:rPr>
        <w:t>+</w:t>
      </w:r>
      <w:r>
        <w:t xml:space="preserve"> T-cell subsets in blood and matched glioblastoma (GBM) biopsies. </w:t>
      </w:r>
      <w:r w:rsidR="000C107B">
        <w:t xml:space="preserve">The </w:t>
      </w:r>
      <w:proofErr w:type="spellStart"/>
      <w:r>
        <w:t>gMFI</w:t>
      </w:r>
      <w:proofErr w:type="spellEnd"/>
      <w:r>
        <w:t xml:space="preserve"> was calculated </w:t>
      </w:r>
      <w:r w:rsidR="000C107B">
        <w:t>within</w:t>
      </w:r>
      <w:r>
        <w:t xml:space="preserve"> the positive gates </w:t>
      </w:r>
      <w:r w:rsidR="000C107B">
        <w:t>for</w:t>
      </w:r>
      <w:r>
        <w:t xml:space="preserve"> each receptor. </w:t>
      </w:r>
      <w:r w:rsidRPr="00F41F01">
        <w:t>Each dot represents one patient, lines represent paired patient sample</w:t>
      </w:r>
      <w:r w:rsidR="000C107B">
        <w:t>s</w:t>
      </w:r>
      <w:r w:rsidRPr="00F41F01">
        <w:t xml:space="preserve">. Two-tailed paired Student’s t test, *p&lt;0.05, **p&lt; 0.01, </w:t>
      </w:r>
      <w:proofErr w:type="spellStart"/>
      <w:r w:rsidRPr="00F41F01">
        <w:t>nd</w:t>
      </w:r>
      <w:proofErr w:type="spellEnd"/>
      <w:r w:rsidRPr="00F41F01">
        <w:t>=not detected.</w:t>
      </w:r>
    </w:p>
    <w:p w14:paraId="1E7956A2" w14:textId="77777777" w:rsidR="00CE597C" w:rsidRDefault="00CE597C">
      <w:pPr>
        <w:spacing w:before="0" w:after="200" w:line="276" w:lineRule="auto"/>
      </w:pPr>
      <w:r>
        <w:br w:type="page"/>
      </w:r>
    </w:p>
    <w:p w14:paraId="61B25BF5" w14:textId="54B781EE" w:rsidR="00CE597C" w:rsidRDefault="00CE597C" w:rsidP="00BA276F">
      <w:pPr>
        <w:spacing w:before="0" w:after="200"/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D74BA2D" wp14:editId="76683313">
            <wp:simplePos x="0" y="0"/>
            <wp:positionH relativeFrom="column">
              <wp:posOffset>-221795</wp:posOffset>
            </wp:positionH>
            <wp:positionV relativeFrom="paragraph">
              <wp:posOffset>105</wp:posOffset>
            </wp:positionV>
            <wp:extent cx="6778800" cy="5760000"/>
            <wp:effectExtent l="0" t="0" r="3175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9" t="3804" r="2177" b="38679"/>
                    <a:stretch/>
                  </pic:blipFill>
                  <pic:spPr bwMode="auto">
                    <a:xfrm>
                      <a:off x="0" y="0"/>
                      <a:ext cx="67788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C6607" w14:textId="4DA30FCF" w:rsidR="00CE597C" w:rsidRDefault="00CE597C" w:rsidP="00CE597C">
      <w:pPr>
        <w:jc w:val="both"/>
      </w:pPr>
      <w:r w:rsidRPr="00D45406">
        <w:rPr>
          <w:b/>
          <w:bCs/>
        </w:rPr>
        <w:t xml:space="preserve">Supplementary Figure </w:t>
      </w:r>
      <w:r w:rsidR="00CF2E99">
        <w:rPr>
          <w:b/>
          <w:bCs/>
        </w:rPr>
        <w:t>6</w:t>
      </w:r>
      <w:r w:rsidRPr="00D45406">
        <w:rPr>
          <w:b/>
          <w:bCs/>
        </w:rPr>
        <w:t xml:space="preserve">. </w:t>
      </w:r>
      <w:r>
        <w:rPr>
          <w:b/>
          <w:bCs/>
        </w:rPr>
        <w:t>Chemokine receptor and integrin expression on paired blood and glioblastoma CD8</w:t>
      </w:r>
      <w:r w:rsidRPr="00F5115E">
        <w:rPr>
          <w:b/>
          <w:bCs/>
          <w:vertAlign w:val="superscript"/>
        </w:rPr>
        <w:t>+</w:t>
      </w:r>
      <w:r>
        <w:rPr>
          <w:b/>
          <w:bCs/>
        </w:rPr>
        <w:t xml:space="preserve"> T-cell subsets. </w:t>
      </w:r>
      <w:r w:rsidRPr="00D45406">
        <w:rPr>
          <w:b/>
          <w:bCs/>
        </w:rPr>
        <w:t>(A</w:t>
      </w:r>
      <w:r>
        <w:rPr>
          <w:b/>
          <w:bCs/>
        </w:rPr>
        <w:t xml:space="preserve">) </w:t>
      </w:r>
      <w:r>
        <w:t>Representative histograms showing chemokine receptor and integrin expression within CD8</w:t>
      </w:r>
      <w:r w:rsidRPr="00CE597C">
        <w:rPr>
          <w:vertAlign w:val="superscript"/>
        </w:rPr>
        <w:t>+</w:t>
      </w:r>
      <w:r>
        <w:t xml:space="preserve"> T-cell subsets in glioblastoma (GBM) (filled) and paired blood samples (line). Representative of matched blood and GBM samples n=5-8 each. </w:t>
      </w:r>
    </w:p>
    <w:p w14:paraId="4A13883F" w14:textId="6F1736BF" w:rsidR="009A1B0C" w:rsidRDefault="009A1B0C" w:rsidP="00BA276F">
      <w:pPr>
        <w:spacing w:before="0" w:after="200"/>
        <w:jc w:val="both"/>
      </w:pPr>
      <w:r>
        <w:br w:type="page"/>
      </w:r>
    </w:p>
    <w:p w14:paraId="21C6AAD6" w14:textId="013B1BDF" w:rsidR="00FF71A4" w:rsidRDefault="00F0304C" w:rsidP="00FF71A4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86FD995" wp14:editId="40594E1D">
            <wp:simplePos x="0" y="0"/>
            <wp:positionH relativeFrom="column">
              <wp:posOffset>751619</wp:posOffset>
            </wp:positionH>
            <wp:positionV relativeFrom="paragraph">
              <wp:posOffset>111</wp:posOffset>
            </wp:positionV>
            <wp:extent cx="4532400" cy="2959200"/>
            <wp:effectExtent l="0" t="0" r="1905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4" t="2401" r="30783" b="68050"/>
                    <a:stretch/>
                  </pic:blipFill>
                  <pic:spPr bwMode="auto">
                    <a:xfrm>
                      <a:off x="0" y="0"/>
                      <a:ext cx="4532400" cy="29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BD2D1" w14:textId="3A988D5B" w:rsidR="00A04A61" w:rsidRPr="00FF71A4" w:rsidRDefault="00A04A61" w:rsidP="00FF71A4">
      <w:pPr>
        <w:jc w:val="both"/>
      </w:pPr>
      <w:r w:rsidRPr="004F2DBA">
        <w:rPr>
          <w:rFonts w:cs="Times New Roman"/>
          <w:b/>
          <w:bCs/>
          <w:color w:val="000000" w:themeColor="text1"/>
          <w:kern w:val="24"/>
          <w:szCs w:val="24"/>
        </w:rPr>
        <w:t>Supplementary Fig</w:t>
      </w:r>
      <w:r>
        <w:rPr>
          <w:rFonts w:cs="Times New Roman"/>
          <w:b/>
          <w:bCs/>
          <w:color w:val="000000" w:themeColor="text1"/>
          <w:kern w:val="24"/>
          <w:szCs w:val="24"/>
        </w:rPr>
        <w:t>ure</w:t>
      </w:r>
      <w:r w:rsidRPr="004F2DBA">
        <w:rPr>
          <w:rFonts w:cs="Times New Roman"/>
          <w:b/>
          <w:bCs/>
          <w:color w:val="000000" w:themeColor="text1"/>
          <w:kern w:val="24"/>
          <w:szCs w:val="24"/>
        </w:rPr>
        <w:t xml:space="preserve"> </w:t>
      </w:r>
      <w:r w:rsidR="00CF2E99">
        <w:rPr>
          <w:rFonts w:cs="Times New Roman"/>
          <w:b/>
          <w:bCs/>
          <w:color w:val="000000" w:themeColor="text1"/>
          <w:kern w:val="24"/>
          <w:szCs w:val="24"/>
        </w:rPr>
        <w:t>7</w:t>
      </w:r>
      <w:r w:rsidRPr="004F2DBA">
        <w:rPr>
          <w:rFonts w:cs="Times New Roman"/>
          <w:b/>
          <w:bCs/>
          <w:color w:val="000000" w:themeColor="text1"/>
          <w:kern w:val="24"/>
          <w:szCs w:val="24"/>
        </w:rPr>
        <w:t xml:space="preserve">. Glioblastoma </w:t>
      </w:r>
      <w:proofErr w:type="spellStart"/>
      <w:r w:rsidRPr="004F2DBA">
        <w:rPr>
          <w:rFonts w:cs="Times New Roman"/>
          <w:b/>
          <w:bCs/>
          <w:color w:val="000000" w:themeColor="text1"/>
          <w:kern w:val="24"/>
          <w:szCs w:val="24"/>
        </w:rPr>
        <w:t>tumo</w:t>
      </w:r>
      <w:r>
        <w:rPr>
          <w:rFonts w:cs="Times New Roman"/>
          <w:b/>
          <w:bCs/>
          <w:color w:val="000000" w:themeColor="text1"/>
          <w:kern w:val="24"/>
          <w:szCs w:val="24"/>
        </w:rPr>
        <w:t>u</w:t>
      </w:r>
      <w:r w:rsidRPr="004F2DBA">
        <w:rPr>
          <w:rFonts w:cs="Times New Roman"/>
          <w:b/>
          <w:bCs/>
          <w:color w:val="000000" w:themeColor="text1"/>
          <w:kern w:val="24"/>
          <w:szCs w:val="24"/>
        </w:rPr>
        <w:t>r</w:t>
      </w:r>
      <w:proofErr w:type="spellEnd"/>
      <w:r w:rsidRPr="004F2DBA">
        <w:rPr>
          <w:rFonts w:cs="Times New Roman"/>
          <w:b/>
          <w:bCs/>
          <w:color w:val="000000" w:themeColor="text1"/>
          <w:kern w:val="24"/>
          <w:szCs w:val="24"/>
        </w:rPr>
        <w:t xml:space="preserve"> cells and </w:t>
      </w:r>
      <w:proofErr w:type="spellStart"/>
      <w:r w:rsidRPr="004F2DBA">
        <w:rPr>
          <w:rFonts w:cs="Times New Roman"/>
          <w:b/>
          <w:bCs/>
          <w:color w:val="000000" w:themeColor="text1"/>
          <w:kern w:val="24"/>
          <w:szCs w:val="24"/>
        </w:rPr>
        <w:t>tumo</w:t>
      </w:r>
      <w:r>
        <w:rPr>
          <w:rFonts w:cs="Times New Roman"/>
          <w:b/>
          <w:bCs/>
          <w:color w:val="000000" w:themeColor="text1"/>
          <w:kern w:val="24"/>
          <w:szCs w:val="24"/>
        </w:rPr>
        <w:t>u</w:t>
      </w:r>
      <w:r w:rsidRPr="004F2DBA">
        <w:rPr>
          <w:rFonts w:cs="Times New Roman"/>
          <w:b/>
          <w:bCs/>
          <w:color w:val="000000" w:themeColor="text1"/>
          <w:kern w:val="24"/>
          <w:szCs w:val="24"/>
        </w:rPr>
        <w:t>r</w:t>
      </w:r>
      <w:proofErr w:type="spellEnd"/>
      <w:r w:rsidRPr="004F2DBA">
        <w:rPr>
          <w:rFonts w:cs="Times New Roman"/>
          <w:b/>
          <w:bCs/>
          <w:color w:val="000000" w:themeColor="text1"/>
          <w:kern w:val="24"/>
          <w:szCs w:val="24"/>
        </w:rPr>
        <w:t>-associated cell populations express distinct adhesion molecules genes.</w:t>
      </w:r>
      <w:r w:rsidRPr="004F2DBA">
        <w:rPr>
          <w:rFonts w:cs="Times New Roman"/>
          <w:color w:val="000000" w:themeColor="text1"/>
          <w:kern w:val="24"/>
          <w:szCs w:val="24"/>
        </w:rPr>
        <w:t xml:space="preserve"> </w:t>
      </w:r>
      <w:r w:rsidRPr="004F2DBA">
        <w:rPr>
          <w:rFonts w:cs="Times New Roman"/>
          <w:b/>
          <w:bCs/>
          <w:color w:val="000000" w:themeColor="text1"/>
          <w:kern w:val="24"/>
          <w:szCs w:val="24"/>
        </w:rPr>
        <w:t>(A</w:t>
      </w:r>
      <w:r>
        <w:rPr>
          <w:rFonts w:cs="Times New Roman"/>
          <w:b/>
          <w:bCs/>
          <w:color w:val="000000" w:themeColor="text1"/>
          <w:kern w:val="24"/>
          <w:szCs w:val="24"/>
        </w:rPr>
        <w:t>)</w:t>
      </w:r>
      <w:r w:rsidRPr="004F2DBA">
        <w:rPr>
          <w:rFonts w:cs="Times New Roman"/>
          <w:color w:val="000000" w:themeColor="text1"/>
          <w:kern w:val="24"/>
          <w:szCs w:val="24"/>
        </w:rPr>
        <w:t xml:space="preserve"> </w:t>
      </w:r>
      <w:r w:rsidR="00F0304C">
        <w:rPr>
          <w:rFonts w:cs="Times New Roman"/>
          <w:color w:val="000000" w:themeColor="text1"/>
          <w:kern w:val="24"/>
          <w:szCs w:val="24"/>
        </w:rPr>
        <w:t>Frequency of e</w:t>
      </w:r>
      <w:r w:rsidR="00F0304C" w:rsidRPr="004F2DBA">
        <w:rPr>
          <w:rFonts w:cs="Times New Roman"/>
          <w:color w:val="000000" w:themeColor="text1"/>
          <w:kern w:val="24"/>
          <w:szCs w:val="24"/>
        </w:rPr>
        <w:t xml:space="preserve">ndothelial </w:t>
      </w:r>
      <w:r w:rsidRPr="004F2DBA">
        <w:rPr>
          <w:rFonts w:cs="Times New Roman"/>
          <w:color w:val="000000" w:themeColor="text1"/>
          <w:kern w:val="24"/>
          <w:szCs w:val="24"/>
        </w:rPr>
        <w:t>cells (</w:t>
      </w:r>
      <w:r w:rsidRPr="004F2DBA">
        <w:rPr>
          <w:rFonts w:cs="Times New Roman"/>
          <w:szCs w:val="24"/>
        </w:rPr>
        <w:t xml:space="preserve">ECs), glioblastoma-associated macrophages/microglia (GAMs), pericytes and </w:t>
      </w:r>
      <w:proofErr w:type="spellStart"/>
      <w:r w:rsidRPr="004F2DBA">
        <w:rPr>
          <w:rFonts w:cs="Times New Roman"/>
          <w:szCs w:val="24"/>
        </w:rPr>
        <w:t>tumo</w:t>
      </w:r>
      <w:r>
        <w:rPr>
          <w:rFonts w:cs="Times New Roman"/>
          <w:szCs w:val="24"/>
        </w:rPr>
        <w:t>u</w:t>
      </w:r>
      <w:r w:rsidRPr="004F2DBA">
        <w:rPr>
          <w:rFonts w:cs="Times New Roman"/>
          <w:szCs w:val="24"/>
        </w:rPr>
        <w:t>r</w:t>
      </w:r>
      <w:proofErr w:type="spellEnd"/>
      <w:r w:rsidRPr="004F2DBA">
        <w:rPr>
          <w:rFonts w:cs="Times New Roman"/>
          <w:szCs w:val="24"/>
        </w:rPr>
        <w:t xml:space="preserve"> cells </w:t>
      </w:r>
      <w:r w:rsidR="00F0304C">
        <w:rPr>
          <w:rFonts w:cs="Times New Roman"/>
          <w:szCs w:val="24"/>
        </w:rPr>
        <w:t>positive for adhesion molecule genes</w:t>
      </w:r>
      <w:r w:rsidRPr="004F2DBA">
        <w:rPr>
          <w:rFonts w:cs="Times New Roman"/>
          <w:szCs w:val="24"/>
        </w:rPr>
        <w:t xml:space="preserve">. Bars represent mean ± SEM. n=3 patient glioblastoma biopsies. </w:t>
      </w: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850E49">
      <w:headerReference w:type="even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138" w:right="1181" w:bottom="1138" w:left="1282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10F504" w14:textId="77777777" w:rsidR="00705B9D" w:rsidRDefault="00705B9D" w:rsidP="00117666">
      <w:pPr>
        <w:spacing w:after="0"/>
      </w:pPr>
      <w:r>
        <w:separator/>
      </w:r>
    </w:p>
  </w:endnote>
  <w:endnote w:type="continuationSeparator" w:id="0">
    <w:p w14:paraId="0B4E6D16" w14:textId="77777777" w:rsidR="00705B9D" w:rsidRDefault="00705B9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846398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CA6497" w14:textId="7CA05DC2" w:rsidR="00850E49" w:rsidRDefault="00850E4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4A4A239" w14:textId="77777777" w:rsidR="00850E49" w:rsidRDefault="00850E4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231014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D79F99" w14:textId="7EB37C2E" w:rsidR="00850E49" w:rsidRDefault="00850E4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CCF6410" w14:textId="77777777" w:rsidR="00850E49" w:rsidRDefault="00850E4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313575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EB8B60" w14:textId="367E41E7" w:rsidR="00850E49" w:rsidRDefault="00850E4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CBEFC7D" w14:textId="77777777" w:rsidR="00850E49" w:rsidRDefault="00850E4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9DA8F8" w14:textId="77777777" w:rsidR="00705B9D" w:rsidRDefault="00705B9D" w:rsidP="00117666">
      <w:pPr>
        <w:spacing w:after="0"/>
      </w:pPr>
      <w:r>
        <w:separator/>
      </w:r>
    </w:p>
  </w:footnote>
  <w:footnote w:type="continuationSeparator" w:id="0">
    <w:p w14:paraId="067B7503" w14:textId="77777777" w:rsidR="00705B9D" w:rsidRDefault="00705B9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C107B"/>
    <w:rsid w:val="000D7A8A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A1EB2"/>
    <w:rsid w:val="002B4A57"/>
    <w:rsid w:val="002C74CA"/>
    <w:rsid w:val="003123F4"/>
    <w:rsid w:val="003358E9"/>
    <w:rsid w:val="003544FB"/>
    <w:rsid w:val="00362A7F"/>
    <w:rsid w:val="00384F24"/>
    <w:rsid w:val="003A2253"/>
    <w:rsid w:val="003D2F2D"/>
    <w:rsid w:val="00401590"/>
    <w:rsid w:val="00447801"/>
    <w:rsid w:val="00452E9C"/>
    <w:rsid w:val="004735C8"/>
    <w:rsid w:val="004947A6"/>
    <w:rsid w:val="004961FF"/>
    <w:rsid w:val="004B6EEE"/>
    <w:rsid w:val="004D316A"/>
    <w:rsid w:val="00517A89"/>
    <w:rsid w:val="005250F2"/>
    <w:rsid w:val="00593EEA"/>
    <w:rsid w:val="005A5EEE"/>
    <w:rsid w:val="005C39C6"/>
    <w:rsid w:val="00636DD5"/>
    <w:rsid w:val="006375C7"/>
    <w:rsid w:val="00654E8F"/>
    <w:rsid w:val="00660D05"/>
    <w:rsid w:val="006820B1"/>
    <w:rsid w:val="006A4D5D"/>
    <w:rsid w:val="006B7D14"/>
    <w:rsid w:val="00701727"/>
    <w:rsid w:val="0070566C"/>
    <w:rsid w:val="00705B9D"/>
    <w:rsid w:val="00714C50"/>
    <w:rsid w:val="00725A7D"/>
    <w:rsid w:val="007501BE"/>
    <w:rsid w:val="007555A3"/>
    <w:rsid w:val="007605B1"/>
    <w:rsid w:val="00790BB3"/>
    <w:rsid w:val="007C206C"/>
    <w:rsid w:val="00817DD6"/>
    <w:rsid w:val="0083759F"/>
    <w:rsid w:val="00850E49"/>
    <w:rsid w:val="00874999"/>
    <w:rsid w:val="00885156"/>
    <w:rsid w:val="008C73DD"/>
    <w:rsid w:val="009151AA"/>
    <w:rsid w:val="0093429D"/>
    <w:rsid w:val="00943573"/>
    <w:rsid w:val="00962679"/>
    <w:rsid w:val="00964134"/>
    <w:rsid w:val="00970F7D"/>
    <w:rsid w:val="00994A3D"/>
    <w:rsid w:val="009A1B0C"/>
    <w:rsid w:val="009C0258"/>
    <w:rsid w:val="009C2B12"/>
    <w:rsid w:val="00A04A61"/>
    <w:rsid w:val="00A174D9"/>
    <w:rsid w:val="00A241C9"/>
    <w:rsid w:val="00A4331E"/>
    <w:rsid w:val="00A709D3"/>
    <w:rsid w:val="00A90BFC"/>
    <w:rsid w:val="00AA4D24"/>
    <w:rsid w:val="00AB6715"/>
    <w:rsid w:val="00B1671E"/>
    <w:rsid w:val="00B25EB8"/>
    <w:rsid w:val="00B37F4D"/>
    <w:rsid w:val="00B452DB"/>
    <w:rsid w:val="00BA276F"/>
    <w:rsid w:val="00C23F09"/>
    <w:rsid w:val="00C52A7B"/>
    <w:rsid w:val="00C56BAF"/>
    <w:rsid w:val="00C64F73"/>
    <w:rsid w:val="00C679AA"/>
    <w:rsid w:val="00C75972"/>
    <w:rsid w:val="00C77C54"/>
    <w:rsid w:val="00C938A5"/>
    <w:rsid w:val="00CD066B"/>
    <w:rsid w:val="00CE4FEE"/>
    <w:rsid w:val="00CE597C"/>
    <w:rsid w:val="00CF16DB"/>
    <w:rsid w:val="00CF2E99"/>
    <w:rsid w:val="00D060CF"/>
    <w:rsid w:val="00D45406"/>
    <w:rsid w:val="00DB59C3"/>
    <w:rsid w:val="00DC259A"/>
    <w:rsid w:val="00DE23E8"/>
    <w:rsid w:val="00DF6277"/>
    <w:rsid w:val="00E52377"/>
    <w:rsid w:val="00E537AD"/>
    <w:rsid w:val="00E64E17"/>
    <w:rsid w:val="00E866C9"/>
    <w:rsid w:val="00E90DC7"/>
    <w:rsid w:val="00EA3D3C"/>
    <w:rsid w:val="00EC090A"/>
    <w:rsid w:val="00EC1556"/>
    <w:rsid w:val="00ED20B5"/>
    <w:rsid w:val="00F0304C"/>
    <w:rsid w:val="00F057D8"/>
    <w:rsid w:val="00F249CC"/>
    <w:rsid w:val="00F46900"/>
    <w:rsid w:val="00F5115E"/>
    <w:rsid w:val="00F61D89"/>
    <w:rsid w:val="00F62DC3"/>
    <w:rsid w:val="00F906BB"/>
    <w:rsid w:val="00FF7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9A1B0C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tiff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28</TotalTime>
  <Pages>10</Pages>
  <Words>600</Words>
  <Characters>3422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Kollis, Paris Marie - kolpm002</cp:lastModifiedBy>
  <cp:revision>10</cp:revision>
  <cp:lastPrinted>2013-10-03T12:51:00Z</cp:lastPrinted>
  <dcterms:created xsi:type="dcterms:W3CDTF">2022-02-23T12:31:00Z</dcterms:created>
  <dcterms:modified xsi:type="dcterms:W3CDTF">2022-03-15T02:38:00Z</dcterms:modified>
</cp:coreProperties>
</file>