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78E9F" w14:textId="46272FF9" w:rsidR="00BE58F8" w:rsidRDefault="009C67BC" w:rsidP="009C67BC">
      <w:pPr>
        <w:spacing w:after="4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C4713BF" wp14:editId="65E61101">
            <wp:extent cx="4772025" cy="5934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46E4" w14:textId="34C5C8BF" w:rsidR="00BE58F8" w:rsidRDefault="00AF505B" w:rsidP="00AF505B">
      <w:pPr>
        <w:spacing w:after="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S1. </w:t>
      </w:r>
      <w:r w:rsidR="00FF6347">
        <w:rPr>
          <w:rFonts w:ascii="Times New Roman" w:hAnsi="Times New Roman" w:cs="Times New Roman"/>
          <w:b/>
          <w:bCs/>
        </w:rPr>
        <w:t>AURK, PLK, and Tubulin inhibitors do not synergize with vemurafenib in UACC62P/R cells.</w:t>
      </w:r>
      <w:r w:rsidR="00FF6347">
        <w:rPr>
          <w:rFonts w:ascii="Times New Roman" w:hAnsi="Times New Roman" w:cs="Times New Roman"/>
        </w:rPr>
        <w:t xml:space="preserve"> UACC62P/R cells were seeded into 384-well plates at a density of 1,000 cells/well. The next day the cells were treated in a concentration response matrix with a top concentration of 10 µM for all compounds and a ½ dilution series. Viability was analyzed as described in the Materials and Methods section. Data is expressed as relative viability wherein a value of 1 (blue) indicates 100% viability and a value of 0 (red) indicates 0% viability.</w:t>
      </w:r>
      <w:r w:rsidR="00B96B70">
        <w:rPr>
          <w:rFonts w:ascii="Times New Roman" w:hAnsi="Times New Roman" w:cs="Times New Roman"/>
        </w:rPr>
        <w:t xml:space="preserve"> </w:t>
      </w:r>
      <w:r w:rsidR="00FF6347">
        <w:rPr>
          <w:rFonts w:ascii="Times New Roman" w:hAnsi="Times New Roman" w:cs="Times New Roman"/>
          <w:b/>
          <w:bCs/>
        </w:rPr>
        <w:t>A.</w:t>
      </w:r>
      <w:r w:rsidR="00FF6347">
        <w:rPr>
          <w:rFonts w:ascii="Times New Roman" w:hAnsi="Times New Roman" w:cs="Times New Roman"/>
        </w:rPr>
        <w:t xml:space="preserve"> UACC62P/R cells were treated with a GSK461364 x Vemurafenib concentration response matrix. </w:t>
      </w:r>
      <w:r w:rsidR="00FF6347">
        <w:rPr>
          <w:rFonts w:ascii="Times New Roman" w:hAnsi="Times New Roman" w:cs="Times New Roman"/>
          <w:b/>
          <w:bCs/>
        </w:rPr>
        <w:t>B.</w:t>
      </w:r>
      <w:r w:rsidR="00FF6347">
        <w:rPr>
          <w:rFonts w:ascii="Times New Roman" w:hAnsi="Times New Roman" w:cs="Times New Roman"/>
        </w:rPr>
        <w:t xml:space="preserve"> UACC62P/R cells were treated with a MLN8237 x Vemurafenib concentration response matrix. </w:t>
      </w:r>
      <w:r w:rsidR="00FF6347">
        <w:rPr>
          <w:rFonts w:ascii="Times New Roman" w:hAnsi="Times New Roman" w:cs="Times New Roman"/>
          <w:b/>
          <w:bCs/>
        </w:rPr>
        <w:t xml:space="preserve">C. </w:t>
      </w:r>
      <w:r w:rsidR="00FF6347">
        <w:rPr>
          <w:rFonts w:ascii="Times New Roman" w:hAnsi="Times New Roman" w:cs="Times New Roman"/>
        </w:rPr>
        <w:t>UACC62P/R cells were treated with a Mebendazole x Vemurafenib concentration response matrix.</w:t>
      </w:r>
      <w:r w:rsidR="00B96B70">
        <w:rPr>
          <w:rFonts w:ascii="Times New Roman" w:hAnsi="Times New Roman" w:cs="Times New Roman"/>
        </w:rPr>
        <w:t xml:space="preserve"> </w:t>
      </w:r>
      <w:r w:rsidR="00B96B70">
        <w:rPr>
          <w:rFonts w:ascii="Times New Roman" w:hAnsi="Times New Roman"/>
          <w:szCs w:val="20"/>
        </w:rPr>
        <w:t>This experiment was repeated with n = 3 biological replicates.</w:t>
      </w:r>
      <w:r w:rsidR="00F22348">
        <w:rPr>
          <w:rFonts w:ascii="Times New Roman" w:hAnsi="Times New Roman"/>
          <w:szCs w:val="20"/>
        </w:rPr>
        <w:t xml:space="preserve"> The data in these matrices represent the average compound response across all experimental replicates. </w:t>
      </w:r>
    </w:p>
    <w:p w14:paraId="6883517F" w14:textId="77777777" w:rsidR="00BE58F8" w:rsidRDefault="00BE58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E605BB" w14:textId="77777777" w:rsidR="00C10A7A" w:rsidRPr="00FF6347" w:rsidRDefault="00C10A7A" w:rsidP="00AF505B">
      <w:pPr>
        <w:spacing w:after="40"/>
        <w:jc w:val="both"/>
        <w:rPr>
          <w:rFonts w:ascii="Times New Roman" w:hAnsi="Times New Roman" w:cs="Times New Roman"/>
        </w:rPr>
      </w:pPr>
    </w:p>
    <w:p w14:paraId="695E1BF5" w14:textId="46BD3FC5" w:rsidR="00BE58F8" w:rsidRDefault="00BE58F8" w:rsidP="00610AF0">
      <w:pPr>
        <w:spacing w:after="4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EBCE6E" wp14:editId="346035D3">
            <wp:extent cx="6504305" cy="4850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05B">
        <w:rPr>
          <w:rFonts w:ascii="Times New Roman" w:hAnsi="Times New Roman" w:cs="Times New Roman"/>
          <w:b/>
          <w:bCs/>
        </w:rPr>
        <w:t xml:space="preserve">Figure S2. </w:t>
      </w:r>
      <w:r w:rsidR="00925179">
        <w:rPr>
          <w:rFonts w:ascii="Times New Roman" w:hAnsi="Times New Roman" w:cs="Times New Roman"/>
          <w:b/>
          <w:bCs/>
        </w:rPr>
        <w:t xml:space="preserve">Identification of compound classes which are selective for </w:t>
      </w:r>
      <w:proofErr w:type="spellStart"/>
      <w:r w:rsidR="00925179">
        <w:rPr>
          <w:rFonts w:ascii="Times New Roman" w:hAnsi="Times New Roman" w:cs="Times New Roman"/>
          <w:b/>
          <w:bCs/>
        </w:rPr>
        <w:t>BRAFi</w:t>
      </w:r>
      <w:proofErr w:type="spellEnd"/>
      <w:r w:rsidR="00925179">
        <w:rPr>
          <w:rFonts w:ascii="Times New Roman" w:hAnsi="Times New Roman" w:cs="Times New Roman"/>
          <w:b/>
          <w:bCs/>
        </w:rPr>
        <w:t>-resistant cells. A)</w:t>
      </w:r>
      <w:r w:rsidR="00925179">
        <w:rPr>
          <w:rFonts w:ascii="Times New Roman" w:hAnsi="Times New Roman" w:cs="Times New Roman"/>
        </w:rPr>
        <w:t xml:space="preserve"> Overall compound representation in the MIPE library. </w:t>
      </w:r>
      <w:proofErr w:type="spellStart"/>
      <w:r w:rsidR="00925179">
        <w:rPr>
          <w:rFonts w:ascii="Times New Roman" w:hAnsi="Times New Roman" w:cs="Times New Roman"/>
        </w:rPr>
        <w:t>AURKi</w:t>
      </w:r>
      <w:proofErr w:type="spellEnd"/>
      <w:r w:rsidR="00925179">
        <w:rPr>
          <w:rFonts w:ascii="Times New Roman" w:hAnsi="Times New Roman" w:cs="Times New Roman"/>
        </w:rPr>
        <w:t xml:space="preserve">, </w:t>
      </w:r>
      <w:proofErr w:type="spellStart"/>
      <w:r w:rsidR="00925179">
        <w:rPr>
          <w:rFonts w:ascii="Times New Roman" w:hAnsi="Times New Roman" w:cs="Times New Roman"/>
        </w:rPr>
        <w:t>PLKi</w:t>
      </w:r>
      <w:proofErr w:type="spellEnd"/>
      <w:r w:rsidR="00925179">
        <w:rPr>
          <w:rFonts w:ascii="Times New Roman" w:hAnsi="Times New Roman" w:cs="Times New Roman"/>
        </w:rPr>
        <w:t xml:space="preserve">, Tubulin inhibitors, Kinesin inhibitors, and Chk1/2 inhibitors are highlighted. Compound class enrichment for the top 25 most selective compounds in </w:t>
      </w:r>
      <w:r w:rsidR="00925179">
        <w:rPr>
          <w:rFonts w:ascii="Times New Roman" w:hAnsi="Times New Roman" w:cs="Times New Roman"/>
          <w:b/>
          <w:bCs/>
        </w:rPr>
        <w:t>B)</w:t>
      </w:r>
      <w:r w:rsidR="00925179">
        <w:rPr>
          <w:rFonts w:ascii="Times New Roman" w:hAnsi="Times New Roman" w:cs="Times New Roman"/>
        </w:rPr>
        <w:t xml:space="preserve"> UACC62P/R cells, </w:t>
      </w:r>
      <w:r w:rsidR="00925179">
        <w:rPr>
          <w:rFonts w:ascii="Times New Roman" w:hAnsi="Times New Roman" w:cs="Times New Roman"/>
          <w:b/>
          <w:bCs/>
        </w:rPr>
        <w:t>C)</w:t>
      </w:r>
      <w:r w:rsidR="00925179">
        <w:rPr>
          <w:rFonts w:ascii="Times New Roman" w:hAnsi="Times New Roman" w:cs="Times New Roman"/>
        </w:rPr>
        <w:t xml:space="preserve"> M238P/R cells, </w:t>
      </w:r>
      <w:r w:rsidR="00925179">
        <w:rPr>
          <w:rFonts w:ascii="Times New Roman" w:hAnsi="Times New Roman" w:cs="Times New Roman"/>
          <w:b/>
          <w:bCs/>
        </w:rPr>
        <w:t>D)</w:t>
      </w:r>
      <w:r w:rsidR="00925179">
        <w:rPr>
          <w:rFonts w:ascii="Times New Roman" w:hAnsi="Times New Roman" w:cs="Times New Roman"/>
        </w:rPr>
        <w:t xml:space="preserve"> M229P/R cells, and </w:t>
      </w:r>
      <w:r w:rsidR="00925179">
        <w:rPr>
          <w:rFonts w:ascii="Times New Roman" w:hAnsi="Times New Roman" w:cs="Times New Roman"/>
          <w:b/>
          <w:bCs/>
        </w:rPr>
        <w:t>E)</w:t>
      </w:r>
      <w:r w:rsidR="00925179">
        <w:rPr>
          <w:rFonts w:ascii="Times New Roman" w:hAnsi="Times New Roman" w:cs="Times New Roman"/>
        </w:rPr>
        <w:t xml:space="preserve"> M249P/R cells.</w:t>
      </w:r>
    </w:p>
    <w:p w14:paraId="27DDEDF5" w14:textId="77777777" w:rsidR="00BE58F8" w:rsidRDefault="00BE58F8" w:rsidP="00610A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A49FEFB" w14:textId="77777777" w:rsidR="00AF505B" w:rsidRPr="00925179" w:rsidRDefault="00AF505B" w:rsidP="00AF505B">
      <w:pPr>
        <w:spacing w:after="40"/>
        <w:jc w:val="both"/>
        <w:rPr>
          <w:rFonts w:ascii="Times New Roman" w:hAnsi="Times New Roman" w:cs="Times New Roman"/>
        </w:rPr>
      </w:pPr>
    </w:p>
    <w:p w14:paraId="26B7904B" w14:textId="68FD209F" w:rsidR="00BE58F8" w:rsidRDefault="00BE58F8" w:rsidP="009C67BC">
      <w:pPr>
        <w:spacing w:after="40"/>
        <w:jc w:val="center"/>
        <w:rPr>
          <w:rFonts w:ascii="Times New Roman" w:hAnsi="Times New Roman" w:cs="Times New Roman"/>
          <w:b/>
          <w:bCs/>
        </w:rPr>
      </w:pPr>
    </w:p>
    <w:p w14:paraId="76E10150" w14:textId="5D7AC7EE" w:rsidR="001F0E28" w:rsidRDefault="00033E97" w:rsidP="00AF505B">
      <w:pPr>
        <w:spacing w:after="40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B92715D" wp14:editId="01095126">
            <wp:extent cx="5882005" cy="3543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D1DF" w14:textId="00A93849" w:rsidR="00BE58F8" w:rsidRDefault="00AF505B" w:rsidP="00AF505B">
      <w:pPr>
        <w:spacing w:after="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S3. </w:t>
      </w:r>
      <w:r w:rsidR="00925179">
        <w:rPr>
          <w:rFonts w:ascii="Times New Roman" w:hAnsi="Times New Roman" w:cs="Times New Roman"/>
          <w:b/>
          <w:bCs/>
        </w:rPr>
        <w:t xml:space="preserve">ROS production is not altered in </w:t>
      </w:r>
      <w:proofErr w:type="spellStart"/>
      <w:r w:rsidR="00925179">
        <w:rPr>
          <w:rFonts w:ascii="Times New Roman" w:hAnsi="Times New Roman" w:cs="Times New Roman"/>
          <w:b/>
          <w:bCs/>
        </w:rPr>
        <w:t>BRAFi</w:t>
      </w:r>
      <w:proofErr w:type="spellEnd"/>
      <w:r w:rsidR="00925179">
        <w:rPr>
          <w:rFonts w:ascii="Times New Roman" w:hAnsi="Times New Roman" w:cs="Times New Roman"/>
          <w:b/>
          <w:bCs/>
        </w:rPr>
        <w:t>-resistant cells.</w:t>
      </w:r>
      <w:r w:rsidR="00925179">
        <w:rPr>
          <w:rFonts w:ascii="Times New Roman" w:hAnsi="Times New Roman" w:cs="Times New Roman"/>
        </w:rPr>
        <w:t xml:space="preserve"> </w:t>
      </w:r>
      <w:r w:rsidR="00925179">
        <w:rPr>
          <w:rFonts w:ascii="Times New Roman" w:hAnsi="Times New Roman" w:cs="Times New Roman"/>
          <w:b/>
          <w:bCs/>
        </w:rPr>
        <w:t>A)</w:t>
      </w:r>
      <w:r w:rsidR="00925179">
        <w:rPr>
          <w:rFonts w:ascii="Times New Roman" w:hAnsi="Times New Roman" w:cs="Times New Roman"/>
        </w:rPr>
        <w:t xml:space="preserve"> UACC62P/R and </w:t>
      </w:r>
      <w:r w:rsidR="00925179">
        <w:rPr>
          <w:rFonts w:ascii="Times New Roman" w:hAnsi="Times New Roman" w:cs="Times New Roman"/>
          <w:b/>
          <w:bCs/>
        </w:rPr>
        <w:t>B)</w:t>
      </w:r>
      <w:r w:rsidR="00925179">
        <w:rPr>
          <w:rFonts w:ascii="Times New Roman" w:hAnsi="Times New Roman" w:cs="Times New Roman"/>
        </w:rPr>
        <w:t xml:space="preserve"> M229P/R cells were seeded into 96-well plates. The next day the cells were treated with </w:t>
      </w:r>
      <w:proofErr w:type="gramStart"/>
      <w:r w:rsidR="00925179">
        <w:rPr>
          <w:rFonts w:ascii="Times New Roman" w:hAnsi="Times New Roman" w:cs="Times New Roman"/>
        </w:rPr>
        <w:t>H</w:t>
      </w:r>
      <w:r w:rsidR="00925179">
        <w:rPr>
          <w:rFonts w:ascii="Times New Roman" w:hAnsi="Times New Roman" w:cs="Times New Roman"/>
          <w:vertAlign w:val="subscript"/>
        </w:rPr>
        <w:t>2</w:t>
      </w:r>
      <w:r w:rsidR="00925179">
        <w:rPr>
          <w:rFonts w:ascii="Times New Roman" w:hAnsi="Times New Roman" w:cs="Times New Roman"/>
        </w:rPr>
        <w:t>O</w:t>
      </w:r>
      <w:r w:rsidR="00925179">
        <w:rPr>
          <w:rFonts w:ascii="Times New Roman" w:hAnsi="Times New Roman" w:cs="Times New Roman"/>
          <w:vertAlign w:val="subscript"/>
        </w:rPr>
        <w:t>2</w:t>
      </w:r>
      <w:proofErr w:type="gramEnd"/>
      <w:r w:rsidR="00925179">
        <w:rPr>
          <w:rFonts w:ascii="Times New Roman" w:hAnsi="Times New Roman" w:cs="Times New Roman"/>
        </w:rPr>
        <w:t xml:space="preserve"> and the ROS assay was performed as described in the Materials and Methods</w:t>
      </w:r>
      <w:r w:rsidR="004119B8">
        <w:rPr>
          <w:rFonts w:ascii="Times New Roman" w:hAnsi="Times New Roman" w:cs="Times New Roman"/>
        </w:rPr>
        <w:t xml:space="preserve"> with cells treated with H</w:t>
      </w:r>
      <w:r w:rsidR="004119B8">
        <w:rPr>
          <w:rFonts w:ascii="Times New Roman" w:hAnsi="Times New Roman" w:cs="Times New Roman"/>
          <w:vertAlign w:val="subscript"/>
        </w:rPr>
        <w:t>2</w:t>
      </w:r>
      <w:r w:rsidR="004119B8">
        <w:rPr>
          <w:rFonts w:ascii="Times New Roman" w:hAnsi="Times New Roman" w:cs="Times New Roman"/>
        </w:rPr>
        <w:t>O</w:t>
      </w:r>
      <w:r w:rsidR="004119B8">
        <w:rPr>
          <w:rFonts w:ascii="Times New Roman" w:hAnsi="Times New Roman" w:cs="Times New Roman"/>
          <w:vertAlign w:val="subscript"/>
        </w:rPr>
        <w:t>2</w:t>
      </w:r>
      <w:r w:rsidR="004119B8">
        <w:rPr>
          <w:rFonts w:ascii="Times New Roman" w:hAnsi="Times New Roman" w:cs="Times New Roman"/>
        </w:rPr>
        <w:t xml:space="preserve"> serving as a positive control</w:t>
      </w:r>
      <w:r w:rsidR="00925179">
        <w:rPr>
          <w:rFonts w:ascii="Times New Roman" w:hAnsi="Times New Roman" w:cs="Times New Roman"/>
        </w:rPr>
        <w:t>.</w:t>
      </w:r>
      <w:r w:rsidR="00B96B70">
        <w:rPr>
          <w:rFonts w:ascii="Times New Roman" w:hAnsi="Times New Roman" w:cs="Times New Roman"/>
        </w:rPr>
        <w:t xml:space="preserve"> </w:t>
      </w:r>
      <w:r w:rsidR="001B0C2B">
        <w:rPr>
          <w:rFonts w:ascii="Times New Roman" w:hAnsi="Times New Roman" w:cs="Times New Roman"/>
        </w:rPr>
        <w:t xml:space="preserve">Relative ROS production is normalized to ROS levels in UACC62P (panel A) or M229P (panel B). </w:t>
      </w:r>
      <w:r w:rsidR="00B96B70">
        <w:rPr>
          <w:rFonts w:ascii="Times New Roman" w:hAnsi="Times New Roman"/>
          <w:szCs w:val="20"/>
        </w:rPr>
        <w:t>This experiment was repeated with n = 3 technical replicates and n = 3 biological replicates.</w:t>
      </w:r>
      <w:r w:rsidR="004119B8">
        <w:rPr>
          <w:rFonts w:ascii="Times New Roman" w:hAnsi="Times New Roman"/>
          <w:szCs w:val="20"/>
        </w:rPr>
        <w:t xml:space="preserve"> </w:t>
      </w:r>
    </w:p>
    <w:p w14:paraId="5F6BB988" w14:textId="03C3B215" w:rsidR="00AF505B" w:rsidRPr="00925179" w:rsidRDefault="00BE58F8" w:rsidP="00B96B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E69990" w14:textId="77777777" w:rsidR="00BE58F8" w:rsidRDefault="00BE58F8" w:rsidP="009C67BC">
      <w:pPr>
        <w:spacing w:after="4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1C0505EB" wp14:editId="1D1E8C6E">
            <wp:extent cx="4742180" cy="9144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9FAF" w14:textId="779D46D7" w:rsidR="00BE58F8" w:rsidRDefault="00AF505B" w:rsidP="00AF505B">
      <w:pPr>
        <w:spacing w:after="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Figure S4. </w:t>
      </w:r>
      <w:r w:rsidR="001D0EEB">
        <w:rPr>
          <w:rFonts w:ascii="Times New Roman" w:hAnsi="Times New Roman" w:cs="Times New Roman"/>
          <w:b/>
          <w:bCs/>
        </w:rPr>
        <w:t>p-γH2AX staining is not altered in compound-treated UACC62P/R cells. A</w:t>
      </w:r>
      <w:r w:rsidR="001D0EEB">
        <w:rPr>
          <w:rFonts w:ascii="Times New Roman" w:hAnsi="Times New Roman" w:cs="Times New Roman"/>
        </w:rPr>
        <w:t xml:space="preserve">) UACC62P/R cells were treated with 1 µM GSK461364, MLN8237, or Mebendazole for 24 h. The cells were fixed and stained with a p-γH2AX antibody and quantified as described </w:t>
      </w:r>
      <w:r w:rsidR="004119B8" w:rsidRPr="00F22348">
        <w:rPr>
          <w:rFonts w:ascii="Times New Roman" w:hAnsi="Times New Roman" w:cs="Times New Roman"/>
          <w:i/>
          <w:iCs/>
        </w:rPr>
        <w:t>M</w:t>
      </w:r>
      <w:r w:rsidR="001D0EEB" w:rsidRPr="00F22348">
        <w:rPr>
          <w:rFonts w:ascii="Times New Roman" w:hAnsi="Times New Roman" w:cs="Times New Roman"/>
          <w:i/>
          <w:iCs/>
        </w:rPr>
        <w:t xml:space="preserve">aterials and </w:t>
      </w:r>
      <w:r w:rsidR="008333A6">
        <w:rPr>
          <w:rFonts w:ascii="Times New Roman" w:hAnsi="Times New Roman" w:cs="Times New Roman"/>
          <w:i/>
          <w:iCs/>
        </w:rPr>
        <w:t>M</w:t>
      </w:r>
      <w:r w:rsidR="001D0EEB" w:rsidRPr="00F22348">
        <w:rPr>
          <w:rFonts w:ascii="Times New Roman" w:hAnsi="Times New Roman" w:cs="Times New Roman"/>
          <w:i/>
          <w:iCs/>
        </w:rPr>
        <w:t>ethods</w:t>
      </w:r>
      <w:r w:rsidR="001D0EEB">
        <w:rPr>
          <w:rFonts w:ascii="Times New Roman" w:hAnsi="Times New Roman" w:cs="Times New Roman"/>
        </w:rPr>
        <w:t>.</w:t>
      </w:r>
      <w:r w:rsidR="00047624">
        <w:rPr>
          <w:rFonts w:ascii="Times New Roman" w:hAnsi="Times New Roman" w:cs="Times New Roman"/>
          <w:b/>
          <w:bCs/>
        </w:rPr>
        <w:t xml:space="preserve"> </w:t>
      </w:r>
      <w:r w:rsidR="001D0EEB">
        <w:rPr>
          <w:rFonts w:ascii="Times New Roman" w:hAnsi="Times New Roman" w:cs="Times New Roman"/>
          <w:b/>
          <w:bCs/>
        </w:rPr>
        <w:t>B)</w:t>
      </w:r>
      <w:r w:rsidR="001D0EEB">
        <w:rPr>
          <w:rFonts w:ascii="Times New Roman" w:hAnsi="Times New Roman" w:cs="Times New Roman"/>
        </w:rPr>
        <w:t xml:space="preserve"> Representative immunofluorescence images.</w:t>
      </w:r>
      <w:r w:rsidR="00B96B70">
        <w:rPr>
          <w:rFonts w:ascii="Times New Roman" w:hAnsi="Times New Roman" w:cs="Times New Roman"/>
        </w:rPr>
        <w:t xml:space="preserve"> </w:t>
      </w:r>
      <w:r w:rsidR="00B96B70">
        <w:rPr>
          <w:rFonts w:ascii="Times New Roman" w:hAnsi="Times New Roman"/>
          <w:szCs w:val="20"/>
        </w:rPr>
        <w:t>This experiment was repeated with n = 3 biological replicates.</w:t>
      </w:r>
    </w:p>
    <w:p w14:paraId="59024EC8" w14:textId="77777777" w:rsidR="00BE58F8" w:rsidRDefault="00BE58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9BA8F9" w14:textId="77777777" w:rsidR="00AF505B" w:rsidRPr="001D0EEB" w:rsidRDefault="00AF505B" w:rsidP="00AF505B">
      <w:pPr>
        <w:spacing w:after="40"/>
        <w:jc w:val="both"/>
        <w:rPr>
          <w:rFonts w:ascii="Times New Roman" w:hAnsi="Times New Roman" w:cs="Times New Roman"/>
        </w:rPr>
      </w:pPr>
    </w:p>
    <w:p w14:paraId="66A8329A" w14:textId="4667B688" w:rsidR="00BE58F8" w:rsidRDefault="00BE58F8" w:rsidP="009C67BC">
      <w:pPr>
        <w:spacing w:after="40"/>
        <w:jc w:val="center"/>
        <w:rPr>
          <w:rFonts w:ascii="Times New Roman" w:hAnsi="Times New Roman" w:cs="Times New Roman"/>
          <w:b/>
          <w:bCs/>
        </w:rPr>
      </w:pPr>
    </w:p>
    <w:p w14:paraId="1AA6BF80" w14:textId="58A1EAFB" w:rsidR="008A6845" w:rsidRDefault="00462421" w:rsidP="00AF505B">
      <w:pPr>
        <w:spacing w:after="40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CF097A9" wp14:editId="781F0223">
            <wp:extent cx="4796155" cy="6339205"/>
            <wp:effectExtent l="0" t="0" r="0" b="0"/>
            <wp:docPr id="10" name="Picture 10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6B7B" w14:textId="038F00CB" w:rsidR="007D63D8" w:rsidRDefault="00AF505B" w:rsidP="00AF505B">
      <w:pPr>
        <w:spacing w:after="4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b/>
          <w:bCs/>
        </w:rPr>
        <w:t xml:space="preserve">Figure S5. </w:t>
      </w:r>
      <w:r w:rsidR="001D0EEB">
        <w:rPr>
          <w:rFonts w:ascii="Times New Roman" w:hAnsi="Times New Roman" w:cs="Times New Roman"/>
          <w:b/>
          <w:bCs/>
        </w:rPr>
        <w:t>TNFα does not alter AURK, PLK, Tubulin, or Chk1/2 inhibitor sensitivity. A)</w:t>
      </w:r>
      <w:r w:rsidR="001D0EEB">
        <w:rPr>
          <w:rFonts w:ascii="Times New Roman" w:hAnsi="Times New Roman" w:cs="Times New Roman"/>
        </w:rPr>
        <w:t xml:space="preserve"> UACC62P or </w:t>
      </w:r>
      <w:r w:rsidR="001D0EEB">
        <w:rPr>
          <w:rFonts w:ascii="Times New Roman" w:hAnsi="Times New Roman" w:cs="Times New Roman"/>
          <w:b/>
          <w:bCs/>
        </w:rPr>
        <w:t xml:space="preserve">B) </w:t>
      </w:r>
      <w:r w:rsidR="001D0EEB">
        <w:rPr>
          <w:rFonts w:ascii="Times New Roman" w:hAnsi="Times New Roman" w:cs="Times New Roman"/>
        </w:rPr>
        <w:t>M229P cells were seeded into 384-well plates at a density of 1,000 cells/well. The next day the cells were treated -/+ 10 ng/mL TNFα and a concentration gradient of the indicated compound. Viability was measured and quantified as described in the Materials and Methods section.</w:t>
      </w:r>
      <w:r w:rsidR="00B96B70">
        <w:rPr>
          <w:rFonts w:ascii="Times New Roman" w:hAnsi="Times New Roman" w:cs="Times New Roman"/>
        </w:rPr>
        <w:t xml:space="preserve"> </w:t>
      </w:r>
      <w:r w:rsidR="00B96B70">
        <w:rPr>
          <w:rFonts w:ascii="Times New Roman" w:hAnsi="Times New Roman"/>
          <w:szCs w:val="20"/>
        </w:rPr>
        <w:t>This experiment was repeated with n = 3 technical replicates and n = 3 biological replicates.</w:t>
      </w:r>
    </w:p>
    <w:p w14:paraId="285FF036" w14:textId="30CB0EF9" w:rsidR="007D63D8" w:rsidRDefault="007D63D8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  <w:r w:rsidR="004748AC">
        <w:rPr>
          <w:noProof/>
        </w:rPr>
        <w:lastRenderedPageBreak/>
        <w:t xml:space="preserve"> </w:t>
      </w:r>
    </w:p>
    <w:p w14:paraId="4B70F871" w14:textId="77777777" w:rsidR="00B75558" w:rsidRDefault="00B75558">
      <w:pPr>
        <w:rPr>
          <w:rFonts w:ascii="Times New Roman" w:hAnsi="Times New Roman"/>
          <w:b/>
          <w:bCs/>
          <w:szCs w:val="20"/>
        </w:rPr>
      </w:pPr>
      <w:r>
        <w:rPr>
          <w:noProof/>
        </w:rPr>
        <w:drawing>
          <wp:inline distT="0" distB="0" distL="0" distR="0" wp14:anchorId="6C2FD095" wp14:editId="02288BC1">
            <wp:extent cx="4324350" cy="6124575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548A5" w14:textId="680DE3E2" w:rsidR="007D63D8" w:rsidRDefault="004D6C20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b/>
          <w:bCs/>
          <w:szCs w:val="20"/>
        </w:rPr>
        <w:t>Figure</w:t>
      </w:r>
      <w:r w:rsidR="009042C6">
        <w:rPr>
          <w:rFonts w:ascii="Times New Roman" w:hAnsi="Times New Roman"/>
          <w:b/>
          <w:bCs/>
          <w:szCs w:val="20"/>
        </w:rPr>
        <w:t xml:space="preserve"> S6.</w:t>
      </w:r>
      <w:r w:rsidR="009042C6">
        <w:rPr>
          <w:rFonts w:ascii="Times New Roman" w:hAnsi="Times New Roman"/>
          <w:szCs w:val="20"/>
        </w:rPr>
        <w:t xml:space="preserve"> </w:t>
      </w:r>
      <w:r w:rsidR="009042C6">
        <w:rPr>
          <w:rFonts w:ascii="Times New Roman" w:hAnsi="Times New Roman"/>
          <w:b/>
          <w:bCs/>
          <w:szCs w:val="20"/>
        </w:rPr>
        <w:t>Cyclin B1</w:t>
      </w:r>
      <w:r w:rsidR="00E53C11">
        <w:rPr>
          <w:rFonts w:ascii="Times New Roman" w:hAnsi="Times New Roman"/>
          <w:b/>
          <w:bCs/>
          <w:szCs w:val="20"/>
        </w:rPr>
        <w:t>,</w:t>
      </w:r>
      <w:r w:rsidR="009042C6">
        <w:rPr>
          <w:rFonts w:ascii="Times New Roman" w:hAnsi="Times New Roman"/>
          <w:b/>
          <w:bCs/>
          <w:szCs w:val="20"/>
        </w:rPr>
        <w:t xml:space="preserve"> Cyclin A1</w:t>
      </w:r>
      <w:r w:rsidR="00E53C11">
        <w:rPr>
          <w:rFonts w:ascii="Times New Roman" w:hAnsi="Times New Roman"/>
          <w:b/>
          <w:bCs/>
          <w:szCs w:val="20"/>
        </w:rPr>
        <w:t>, and PARP</w:t>
      </w:r>
      <w:r w:rsidR="009042C6">
        <w:rPr>
          <w:rFonts w:ascii="Times New Roman" w:hAnsi="Times New Roman"/>
          <w:b/>
          <w:bCs/>
          <w:szCs w:val="20"/>
        </w:rPr>
        <w:t xml:space="preserve"> levels in </w:t>
      </w:r>
      <w:r w:rsidR="00E53C11">
        <w:rPr>
          <w:rFonts w:ascii="Times New Roman" w:hAnsi="Times New Roman"/>
          <w:b/>
          <w:bCs/>
          <w:szCs w:val="20"/>
        </w:rPr>
        <w:t xml:space="preserve">MLN8237-treated </w:t>
      </w:r>
      <w:r w:rsidR="009042C6">
        <w:rPr>
          <w:rFonts w:ascii="Times New Roman" w:hAnsi="Times New Roman"/>
          <w:b/>
          <w:bCs/>
          <w:szCs w:val="20"/>
        </w:rPr>
        <w:t>UACC62P/R cells.</w:t>
      </w:r>
      <w:r w:rsidR="009042C6">
        <w:rPr>
          <w:rFonts w:ascii="Times New Roman" w:hAnsi="Times New Roman"/>
          <w:szCs w:val="20"/>
        </w:rPr>
        <w:t xml:space="preserve"> UACC62P and UACC62R cells were engineered to express EGFP-Cyclin B1 as described in the Materials and Methods section. The cells were treated with 1 </w:t>
      </w:r>
      <w:r w:rsidR="009042C6">
        <w:rPr>
          <w:rFonts w:ascii="Times New Roman" w:hAnsi="Times New Roman" w:cs="Times New Roman"/>
          <w:szCs w:val="20"/>
        </w:rPr>
        <w:t>µ</w:t>
      </w:r>
      <w:r w:rsidR="009042C6">
        <w:rPr>
          <w:rFonts w:ascii="Times New Roman" w:hAnsi="Times New Roman"/>
          <w:szCs w:val="20"/>
        </w:rPr>
        <w:t xml:space="preserve">M MLN8237 for 24 h before cellular lysates were collected. Immunoblots were performed to measure levels of </w:t>
      </w:r>
      <w:r w:rsidR="004748AC">
        <w:rPr>
          <w:rFonts w:ascii="Times New Roman" w:hAnsi="Times New Roman"/>
          <w:b/>
          <w:bCs/>
          <w:szCs w:val="20"/>
        </w:rPr>
        <w:t>(A)</w:t>
      </w:r>
      <w:r w:rsidR="004748AC">
        <w:rPr>
          <w:rFonts w:ascii="Times New Roman" w:hAnsi="Times New Roman"/>
          <w:szCs w:val="20"/>
        </w:rPr>
        <w:t xml:space="preserve"> Cyclin A1,</w:t>
      </w:r>
      <w:r w:rsidR="008333A6">
        <w:rPr>
          <w:rFonts w:ascii="Times New Roman" w:hAnsi="Times New Roman"/>
          <w:szCs w:val="20"/>
        </w:rPr>
        <w:t xml:space="preserve"> </w:t>
      </w:r>
      <w:r w:rsidR="004748AC">
        <w:rPr>
          <w:rFonts w:ascii="Times New Roman" w:hAnsi="Times New Roman"/>
          <w:b/>
          <w:bCs/>
          <w:szCs w:val="20"/>
        </w:rPr>
        <w:t>(B)</w:t>
      </w:r>
      <w:r w:rsidR="004748AC">
        <w:rPr>
          <w:rFonts w:ascii="Times New Roman" w:hAnsi="Times New Roman"/>
          <w:szCs w:val="20"/>
        </w:rPr>
        <w:t xml:space="preserve"> Cyclin B1</w:t>
      </w:r>
      <w:r w:rsidR="008333A6">
        <w:rPr>
          <w:rFonts w:ascii="Times New Roman" w:hAnsi="Times New Roman"/>
          <w:szCs w:val="20"/>
        </w:rPr>
        <w:t xml:space="preserve">, and </w:t>
      </w:r>
      <w:r w:rsidR="008333A6" w:rsidRPr="008333A6">
        <w:rPr>
          <w:rFonts w:ascii="Times New Roman" w:hAnsi="Times New Roman"/>
          <w:b/>
          <w:bCs/>
          <w:szCs w:val="20"/>
        </w:rPr>
        <w:t>(C)</w:t>
      </w:r>
      <w:r w:rsidR="008333A6">
        <w:rPr>
          <w:rFonts w:ascii="Times New Roman" w:hAnsi="Times New Roman"/>
          <w:szCs w:val="20"/>
        </w:rPr>
        <w:t xml:space="preserve"> PARP</w:t>
      </w:r>
      <w:r w:rsidR="005A6BCA">
        <w:rPr>
          <w:rFonts w:ascii="Times New Roman" w:hAnsi="Times New Roman"/>
          <w:szCs w:val="20"/>
        </w:rPr>
        <w:t>. GAPDH was using as a loading control.</w:t>
      </w:r>
    </w:p>
    <w:p w14:paraId="2B92B27B" w14:textId="77777777" w:rsidR="00AF505B" w:rsidRDefault="00AF505B" w:rsidP="00AF505B">
      <w:pPr>
        <w:spacing w:after="40"/>
        <w:jc w:val="both"/>
        <w:rPr>
          <w:rFonts w:ascii="Times New Roman" w:hAnsi="Times New Roman"/>
          <w:szCs w:val="20"/>
        </w:rPr>
      </w:pPr>
    </w:p>
    <w:p w14:paraId="54FEF249" w14:textId="53A1C930" w:rsidR="004119B8" w:rsidRDefault="004119B8" w:rsidP="00AF505B">
      <w:pPr>
        <w:spacing w:after="40"/>
        <w:jc w:val="both"/>
        <w:rPr>
          <w:rFonts w:ascii="Times New Roman" w:hAnsi="Times New Roman"/>
          <w:szCs w:val="20"/>
        </w:rPr>
      </w:pPr>
    </w:p>
    <w:p w14:paraId="00B01B25" w14:textId="77777777" w:rsidR="004119B8" w:rsidRPr="001D0EEB" w:rsidRDefault="004119B8" w:rsidP="00AF505B">
      <w:pPr>
        <w:spacing w:after="40"/>
        <w:jc w:val="both"/>
        <w:rPr>
          <w:rFonts w:ascii="Times New Roman" w:hAnsi="Times New Roman" w:cs="Times New Roman"/>
        </w:rPr>
      </w:pPr>
    </w:p>
    <w:p w14:paraId="424A3084" w14:textId="0FB27AE0" w:rsidR="00BE58F8" w:rsidRDefault="009C67BC" w:rsidP="009C67BC">
      <w:pPr>
        <w:spacing w:after="4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52F141D2" wp14:editId="34B49B31">
            <wp:extent cx="4695825" cy="5876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2B73" w14:textId="22979AAC" w:rsidR="00F734D9" w:rsidRDefault="005152BB" w:rsidP="00AF505B">
      <w:pPr>
        <w:spacing w:after="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7D63D8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. </w:t>
      </w:r>
      <w:r w:rsidR="001D0EEB">
        <w:rPr>
          <w:rFonts w:ascii="Times New Roman" w:hAnsi="Times New Roman" w:cs="Times New Roman"/>
          <w:b/>
          <w:bCs/>
        </w:rPr>
        <w:t>Chk1/2 inhibitors do not synergize with vemurafenib in M229P/R cells.</w:t>
      </w:r>
      <w:r w:rsidR="001D0EEB">
        <w:rPr>
          <w:rFonts w:ascii="Times New Roman" w:hAnsi="Times New Roman" w:cs="Times New Roman"/>
        </w:rPr>
        <w:t xml:space="preserve"> M229P/R cells were seeded into 384-well plates at a density of 1,000 cells/well. The next day the cells were treated in a concentration response matrix with a top concentration of 10 µM for all compounds and a ½ dilution series. Viability was analyzed as described in the </w:t>
      </w:r>
      <w:r w:rsidR="001D0EEB" w:rsidRPr="00013FC6">
        <w:rPr>
          <w:rFonts w:ascii="Times New Roman" w:hAnsi="Times New Roman" w:cs="Times New Roman"/>
        </w:rPr>
        <w:t>Materials and Methods</w:t>
      </w:r>
      <w:r w:rsidR="001D0EEB">
        <w:rPr>
          <w:rFonts w:ascii="Times New Roman" w:hAnsi="Times New Roman" w:cs="Times New Roman"/>
        </w:rPr>
        <w:t xml:space="preserve"> section. Data is expressed as relative viability wherein a value of 1 (blue) indicates 100% viability and a value of 0 (red) indicates 0% viability. </w:t>
      </w:r>
      <w:r w:rsidR="001D0EEB">
        <w:rPr>
          <w:rFonts w:ascii="Times New Roman" w:hAnsi="Times New Roman" w:cs="Times New Roman"/>
          <w:b/>
          <w:bCs/>
        </w:rPr>
        <w:t>A.</w:t>
      </w:r>
      <w:r w:rsidR="001D0EEB">
        <w:rPr>
          <w:rFonts w:ascii="Times New Roman" w:hAnsi="Times New Roman" w:cs="Times New Roman"/>
        </w:rPr>
        <w:t xml:space="preserve"> M229P/R cells were treated with a AZD7762 x Vemurafenib concentration response matrix. </w:t>
      </w:r>
      <w:r w:rsidR="001D0EEB">
        <w:rPr>
          <w:rFonts w:ascii="Times New Roman" w:hAnsi="Times New Roman" w:cs="Times New Roman"/>
          <w:b/>
          <w:bCs/>
        </w:rPr>
        <w:t>B.</w:t>
      </w:r>
      <w:r w:rsidR="001D0EEB">
        <w:rPr>
          <w:rFonts w:ascii="Times New Roman" w:hAnsi="Times New Roman" w:cs="Times New Roman"/>
        </w:rPr>
        <w:t xml:space="preserve"> M229P/R cells were treated with a LY2603618 x Vemurafenib concentration response matrix. </w:t>
      </w:r>
      <w:r w:rsidR="001D0EEB">
        <w:rPr>
          <w:rFonts w:ascii="Times New Roman" w:hAnsi="Times New Roman" w:cs="Times New Roman"/>
          <w:b/>
          <w:bCs/>
        </w:rPr>
        <w:t xml:space="preserve">C. </w:t>
      </w:r>
      <w:r w:rsidR="001D0EEB">
        <w:rPr>
          <w:rFonts w:ascii="Times New Roman" w:hAnsi="Times New Roman" w:cs="Times New Roman"/>
        </w:rPr>
        <w:t>M229P/R cells were treated with a SCH900776 x Vemurafenib concentration response matrix.</w:t>
      </w:r>
      <w:r w:rsidR="00B96B70">
        <w:rPr>
          <w:rFonts w:ascii="Times New Roman" w:hAnsi="Times New Roman" w:cs="Times New Roman"/>
        </w:rPr>
        <w:t xml:space="preserve"> </w:t>
      </w:r>
      <w:r w:rsidR="00B96B70">
        <w:rPr>
          <w:rFonts w:ascii="Times New Roman" w:hAnsi="Times New Roman"/>
          <w:szCs w:val="20"/>
        </w:rPr>
        <w:t>This experiment was repeated with n = 3 biological replicates.</w:t>
      </w:r>
      <w:r w:rsidR="000758C6">
        <w:rPr>
          <w:rFonts w:ascii="Times New Roman" w:hAnsi="Times New Roman"/>
          <w:szCs w:val="20"/>
        </w:rPr>
        <w:t xml:space="preserve"> The data in these matrices represent the average compound response across all experimental replicates. </w:t>
      </w:r>
    </w:p>
    <w:p w14:paraId="2D15806B" w14:textId="77777777" w:rsidR="00F734D9" w:rsidRDefault="00F734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2B137E" w14:textId="592138A3" w:rsidR="005152BB" w:rsidRDefault="00E0192D" w:rsidP="00AF505B">
      <w:pPr>
        <w:spacing w:after="40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BE10BF0" wp14:editId="3437D2C1">
            <wp:extent cx="6858000" cy="5250180"/>
            <wp:effectExtent l="0" t="0" r="0" b="0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740A" w14:textId="1E4A71E7" w:rsidR="00AF505B" w:rsidRPr="00602CC4" w:rsidRDefault="00BE4762" w:rsidP="00AF505B">
      <w:pPr>
        <w:spacing w:after="40"/>
        <w:jc w:val="both"/>
        <w:rPr>
          <w:rFonts w:ascii="Times New Roman" w:hAnsi="Times New Roman" w:cs="Times New Roman"/>
          <w:b/>
          <w:bCs/>
        </w:rPr>
      </w:pPr>
      <w:r w:rsidRPr="00602CC4">
        <w:rPr>
          <w:rFonts w:ascii="Times New Roman" w:hAnsi="Times New Roman" w:cs="Times New Roman"/>
          <w:b/>
          <w:bCs/>
        </w:rPr>
        <w:t xml:space="preserve">Figure </w:t>
      </w:r>
      <w:r w:rsidR="003907B5" w:rsidRPr="00602CC4">
        <w:rPr>
          <w:rFonts w:ascii="Times New Roman" w:hAnsi="Times New Roman" w:cs="Times New Roman"/>
          <w:b/>
          <w:bCs/>
        </w:rPr>
        <w:t>S8</w:t>
      </w:r>
      <w:r w:rsidRPr="00602CC4">
        <w:rPr>
          <w:rFonts w:ascii="Times New Roman" w:hAnsi="Times New Roman" w:cs="Times New Roman"/>
          <w:b/>
          <w:bCs/>
        </w:rPr>
        <w:t xml:space="preserve">: </w:t>
      </w:r>
      <w:r w:rsidR="00752B94" w:rsidRPr="00602CC4">
        <w:rPr>
          <w:rFonts w:ascii="Times New Roman" w:hAnsi="Times New Roman" w:cs="Times New Roman"/>
          <w:b/>
          <w:bCs/>
        </w:rPr>
        <w:t xml:space="preserve">Chk1/2 inhibitors increase γH2AX staining in M229P/R cells. </w:t>
      </w:r>
      <w:r w:rsidR="00752B94" w:rsidRPr="00602CC4">
        <w:rPr>
          <w:rFonts w:ascii="Times New Roman" w:hAnsi="Times New Roman" w:cs="Times New Roman"/>
          <w:szCs w:val="20"/>
        </w:rPr>
        <w:t xml:space="preserve">M229P/R cells were treated with 100 </w:t>
      </w:r>
      <w:proofErr w:type="spellStart"/>
      <w:r w:rsidR="00752B94" w:rsidRPr="00602CC4">
        <w:rPr>
          <w:rFonts w:ascii="Times New Roman" w:hAnsi="Times New Roman" w:cs="Times New Roman"/>
          <w:szCs w:val="20"/>
        </w:rPr>
        <w:t>nM</w:t>
      </w:r>
      <w:proofErr w:type="spellEnd"/>
      <w:r w:rsidR="00752B94" w:rsidRPr="00602CC4">
        <w:rPr>
          <w:rFonts w:ascii="Times New Roman" w:hAnsi="Times New Roman" w:cs="Times New Roman"/>
          <w:szCs w:val="20"/>
        </w:rPr>
        <w:t xml:space="preserve"> AZD7762, 1 µM LY2603618, or 1 µM SCH900776 for 24 h. The cells were subsequently fixed and stained with an antibody raised against p-γH2AX. Scale bar = 10 µM. These images are color versions of the images in Fig. 4C.</w:t>
      </w:r>
      <w:r w:rsidR="008603F4" w:rsidRPr="00602CC4">
        <w:rPr>
          <w:rFonts w:ascii="Times New Roman" w:hAnsi="Times New Roman" w:cs="Times New Roman"/>
          <w:szCs w:val="20"/>
        </w:rPr>
        <w:t xml:space="preserve"> Scale bar = 10 µM.</w:t>
      </w:r>
    </w:p>
    <w:sectPr w:rsidR="00AF505B" w:rsidRPr="00602CC4" w:rsidSect="00AF50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C3B"/>
    <w:rsid w:val="000029A3"/>
    <w:rsid w:val="00013FC6"/>
    <w:rsid w:val="0001635F"/>
    <w:rsid w:val="00033E97"/>
    <w:rsid w:val="00047624"/>
    <w:rsid w:val="00054360"/>
    <w:rsid w:val="00055FDF"/>
    <w:rsid w:val="000758C6"/>
    <w:rsid w:val="00182745"/>
    <w:rsid w:val="001B0C2B"/>
    <w:rsid w:val="001C4CC5"/>
    <w:rsid w:val="001D0EEB"/>
    <w:rsid w:val="001F0E28"/>
    <w:rsid w:val="0022559E"/>
    <w:rsid w:val="002D4C3B"/>
    <w:rsid w:val="003907B5"/>
    <w:rsid w:val="004119B8"/>
    <w:rsid w:val="00462421"/>
    <w:rsid w:val="004714AA"/>
    <w:rsid w:val="004748AC"/>
    <w:rsid w:val="004D6C20"/>
    <w:rsid w:val="005152BB"/>
    <w:rsid w:val="005A6BCA"/>
    <w:rsid w:val="00602CC4"/>
    <w:rsid w:val="00610AF0"/>
    <w:rsid w:val="006321C5"/>
    <w:rsid w:val="00752B94"/>
    <w:rsid w:val="007976B5"/>
    <w:rsid w:val="007D63D8"/>
    <w:rsid w:val="008333A6"/>
    <w:rsid w:val="008603F4"/>
    <w:rsid w:val="00890B64"/>
    <w:rsid w:val="008A6845"/>
    <w:rsid w:val="009042C6"/>
    <w:rsid w:val="00925179"/>
    <w:rsid w:val="009C4E39"/>
    <w:rsid w:val="009C67BC"/>
    <w:rsid w:val="00A9602D"/>
    <w:rsid w:val="00AF505B"/>
    <w:rsid w:val="00B17473"/>
    <w:rsid w:val="00B75558"/>
    <w:rsid w:val="00B96B70"/>
    <w:rsid w:val="00BE4762"/>
    <w:rsid w:val="00BE58F8"/>
    <w:rsid w:val="00BE6DCA"/>
    <w:rsid w:val="00C10A7A"/>
    <w:rsid w:val="00CC0128"/>
    <w:rsid w:val="00D161AB"/>
    <w:rsid w:val="00E0192D"/>
    <w:rsid w:val="00E53C11"/>
    <w:rsid w:val="00E95FFB"/>
    <w:rsid w:val="00F22348"/>
    <w:rsid w:val="00F734D9"/>
    <w:rsid w:val="00FF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762C1"/>
  <w15:chartTrackingRefBased/>
  <w15:docId w15:val="{303FE1A0-EBB1-4365-B418-22D50D110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B6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B6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01635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163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3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3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3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3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Misek, Sean</dc:creator>
  <cp:keywords/>
  <dc:description/>
  <cp:lastModifiedBy>Gallo, Kathleen</cp:lastModifiedBy>
  <cp:revision>2</cp:revision>
  <dcterms:created xsi:type="dcterms:W3CDTF">2022-03-14T11:52:00Z</dcterms:created>
  <dcterms:modified xsi:type="dcterms:W3CDTF">2022-03-14T11:52:00Z</dcterms:modified>
</cp:coreProperties>
</file>