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903152">
      <w:pPr>
        <w:pStyle w:val="SupplementaryMaterial"/>
        <w:spacing w:before="0"/>
        <w:rPr>
          <w:b w:val="0"/>
        </w:rPr>
      </w:pPr>
      <w:r w:rsidRPr="001549D3">
        <w:t>Supplementary Material</w:t>
      </w:r>
    </w:p>
    <w:p w14:paraId="3BD5A427" w14:textId="77777777" w:rsidR="00EA3D3C" w:rsidRPr="00994A3D" w:rsidRDefault="00654E8F" w:rsidP="00903152">
      <w:pPr>
        <w:pStyle w:val="Heading1"/>
        <w:spacing w:before="0"/>
      </w:pPr>
      <w:r w:rsidRPr="00994A3D">
        <w:t>Supplementary Data</w:t>
      </w:r>
    </w:p>
    <w:p w14:paraId="24FF83F9" w14:textId="6F3A01C9" w:rsidR="001F4901" w:rsidRPr="0041633D" w:rsidRDefault="001F4901" w:rsidP="00903152">
      <w:pPr>
        <w:pStyle w:val="Heading2"/>
        <w:spacing w:before="0"/>
      </w:pPr>
      <w:r w:rsidRPr="0041633D">
        <w:t>Basque Country</w:t>
      </w:r>
    </w:p>
    <w:p w14:paraId="7976C005" w14:textId="77777777" w:rsidR="001F4901" w:rsidRPr="001F4901" w:rsidRDefault="001F4901" w:rsidP="00903152">
      <w:pPr>
        <w:spacing w:before="0" w:after="100" w:afterAutospacing="1"/>
        <w:jc w:val="both"/>
        <w:rPr>
          <w:rFonts w:eastAsia="Times New Roman" w:cs="Times New Roman"/>
          <w:szCs w:val="24"/>
          <w:lang w:val="en-GB" w:eastAsia="en-GB"/>
        </w:rPr>
      </w:pPr>
      <w:proofErr w:type="spellStart"/>
      <w:r w:rsidRPr="001F4901">
        <w:rPr>
          <w:rFonts w:eastAsia="Times New Roman" w:cs="Times New Roman"/>
          <w:szCs w:val="24"/>
          <w:lang w:val="en-GB" w:eastAsia="en-GB"/>
        </w:rPr>
        <w:t>Osakidetza</w:t>
      </w:r>
      <w:proofErr w:type="spellEnd"/>
      <w:r w:rsidRPr="001F4901">
        <w:rPr>
          <w:rFonts w:eastAsia="Times New Roman" w:cs="Times New Roman"/>
          <w:szCs w:val="24"/>
          <w:lang w:val="en-GB" w:eastAsia="en-GB"/>
        </w:rPr>
        <w:t xml:space="preserve"> is the </w:t>
      </w:r>
      <w:proofErr w:type="spellStart"/>
      <w:r w:rsidRPr="001F4901">
        <w:rPr>
          <w:rFonts w:eastAsia="Times New Roman" w:cs="Times New Roman"/>
          <w:szCs w:val="24"/>
          <w:lang w:val="en-GB" w:eastAsia="en-GB"/>
        </w:rPr>
        <w:t>basque</w:t>
      </w:r>
      <w:proofErr w:type="spellEnd"/>
      <w:r w:rsidRPr="001F4901">
        <w:rPr>
          <w:rFonts w:eastAsia="Times New Roman" w:cs="Times New Roman"/>
          <w:szCs w:val="24"/>
          <w:lang w:val="en-GB" w:eastAsia="en-GB"/>
        </w:rPr>
        <w:t xml:space="preserve"> public health provider which depends on the Department of Health of the Basque Government. Currently </w:t>
      </w:r>
      <w:proofErr w:type="spellStart"/>
      <w:r w:rsidRPr="001F4901">
        <w:rPr>
          <w:rFonts w:eastAsia="Times New Roman" w:cs="Times New Roman"/>
          <w:szCs w:val="24"/>
          <w:lang w:val="en-GB" w:eastAsia="en-GB"/>
        </w:rPr>
        <w:t>Osakidetza</w:t>
      </w:r>
      <w:proofErr w:type="spellEnd"/>
      <w:r w:rsidRPr="001F4901">
        <w:rPr>
          <w:rFonts w:eastAsia="Times New Roman" w:cs="Times New Roman"/>
          <w:szCs w:val="24"/>
          <w:lang w:val="en-GB" w:eastAsia="en-GB"/>
        </w:rPr>
        <w:t xml:space="preserve"> provides service to more than 2.200.000 patients, through 16 hospitals and more than 300 primary health centres. </w:t>
      </w:r>
      <w:proofErr w:type="spellStart"/>
      <w:r w:rsidRPr="001F4901">
        <w:rPr>
          <w:rFonts w:eastAsia="Times New Roman" w:cs="Times New Roman"/>
          <w:szCs w:val="24"/>
          <w:lang w:val="en-GB" w:eastAsia="en-GB"/>
        </w:rPr>
        <w:t>Osakidetza</w:t>
      </w:r>
      <w:proofErr w:type="spellEnd"/>
      <w:r w:rsidRPr="001F4901">
        <w:rPr>
          <w:rFonts w:eastAsia="Times New Roman" w:cs="Times New Roman"/>
          <w:szCs w:val="24"/>
          <w:lang w:val="en-GB" w:eastAsia="en-GB"/>
        </w:rPr>
        <w:t xml:space="preserve"> datasets (e.g. prescriptions, imaging data, information systems) both for primary care and hospital are integrated and run under a unique electronic health record (EHR). </w:t>
      </w:r>
      <w:proofErr w:type="spellStart"/>
      <w:r w:rsidRPr="001F4901">
        <w:rPr>
          <w:rFonts w:eastAsia="Times New Roman" w:cs="Times New Roman"/>
          <w:szCs w:val="24"/>
          <w:lang w:val="en-GB" w:eastAsia="en-GB"/>
        </w:rPr>
        <w:t>Osakidetza</w:t>
      </w:r>
      <w:proofErr w:type="spellEnd"/>
      <w:r w:rsidRPr="001F4901">
        <w:rPr>
          <w:rFonts w:eastAsia="Times New Roman" w:cs="Times New Roman"/>
          <w:szCs w:val="24"/>
          <w:lang w:val="en-GB" w:eastAsia="en-GB"/>
        </w:rPr>
        <w:t xml:space="preserve"> is organized in different areas called OSI (</w:t>
      </w:r>
      <w:proofErr w:type="spellStart"/>
      <w:r w:rsidRPr="001F4901">
        <w:rPr>
          <w:rFonts w:eastAsia="Times New Roman" w:cs="Times New Roman"/>
          <w:szCs w:val="24"/>
          <w:lang w:val="en-GB" w:eastAsia="en-GB"/>
        </w:rPr>
        <w:t>Organización</w:t>
      </w:r>
      <w:proofErr w:type="spellEnd"/>
      <w:r w:rsidRPr="001F4901">
        <w:rPr>
          <w:rFonts w:eastAsia="Times New Roman" w:cs="Times New Roman"/>
          <w:szCs w:val="24"/>
          <w:lang w:val="en-GB" w:eastAsia="en-GB"/>
        </w:rPr>
        <w:t xml:space="preserve"> Sanitaria </w:t>
      </w:r>
      <w:proofErr w:type="spellStart"/>
      <w:r w:rsidRPr="001F4901">
        <w:rPr>
          <w:rFonts w:eastAsia="Times New Roman" w:cs="Times New Roman"/>
          <w:szCs w:val="24"/>
          <w:lang w:val="en-GB" w:eastAsia="en-GB"/>
        </w:rPr>
        <w:t>Integrada</w:t>
      </w:r>
      <w:proofErr w:type="spellEnd"/>
      <w:r w:rsidRPr="001F4901">
        <w:rPr>
          <w:rFonts w:eastAsia="Times New Roman" w:cs="Times New Roman"/>
          <w:szCs w:val="24"/>
          <w:lang w:val="en-GB" w:eastAsia="en-GB"/>
        </w:rPr>
        <w:t xml:space="preserve"> – Integrated Healthcare Organization) that cover a region of the Basque Country. </w:t>
      </w:r>
    </w:p>
    <w:p w14:paraId="5BB1747A"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 This dataset is composed of sub datasets extracted from primary care, specialty care and hospitals databases that contain different health information about the patient for a global view of his/her health. The information about the child that this dataset gathers is information about the patient, diagnosis, medical forms, medical appointments and prescription information. In addition to this information about the child, the dataset collects information from the primary and specialised care forms of the child’s mother. This dataset collects information about 800.000 children, starting from those under 18 years on year 2000. </w:t>
      </w:r>
    </w:p>
    <w:p w14:paraId="41CE657B"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Open Data Euskadi is an initiative framed within the Basque Country’s Open Government policy. Basque Government publishes public data (those that have not been restricted due to privacy, security or intellectual property reasons) through the Open Data Euskadi platform. </w:t>
      </w:r>
    </w:p>
    <w:p w14:paraId="2617EE83"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Examples of potential variables for an initial analysis for government open data include: population density, urban density, temperature, green space, traffic density, bicycle lane density etc. </w:t>
      </w:r>
    </w:p>
    <w:p w14:paraId="7F25CE5C" w14:textId="53D63698" w:rsidR="001F4901" w:rsidRPr="0041633D" w:rsidRDefault="001F4901" w:rsidP="00903152">
      <w:pPr>
        <w:pStyle w:val="Heading2"/>
        <w:spacing w:before="0"/>
      </w:pPr>
      <w:r w:rsidRPr="0041633D">
        <w:t>Finland</w:t>
      </w:r>
    </w:p>
    <w:p w14:paraId="686A9728"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The main data sources for the Finnish pilot are the city of Oulu database, THL national databases and Northern Finland Birth Cohorts (NFBC) databases. </w:t>
      </w:r>
    </w:p>
    <w:p w14:paraId="5C35BD8F"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THL data is collected nationally from health care providers like hospitals and cities. The data is  updated annually and is integrated based on the personal ID. Examples of the THL data include hospital register and population-study-based data mapped over two different geographical distributions: Finnish large regions and Constituencies.</w:t>
      </w:r>
    </w:p>
    <w:p w14:paraId="14B60399"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Another significant data source from Finland is the Northern Finland Birth Cohorts. They comprise collections of data and biological samples from large population studies that are administered by the Northern Finland Birth Cohorts’ Project </w:t>
      </w:r>
      <w:proofErr w:type="spellStart"/>
      <w:r w:rsidRPr="001F4901">
        <w:rPr>
          <w:rFonts w:eastAsia="Times New Roman" w:cs="Times New Roman"/>
          <w:szCs w:val="24"/>
          <w:lang w:val="en-GB" w:eastAsia="en-GB"/>
        </w:rPr>
        <w:t>Center</w:t>
      </w:r>
      <w:proofErr w:type="spellEnd"/>
      <w:r w:rsidRPr="001F4901">
        <w:rPr>
          <w:rFonts w:eastAsia="Times New Roman" w:cs="Times New Roman"/>
          <w:szCs w:val="24"/>
          <w:lang w:val="en-GB" w:eastAsia="en-GB"/>
        </w:rPr>
        <w:t xml:space="preserve"> at the Medical Faculty, University of Oulu. The final number of subjects in the cohort is over 20 000. The original data has been supplemented by data collected with postal questionnaires at the ages of 7, 8 and 15 / 16 years with various hospital records and statistical register data. The cohort data includes partially the same variables as THL data.</w:t>
      </w:r>
    </w:p>
    <w:p w14:paraId="25B4C699"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The City of Oulu dataset (OUKA) gathers information about more than 200 000 inhabitants of the city of Oulu. This data source contains various types of general population data about inhabitants living in </w:t>
      </w:r>
      <w:r w:rsidRPr="001F4901">
        <w:rPr>
          <w:rFonts w:eastAsia="Times New Roman" w:cs="Times New Roman"/>
          <w:szCs w:val="24"/>
          <w:lang w:val="en-GB" w:eastAsia="en-GB"/>
        </w:rPr>
        <w:lastRenderedPageBreak/>
        <w:t xml:space="preserve">different city areas. The city level data fosters city level policy creation and decision making. It contains details from Health and welfare, Social and Family Services, and Education and Culture. The actual data </w:t>
      </w:r>
      <w:proofErr w:type="spellStart"/>
      <w:r w:rsidRPr="001F4901">
        <w:rPr>
          <w:rFonts w:eastAsia="Times New Roman" w:cs="Times New Roman"/>
          <w:szCs w:val="24"/>
          <w:lang w:val="en-GB" w:eastAsia="en-GB"/>
        </w:rPr>
        <w:t>preprocessed</w:t>
      </w:r>
      <w:proofErr w:type="spellEnd"/>
      <w:r w:rsidRPr="001F4901">
        <w:rPr>
          <w:rFonts w:eastAsia="Times New Roman" w:cs="Times New Roman"/>
          <w:szCs w:val="24"/>
          <w:lang w:val="en-GB" w:eastAsia="en-GB"/>
        </w:rPr>
        <w:t xml:space="preserve"> from Paavo open data lake of Statistics of Finland. The data variables are selected in relation to Oulu regional policy targets from open data source and it covers the whole population of the city between years 2012 to 2017.</w:t>
      </w:r>
    </w:p>
    <w:p w14:paraId="23339009" w14:textId="3ACB2806" w:rsidR="001F4901" w:rsidRPr="0041633D" w:rsidRDefault="001F4901" w:rsidP="00903152">
      <w:pPr>
        <w:pStyle w:val="Heading2"/>
        <w:spacing w:before="0"/>
      </w:pPr>
      <w:r w:rsidRPr="0041633D">
        <w:t xml:space="preserve">Northern Ireland </w:t>
      </w:r>
    </w:p>
    <w:p w14:paraId="0C296271"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The project analyses data from Health and Social Care (HSC) in Northern Ireland for patients/clients in the age range 0-25 during the time period 1st January 2004 to 31st December 2014. It may be possible to add other datasets such as Child Health registrations, inoculation/vaccination records, Dental Registration. The data shall be used to examine the health outcomes of policy decisions made in the past (e.g. around Looked After Children) and to model the likely impact of new policies.</w:t>
      </w:r>
    </w:p>
    <w:p w14:paraId="2AB2533B"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For the Government Open data Northern Ireland Statistics and Research Agency (NISRA) portal has been used, which is available at </w:t>
      </w:r>
      <w:hyperlink r:id="rId8">
        <w:r w:rsidRPr="001F4901">
          <w:rPr>
            <w:rFonts w:eastAsia="Times New Roman" w:cs="Times New Roman"/>
            <w:szCs w:val="24"/>
            <w:lang w:val="en-GB" w:eastAsia="en-GB"/>
          </w:rPr>
          <w:t>https://www.nisra.gov.uk/</w:t>
        </w:r>
      </w:hyperlink>
      <w:r w:rsidRPr="001F4901">
        <w:rPr>
          <w:rFonts w:eastAsia="Times New Roman" w:cs="Times New Roman"/>
          <w:szCs w:val="24"/>
          <w:lang w:val="en-GB" w:eastAsia="en-GB"/>
        </w:rPr>
        <w:t>. NISRA is the principal source of official statistics and social research on Northern Ireland. NISRA conducts the Census of Population every 10 years which every household in Northern Ireland must complete by law. It is used by central and local government, health authorities and other organisations to plan and provide future services.</w:t>
      </w:r>
    </w:p>
    <w:p w14:paraId="162FD188" w14:textId="0F91797F" w:rsidR="001F4901" w:rsidRPr="0041633D" w:rsidRDefault="001F4901" w:rsidP="00903152">
      <w:pPr>
        <w:pStyle w:val="Heading2"/>
        <w:spacing w:before="0"/>
      </w:pPr>
      <w:r w:rsidRPr="0041633D">
        <w:t xml:space="preserve">Republic of Ireland </w:t>
      </w:r>
    </w:p>
    <w:p w14:paraId="438612BE"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Datasets are encrypted as appropriate and parties bound by HSE Service Provider Confidentiality Agreement where appropriate. Sources include: HSE Hospital In-Patient Enquiry (HIPE) and HSE Primary Care Reimbursement Service (PCRS) with a focus on hospital admissions, discharges and prescribing datasets. </w:t>
      </w:r>
    </w:p>
    <w:p w14:paraId="0989CFAE" w14:textId="77777777" w:rsidR="001F4901" w:rsidRP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Additionally, to support the analysis, the government generated datasets containing pharmacies list, prescription drugs information, hospitals and population per county were added. In the Republic of Ireland, the counties are, in general, the basis for local government, planning and community development purposes, are governed by county councils and are still generally respected for other purposes.</w:t>
      </w:r>
    </w:p>
    <w:p w14:paraId="06F0F2B9" w14:textId="3397AA45" w:rsidR="001F4901" w:rsidRDefault="001F4901" w:rsidP="00903152">
      <w:pPr>
        <w:spacing w:before="0" w:after="100" w:afterAutospacing="1"/>
        <w:jc w:val="both"/>
        <w:rPr>
          <w:rFonts w:eastAsia="Times New Roman" w:cs="Times New Roman"/>
          <w:szCs w:val="24"/>
          <w:lang w:val="en-GB" w:eastAsia="en-GB"/>
        </w:rPr>
      </w:pPr>
      <w:r w:rsidRPr="001F4901">
        <w:rPr>
          <w:rFonts w:eastAsia="Times New Roman" w:cs="Times New Roman"/>
          <w:szCs w:val="24"/>
          <w:lang w:val="en-GB" w:eastAsia="en-GB"/>
        </w:rPr>
        <w:t xml:space="preserve">Open datasets are available through Open Data Portal accessible at </w:t>
      </w:r>
      <w:hyperlink r:id="rId9">
        <w:r w:rsidRPr="001F4901">
          <w:rPr>
            <w:rFonts w:eastAsia="Times New Roman" w:cs="Times New Roman"/>
            <w:szCs w:val="24"/>
            <w:lang w:val="en-GB" w:eastAsia="en-GB"/>
          </w:rPr>
          <w:t>https://data.gov.ie</w:t>
        </w:r>
      </w:hyperlink>
      <w:r w:rsidRPr="001F4901">
        <w:rPr>
          <w:rFonts w:eastAsia="Times New Roman" w:cs="Times New Roman"/>
          <w:szCs w:val="24"/>
          <w:lang w:val="en-GB" w:eastAsia="en-GB"/>
        </w:rPr>
        <w:t xml:space="preserve">. Health-related specific open data is available at </w:t>
      </w:r>
      <w:hyperlink r:id="rId10">
        <w:r w:rsidRPr="001F4901">
          <w:rPr>
            <w:rFonts w:eastAsia="Times New Roman" w:cs="Times New Roman"/>
            <w:szCs w:val="24"/>
            <w:lang w:val="en-GB" w:eastAsia="en-GB"/>
          </w:rPr>
          <w:t>https://data.gov.ie/data/search?theme-primary=Health</w:t>
        </w:r>
      </w:hyperlink>
      <w:r w:rsidRPr="001F4901">
        <w:rPr>
          <w:rFonts w:eastAsia="Times New Roman" w:cs="Times New Roman"/>
          <w:szCs w:val="24"/>
          <w:lang w:val="en-GB" w:eastAsia="en-GB"/>
        </w:rPr>
        <w:t>. This data refers to hospitals in the Republic of Ireland aggregated by single hospitals and population information per Irish county aggregated by Irish counties.</w:t>
      </w:r>
    </w:p>
    <w:p w14:paraId="5C6BEF9B" w14:textId="33D405A5" w:rsidR="005242BD" w:rsidRDefault="005242BD" w:rsidP="00903152">
      <w:pPr>
        <w:spacing w:before="0" w:after="100" w:afterAutospacing="1"/>
        <w:jc w:val="both"/>
        <w:rPr>
          <w:rFonts w:eastAsia="Times New Roman" w:cs="Times New Roman"/>
          <w:szCs w:val="24"/>
          <w:lang w:val="en-GB" w:eastAsia="en-GB"/>
        </w:rPr>
      </w:pPr>
    </w:p>
    <w:p w14:paraId="67E959D7" w14:textId="7E287135" w:rsidR="005242BD" w:rsidRDefault="005242BD" w:rsidP="00903152">
      <w:pPr>
        <w:spacing w:before="0" w:after="100" w:afterAutospacing="1"/>
        <w:jc w:val="both"/>
        <w:rPr>
          <w:rFonts w:eastAsia="Times New Roman" w:cs="Times New Roman"/>
          <w:szCs w:val="24"/>
          <w:lang w:val="en-GB" w:eastAsia="en-GB"/>
        </w:rPr>
      </w:pPr>
    </w:p>
    <w:p w14:paraId="708BF1DE" w14:textId="43CAB5FA" w:rsidR="005242BD" w:rsidRDefault="005242BD" w:rsidP="00903152">
      <w:pPr>
        <w:spacing w:before="0" w:after="100" w:afterAutospacing="1"/>
        <w:jc w:val="both"/>
        <w:rPr>
          <w:rFonts w:eastAsia="Times New Roman" w:cs="Times New Roman"/>
          <w:szCs w:val="24"/>
          <w:lang w:val="en-GB" w:eastAsia="en-GB"/>
        </w:rPr>
      </w:pPr>
    </w:p>
    <w:p w14:paraId="52B41A0D" w14:textId="62584395" w:rsidR="005242BD" w:rsidRDefault="005242BD" w:rsidP="00903152">
      <w:pPr>
        <w:spacing w:before="0" w:after="100" w:afterAutospacing="1"/>
        <w:jc w:val="both"/>
        <w:rPr>
          <w:rFonts w:eastAsia="Times New Roman" w:cs="Times New Roman"/>
          <w:szCs w:val="24"/>
          <w:lang w:val="en-GB" w:eastAsia="en-GB"/>
        </w:rPr>
      </w:pPr>
    </w:p>
    <w:p w14:paraId="6F258351" w14:textId="77777777" w:rsidR="005242BD" w:rsidRPr="001F4901" w:rsidRDefault="005242BD" w:rsidP="00903152">
      <w:pPr>
        <w:spacing w:before="0" w:after="100" w:afterAutospacing="1"/>
        <w:jc w:val="both"/>
        <w:rPr>
          <w:rFonts w:eastAsia="Times New Roman" w:cs="Times New Roman"/>
          <w:szCs w:val="24"/>
          <w:lang w:val="en-GB" w:eastAsia="en-GB"/>
        </w:rPr>
      </w:pPr>
    </w:p>
    <w:p w14:paraId="649C52A2" w14:textId="3224F30C" w:rsidR="001F4901" w:rsidRPr="00903152" w:rsidRDefault="001F4901" w:rsidP="00903152">
      <w:pPr>
        <w:spacing w:before="0" w:after="100" w:afterAutospacing="1"/>
        <w:jc w:val="both"/>
        <w:rPr>
          <w:rFonts w:eastAsia="Times New Roman" w:cs="Times New Roman"/>
          <w:szCs w:val="24"/>
          <w:lang w:val="en-GB" w:eastAsia="en-GB"/>
        </w:rPr>
      </w:pPr>
      <w:r w:rsidRPr="00903152">
        <w:rPr>
          <w:rFonts w:eastAsia="Times New Roman" w:cs="Times New Roman"/>
          <w:szCs w:val="24"/>
          <w:lang w:val="en-GB" w:eastAsia="en-GB"/>
        </w:rPr>
        <w:lastRenderedPageBreak/>
        <w:t xml:space="preserve">Table </w:t>
      </w:r>
      <w:r w:rsidR="00903152" w:rsidRPr="00903152">
        <w:rPr>
          <w:rFonts w:eastAsia="Times New Roman" w:cs="Times New Roman"/>
          <w:szCs w:val="24"/>
          <w:lang w:val="en-GB" w:eastAsia="en-GB"/>
        </w:rPr>
        <w:t>1</w:t>
      </w:r>
      <w:r w:rsidRPr="00903152">
        <w:rPr>
          <w:rFonts w:eastAsia="Times New Roman" w:cs="Times New Roman"/>
          <w:szCs w:val="24"/>
          <w:lang w:val="en-GB" w:eastAsia="en-GB"/>
        </w:rPr>
        <w:t xml:space="preserve">.1 An overview of available open and controlled datasets for all pilots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268"/>
        <w:gridCol w:w="3118"/>
        <w:gridCol w:w="1941"/>
        <w:gridCol w:w="1050"/>
      </w:tblGrid>
      <w:tr w:rsidR="001F4901" w14:paraId="0C102700" w14:textId="77777777" w:rsidTr="00E161B6">
        <w:tc>
          <w:tcPr>
            <w:tcW w:w="983" w:type="dxa"/>
            <w:shd w:val="clear" w:color="auto" w:fill="auto"/>
            <w:tcMar>
              <w:top w:w="100" w:type="dxa"/>
              <w:left w:w="100" w:type="dxa"/>
              <w:bottom w:w="100" w:type="dxa"/>
              <w:right w:w="100" w:type="dxa"/>
            </w:tcMar>
          </w:tcPr>
          <w:p w14:paraId="5C1B103A"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Pilot</w:t>
            </w:r>
          </w:p>
        </w:tc>
        <w:tc>
          <w:tcPr>
            <w:tcW w:w="2268" w:type="dxa"/>
            <w:shd w:val="clear" w:color="auto" w:fill="auto"/>
            <w:tcMar>
              <w:top w:w="100" w:type="dxa"/>
              <w:left w:w="100" w:type="dxa"/>
              <w:bottom w:w="100" w:type="dxa"/>
              <w:right w:w="100" w:type="dxa"/>
            </w:tcMar>
          </w:tcPr>
          <w:p w14:paraId="154A792F"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Data Name</w:t>
            </w:r>
          </w:p>
        </w:tc>
        <w:tc>
          <w:tcPr>
            <w:tcW w:w="3118" w:type="dxa"/>
            <w:shd w:val="clear" w:color="auto" w:fill="auto"/>
            <w:tcMar>
              <w:top w:w="100" w:type="dxa"/>
              <w:left w:w="100" w:type="dxa"/>
              <w:bottom w:w="100" w:type="dxa"/>
              <w:right w:w="100" w:type="dxa"/>
            </w:tcMar>
          </w:tcPr>
          <w:p w14:paraId="6517BA11"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Data Source</w:t>
            </w:r>
          </w:p>
        </w:tc>
        <w:tc>
          <w:tcPr>
            <w:tcW w:w="1941" w:type="dxa"/>
            <w:shd w:val="clear" w:color="auto" w:fill="auto"/>
            <w:tcMar>
              <w:top w:w="100" w:type="dxa"/>
              <w:left w:w="100" w:type="dxa"/>
              <w:bottom w:w="100" w:type="dxa"/>
              <w:right w:w="100" w:type="dxa"/>
            </w:tcMar>
          </w:tcPr>
          <w:p w14:paraId="5A4A0EA4"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Sample size</w:t>
            </w:r>
          </w:p>
        </w:tc>
        <w:tc>
          <w:tcPr>
            <w:tcW w:w="1050" w:type="dxa"/>
            <w:shd w:val="clear" w:color="auto" w:fill="auto"/>
            <w:tcMar>
              <w:top w:w="100" w:type="dxa"/>
              <w:left w:w="100" w:type="dxa"/>
              <w:bottom w:w="100" w:type="dxa"/>
              <w:right w:w="100" w:type="dxa"/>
            </w:tcMar>
          </w:tcPr>
          <w:p w14:paraId="66209C11"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Availability</w:t>
            </w:r>
          </w:p>
        </w:tc>
      </w:tr>
      <w:tr w:rsidR="001F4901" w14:paraId="12CE35E3" w14:textId="77777777" w:rsidTr="00E161B6">
        <w:tc>
          <w:tcPr>
            <w:tcW w:w="983" w:type="dxa"/>
            <w:shd w:val="clear" w:color="auto" w:fill="auto"/>
            <w:tcMar>
              <w:top w:w="100" w:type="dxa"/>
              <w:left w:w="100" w:type="dxa"/>
              <w:bottom w:w="100" w:type="dxa"/>
              <w:right w:w="100" w:type="dxa"/>
            </w:tcMar>
          </w:tcPr>
          <w:p w14:paraId="62B4D0E9"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Basque</w:t>
            </w:r>
          </w:p>
        </w:tc>
        <w:tc>
          <w:tcPr>
            <w:tcW w:w="2268" w:type="dxa"/>
            <w:shd w:val="clear" w:color="auto" w:fill="auto"/>
            <w:tcMar>
              <w:top w:w="100" w:type="dxa"/>
              <w:left w:w="100" w:type="dxa"/>
              <w:bottom w:w="100" w:type="dxa"/>
              <w:right w:w="100" w:type="dxa"/>
            </w:tcMar>
          </w:tcPr>
          <w:p w14:paraId="4DBF7766"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Child and Mother Patient care data </w:t>
            </w:r>
          </w:p>
        </w:tc>
        <w:tc>
          <w:tcPr>
            <w:tcW w:w="3118" w:type="dxa"/>
            <w:shd w:val="clear" w:color="auto" w:fill="auto"/>
            <w:tcMar>
              <w:top w:w="100" w:type="dxa"/>
              <w:left w:w="100" w:type="dxa"/>
              <w:bottom w:w="100" w:type="dxa"/>
              <w:right w:w="100" w:type="dxa"/>
            </w:tcMar>
          </w:tcPr>
          <w:p w14:paraId="45546E74" w14:textId="77777777" w:rsidR="001F4901" w:rsidRPr="00903152" w:rsidRDefault="001F4901" w:rsidP="00903152">
            <w:pPr>
              <w:spacing w:before="0" w:after="0"/>
              <w:jc w:val="both"/>
              <w:rPr>
                <w:rFonts w:eastAsia="Times New Roman" w:cs="Times New Roman"/>
                <w:szCs w:val="24"/>
                <w:lang w:val="en-GB" w:eastAsia="en-GB"/>
              </w:rPr>
            </w:pPr>
            <w:proofErr w:type="spellStart"/>
            <w:r w:rsidRPr="00903152">
              <w:rPr>
                <w:rFonts w:eastAsia="Times New Roman" w:cs="Times New Roman"/>
                <w:szCs w:val="24"/>
                <w:lang w:val="en-GB" w:eastAsia="en-GB"/>
              </w:rPr>
              <w:t>Osakidetza</w:t>
            </w:r>
            <w:proofErr w:type="spellEnd"/>
            <w:r w:rsidRPr="00903152">
              <w:rPr>
                <w:rFonts w:eastAsia="Times New Roman" w:cs="Times New Roman"/>
                <w:szCs w:val="24"/>
                <w:lang w:val="en-GB" w:eastAsia="en-GB"/>
              </w:rPr>
              <w:t xml:space="preserve"> - Basque public health care provider</w:t>
            </w:r>
          </w:p>
        </w:tc>
        <w:tc>
          <w:tcPr>
            <w:tcW w:w="1941" w:type="dxa"/>
            <w:shd w:val="clear" w:color="auto" w:fill="auto"/>
            <w:tcMar>
              <w:top w:w="100" w:type="dxa"/>
              <w:left w:w="100" w:type="dxa"/>
              <w:bottom w:w="100" w:type="dxa"/>
              <w:right w:w="100" w:type="dxa"/>
            </w:tcMar>
          </w:tcPr>
          <w:p w14:paraId="531E2F48" w14:textId="70726D78"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 xml:space="preserve">800,000 children since 2000 </w:t>
            </w:r>
          </w:p>
        </w:tc>
        <w:tc>
          <w:tcPr>
            <w:tcW w:w="1050" w:type="dxa"/>
            <w:shd w:val="clear" w:color="auto" w:fill="auto"/>
            <w:tcMar>
              <w:top w:w="100" w:type="dxa"/>
              <w:left w:w="100" w:type="dxa"/>
              <w:bottom w:w="100" w:type="dxa"/>
              <w:right w:w="100" w:type="dxa"/>
            </w:tcMar>
          </w:tcPr>
          <w:p w14:paraId="4808C083"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Controlled</w:t>
            </w:r>
          </w:p>
        </w:tc>
      </w:tr>
      <w:tr w:rsidR="001F4901" w14:paraId="35B7FBB2" w14:textId="77777777" w:rsidTr="00E161B6">
        <w:tc>
          <w:tcPr>
            <w:tcW w:w="983" w:type="dxa"/>
            <w:shd w:val="clear" w:color="auto" w:fill="auto"/>
            <w:tcMar>
              <w:top w:w="100" w:type="dxa"/>
              <w:left w:w="100" w:type="dxa"/>
              <w:bottom w:w="100" w:type="dxa"/>
              <w:right w:w="100" w:type="dxa"/>
            </w:tcMar>
          </w:tcPr>
          <w:p w14:paraId="0BF60635"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Basque</w:t>
            </w:r>
          </w:p>
        </w:tc>
        <w:tc>
          <w:tcPr>
            <w:tcW w:w="2268" w:type="dxa"/>
            <w:shd w:val="clear" w:color="auto" w:fill="auto"/>
            <w:tcMar>
              <w:top w:w="100" w:type="dxa"/>
              <w:left w:w="100" w:type="dxa"/>
              <w:bottom w:w="100" w:type="dxa"/>
              <w:right w:w="100" w:type="dxa"/>
            </w:tcMar>
          </w:tcPr>
          <w:p w14:paraId="7858D054"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Air / Water quality, National statistics,  City planning                                                                                                                                                                                                                                                                                                                                                                                                             </w:t>
            </w:r>
          </w:p>
        </w:tc>
        <w:tc>
          <w:tcPr>
            <w:tcW w:w="3118" w:type="dxa"/>
            <w:shd w:val="clear" w:color="auto" w:fill="auto"/>
            <w:tcMar>
              <w:top w:w="100" w:type="dxa"/>
              <w:left w:w="100" w:type="dxa"/>
              <w:bottom w:w="100" w:type="dxa"/>
              <w:right w:w="100" w:type="dxa"/>
            </w:tcMar>
          </w:tcPr>
          <w:p w14:paraId="023D25BF" w14:textId="7CE31501"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Open Data Euskadi (Basque Government open data) </w:t>
            </w:r>
          </w:p>
          <w:p w14:paraId="7EDDD458"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(http://opendata.euskadi.eus/)</w:t>
            </w:r>
          </w:p>
        </w:tc>
        <w:tc>
          <w:tcPr>
            <w:tcW w:w="1941" w:type="dxa"/>
            <w:shd w:val="clear" w:color="auto" w:fill="auto"/>
            <w:tcMar>
              <w:top w:w="100" w:type="dxa"/>
              <w:left w:w="100" w:type="dxa"/>
              <w:bottom w:w="100" w:type="dxa"/>
              <w:right w:w="100" w:type="dxa"/>
            </w:tcMar>
          </w:tcPr>
          <w:p w14:paraId="1F282A83"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Not applicable</w:t>
            </w:r>
          </w:p>
        </w:tc>
        <w:tc>
          <w:tcPr>
            <w:tcW w:w="1050" w:type="dxa"/>
            <w:shd w:val="clear" w:color="auto" w:fill="auto"/>
            <w:tcMar>
              <w:top w:w="100" w:type="dxa"/>
              <w:left w:w="100" w:type="dxa"/>
              <w:bottom w:w="100" w:type="dxa"/>
              <w:right w:w="100" w:type="dxa"/>
            </w:tcMar>
          </w:tcPr>
          <w:p w14:paraId="62F3956A"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 xml:space="preserve">Open </w:t>
            </w:r>
          </w:p>
        </w:tc>
      </w:tr>
      <w:tr w:rsidR="001F4901" w14:paraId="39E20D4D" w14:textId="77777777" w:rsidTr="00E161B6">
        <w:tc>
          <w:tcPr>
            <w:tcW w:w="983" w:type="dxa"/>
            <w:shd w:val="clear" w:color="auto" w:fill="auto"/>
            <w:tcMar>
              <w:top w:w="100" w:type="dxa"/>
              <w:left w:w="100" w:type="dxa"/>
              <w:bottom w:w="100" w:type="dxa"/>
              <w:right w:w="100" w:type="dxa"/>
            </w:tcMar>
          </w:tcPr>
          <w:p w14:paraId="6E3F9CA0"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Finland</w:t>
            </w:r>
          </w:p>
        </w:tc>
        <w:tc>
          <w:tcPr>
            <w:tcW w:w="2268" w:type="dxa"/>
            <w:shd w:val="clear" w:color="auto" w:fill="auto"/>
            <w:tcMar>
              <w:top w:w="100" w:type="dxa"/>
              <w:left w:w="100" w:type="dxa"/>
              <w:bottom w:w="100" w:type="dxa"/>
              <w:right w:w="100" w:type="dxa"/>
            </w:tcMar>
          </w:tcPr>
          <w:p w14:paraId="19689279" w14:textId="2EA9B5E2"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NFBC (Northern Finland Birth Cohort)</w:t>
            </w:r>
          </w:p>
        </w:tc>
        <w:tc>
          <w:tcPr>
            <w:tcW w:w="3118" w:type="dxa"/>
            <w:shd w:val="clear" w:color="auto" w:fill="auto"/>
            <w:tcMar>
              <w:top w:w="100" w:type="dxa"/>
              <w:left w:w="100" w:type="dxa"/>
              <w:bottom w:w="100" w:type="dxa"/>
              <w:right w:w="100" w:type="dxa"/>
            </w:tcMar>
          </w:tcPr>
          <w:p w14:paraId="5BC7F89B"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University of Oulu</w:t>
            </w:r>
          </w:p>
          <w:p w14:paraId="21994B8B"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w:t>
            </w:r>
            <w:hyperlink r:id="rId11">
              <w:r w:rsidRPr="00903152">
                <w:rPr>
                  <w:rFonts w:eastAsia="Times New Roman" w:cs="Times New Roman"/>
                  <w:szCs w:val="24"/>
                  <w:lang w:val="en-GB" w:eastAsia="en-GB"/>
                </w:rPr>
                <w:t>https://www.oulu.fi/nfbc/</w:t>
              </w:r>
            </w:hyperlink>
            <w:r w:rsidRPr="00903152">
              <w:rPr>
                <w:rFonts w:eastAsia="Times New Roman" w:cs="Times New Roman"/>
                <w:szCs w:val="24"/>
                <w:lang w:val="en-GB" w:eastAsia="en-GB"/>
              </w:rPr>
              <w:t>)</w:t>
            </w:r>
          </w:p>
        </w:tc>
        <w:tc>
          <w:tcPr>
            <w:tcW w:w="1941" w:type="dxa"/>
            <w:shd w:val="clear" w:color="auto" w:fill="auto"/>
            <w:tcMar>
              <w:top w:w="100" w:type="dxa"/>
              <w:left w:w="100" w:type="dxa"/>
              <w:bottom w:w="100" w:type="dxa"/>
              <w:right w:w="100" w:type="dxa"/>
            </w:tcMar>
          </w:tcPr>
          <w:p w14:paraId="10F3E94B"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Over 20,000 individuals</w:t>
            </w:r>
          </w:p>
        </w:tc>
        <w:tc>
          <w:tcPr>
            <w:tcW w:w="1050" w:type="dxa"/>
            <w:shd w:val="clear" w:color="auto" w:fill="auto"/>
            <w:tcMar>
              <w:top w:w="100" w:type="dxa"/>
              <w:left w:w="100" w:type="dxa"/>
              <w:bottom w:w="100" w:type="dxa"/>
              <w:right w:w="100" w:type="dxa"/>
            </w:tcMar>
          </w:tcPr>
          <w:p w14:paraId="784994E5"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Controlled</w:t>
            </w:r>
          </w:p>
        </w:tc>
      </w:tr>
      <w:tr w:rsidR="001F4901" w14:paraId="79676CCB" w14:textId="77777777" w:rsidTr="00E161B6">
        <w:tc>
          <w:tcPr>
            <w:tcW w:w="983" w:type="dxa"/>
            <w:shd w:val="clear" w:color="auto" w:fill="auto"/>
            <w:tcMar>
              <w:top w:w="100" w:type="dxa"/>
              <w:left w:w="100" w:type="dxa"/>
              <w:bottom w:w="100" w:type="dxa"/>
              <w:right w:w="100" w:type="dxa"/>
            </w:tcMar>
          </w:tcPr>
          <w:p w14:paraId="30252368"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Finland</w:t>
            </w:r>
          </w:p>
        </w:tc>
        <w:tc>
          <w:tcPr>
            <w:tcW w:w="2268" w:type="dxa"/>
            <w:shd w:val="clear" w:color="auto" w:fill="auto"/>
            <w:tcMar>
              <w:top w:w="100" w:type="dxa"/>
              <w:left w:w="100" w:type="dxa"/>
              <w:bottom w:w="100" w:type="dxa"/>
              <w:right w:w="100" w:type="dxa"/>
            </w:tcMar>
          </w:tcPr>
          <w:p w14:paraId="1BCC1DDB" w14:textId="1B1C9BF4"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Patient Health and social care data </w:t>
            </w:r>
          </w:p>
        </w:tc>
        <w:tc>
          <w:tcPr>
            <w:tcW w:w="3118" w:type="dxa"/>
            <w:shd w:val="clear" w:color="auto" w:fill="auto"/>
            <w:tcMar>
              <w:top w:w="100" w:type="dxa"/>
              <w:left w:w="100" w:type="dxa"/>
              <w:bottom w:w="100" w:type="dxa"/>
              <w:right w:w="100" w:type="dxa"/>
            </w:tcMar>
          </w:tcPr>
          <w:p w14:paraId="00A22292"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the Finnish Institute for Health and Welfare (THL)</w:t>
            </w:r>
          </w:p>
        </w:tc>
        <w:tc>
          <w:tcPr>
            <w:tcW w:w="1941" w:type="dxa"/>
            <w:shd w:val="clear" w:color="auto" w:fill="auto"/>
            <w:tcMar>
              <w:top w:w="100" w:type="dxa"/>
              <w:left w:w="100" w:type="dxa"/>
              <w:bottom w:w="100" w:type="dxa"/>
              <w:right w:w="100" w:type="dxa"/>
            </w:tcMar>
          </w:tcPr>
          <w:p w14:paraId="6714DD81" w14:textId="24348A5D"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Cohort </w:t>
            </w:r>
            <w:r w:rsidR="00BC684F">
              <w:rPr>
                <w:rFonts w:eastAsia="Times New Roman" w:cs="Times New Roman"/>
                <w:szCs w:val="24"/>
                <w:lang w:val="en-GB" w:eastAsia="en-GB"/>
              </w:rPr>
              <w:t>at age of</w:t>
            </w:r>
            <w:r w:rsidRPr="00903152">
              <w:rPr>
                <w:rFonts w:eastAsia="Times New Roman" w:cs="Times New Roman"/>
                <w:szCs w:val="24"/>
                <w:lang w:val="en-GB" w:eastAsia="en-GB"/>
              </w:rPr>
              <w:t xml:space="preserve"> 7-24 in 2000</w:t>
            </w:r>
          </w:p>
        </w:tc>
        <w:tc>
          <w:tcPr>
            <w:tcW w:w="1050" w:type="dxa"/>
            <w:shd w:val="clear" w:color="auto" w:fill="auto"/>
            <w:tcMar>
              <w:top w:w="100" w:type="dxa"/>
              <w:left w:w="100" w:type="dxa"/>
              <w:bottom w:w="100" w:type="dxa"/>
              <w:right w:w="100" w:type="dxa"/>
            </w:tcMar>
          </w:tcPr>
          <w:p w14:paraId="26828CFC"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Controlled</w:t>
            </w:r>
          </w:p>
        </w:tc>
      </w:tr>
      <w:tr w:rsidR="001F4901" w14:paraId="18E5BA43" w14:textId="77777777" w:rsidTr="00E161B6">
        <w:tc>
          <w:tcPr>
            <w:tcW w:w="983" w:type="dxa"/>
            <w:shd w:val="clear" w:color="auto" w:fill="auto"/>
            <w:tcMar>
              <w:top w:w="100" w:type="dxa"/>
              <w:left w:w="100" w:type="dxa"/>
              <w:bottom w:w="100" w:type="dxa"/>
              <w:right w:w="100" w:type="dxa"/>
            </w:tcMar>
          </w:tcPr>
          <w:p w14:paraId="0FC5B25E"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Finland</w:t>
            </w:r>
          </w:p>
        </w:tc>
        <w:tc>
          <w:tcPr>
            <w:tcW w:w="2268" w:type="dxa"/>
            <w:shd w:val="clear" w:color="auto" w:fill="auto"/>
            <w:tcMar>
              <w:top w:w="100" w:type="dxa"/>
              <w:left w:w="100" w:type="dxa"/>
              <w:bottom w:w="100" w:type="dxa"/>
              <w:right w:w="100" w:type="dxa"/>
            </w:tcMar>
          </w:tcPr>
          <w:p w14:paraId="2E587520" w14:textId="4A7E09C2"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Key statistical indicators per area</w:t>
            </w:r>
          </w:p>
        </w:tc>
        <w:tc>
          <w:tcPr>
            <w:tcW w:w="3118" w:type="dxa"/>
            <w:shd w:val="clear" w:color="auto" w:fill="auto"/>
            <w:tcMar>
              <w:top w:w="100" w:type="dxa"/>
              <w:left w:w="100" w:type="dxa"/>
              <w:bottom w:w="100" w:type="dxa"/>
              <w:right w:w="100" w:type="dxa"/>
            </w:tcMar>
          </w:tcPr>
          <w:p w14:paraId="12921037"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Statistics Finland - Paavo</w:t>
            </w:r>
          </w:p>
          <w:p w14:paraId="0884BB51"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w:t>
            </w:r>
            <w:hyperlink r:id="rId12">
              <w:r w:rsidRPr="00903152">
                <w:rPr>
                  <w:rFonts w:eastAsia="Times New Roman" w:cs="Times New Roman"/>
                  <w:szCs w:val="24"/>
                  <w:lang w:val="en-GB" w:eastAsia="en-GB"/>
                </w:rPr>
                <w:t>https://www.stat.fi/tup/paavo/index_en.html</w:t>
              </w:r>
            </w:hyperlink>
            <w:r w:rsidRPr="00903152">
              <w:rPr>
                <w:rFonts w:eastAsia="Times New Roman" w:cs="Times New Roman"/>
                <w:szCs w:val="24"/>
                <w:lang w:val="en-GB" w:eastAsia="en-GB"/>
              </w:rPr>
              <w:t>)</w:t>
            </w:r>
          </w:p>
        </w:tc>
        <w:tc>
          <w:tcPr>
            <w:tcW w:w="1941" w:type="dxa"/>
            <w:shd w:val="clear" w:color="auto" w:fill="auto"/>
            <w:tcMar>
              <w:top w:w="100" w:type="dxa"/>
              <w:left w:w="100" w:type="dxa"/>
              <w:bottom w:w="100" w:type="dxa"/>
              <w:right w:w="100" w:type="dxa"/>
            </w:tcMar>
          </w:tcPr>
          <w:p w14:paraId="6712C1C7"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About 200,000 inhabitants</w:t>
            </w:r>
          </w:p>
        </w:tc>
        <w:tc>
          <w:tcPr>
            <w:tcW w:w="1050" w:type="dxa"/>
            <w:shd w:val="clear" w:color="auto" w:fill="auto"/>
            <w:tcMar>
              <w:top w:w="100" w:type="dxa"/>
              <w:left w:w="100" w:type="dxa"/>
              <w:bottom w:w="100" w:type="dxa"/>
              <w:right w:w="100" w:type="dxa"/>
            </w:tcMar>
          </w:tcPr>
          <w:p w14:paraId="55A0E7B4"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Open </w:t>
            </w:r>
          </w:p>
        </w:tc>
      </w:tr>
      <w:tr w:rsidR="001F4901" w14:paraId="1999E602" w14:textId="77777777" w:rsidTr="00E161B6">
        <w:tc>
          <w:tcPr>
            <w:tcW w:w="983" w:type="dxa"/>
            <w:shd w:val="clear" w:color="auto" w:fill="auto"/>
            <w:tcMar>
              <w:top w:w="100" w:type="dxa"/>
              <w:left w:w="100" w:type="dxa"/>
              <w:bottom w:w="100" w:type="dxa"/>
              <w:right w:w="100" w:type="dxa"/>
            </w:tcMar>
          </w:tcPr>
          <w:p w14:paraId="402755F6"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Northern Ireland</w:t>
            </w:r>
          </w:p>
        </w:tc>
        <w:tc>
          <w:tcPr>
            <w:tcW w:w="2268" w:type="dxa"/>
          </w:tcPr>
          <w:p w14:paraId="40198BFE"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Child health and social care data</w:t>
            </w:r>
          </w:p>
        </w:tc>
        <w:tc>
          <w:tcPr>
            <w:tcW w:w="3118" w:type="dxa"/>
            <w:shd w:val="clear" w:color="auto" w:fill="auto"/>
            <w:tcMar>
              <w:top w:w="100" w:type="dxa"/>
              <w:left w:w="100" w:type="dxa"/>
              <w:bottom w:w="100" w:type="dxa"/>
              <w:right w:w="100" w:type="dxa"/>
            </w:tcMar>
          </w:tcPr>
          <w:p w14:paraId="2F1C7002"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Health and Social Care</w:t>
            </w:r>
          </w:p>
          <w:p w14:paraId="7101C34E"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Northern Ireland</w:t>
            </w:r>
          </w:p>
          <w:p w14:paraId="6BAE8B95" w14:textId="77777777" w:rsidR="001F4901" w:rsidRPr="00903152" w:rsidRDefault="001F4901" w:rsidP="00903152">
            <w:pPr>
              <w:widowControl w:val="0"/>
              <w:spacing w:before="0" w:after="0"/>
              <w:rPr>
                <w:rFonts w:eastAsia="Times New Roman" w:cs="Times New Roman"/>
                <w:szCs w:val="24"/>
                <w:lang w:val="en-GB" w:eastAsia="en-GB"/>
              </w:rPr>
            </w:pPr>
          </w:p>
        </w:tc>
        <w:tc>
          <w:tcPr>
            <w:tcW w:w="1941" w:type="dxa"/>
            <w:shd w:val="clear" w:color="auto" w:fill="auto"/>
            <w:tcMar>
              <w:top w:w="100" w:type="dxa"/>
              <w:left w:w="100" w:type="dxa"/>
              <w:bottom w:w="100" w:type="dxa"/>
              <w:right w:w="100" w:type="dxa"/>
            </w:tcMar>
          </w:tcPr>
          <w:p w14:paraId="222DC3E6"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 xml:space="preserve">About 100,000 children from 2004 to 2018 </w:t>
            </w:r>
          </w:p>
        </w:tc>
        <w:tc>
          <w:tcPr>
            <w:tcW w:w="1050" w:type="dxa"/>
            <w:shd w:val="clear" w:color="auto" w:fill="auto"/>
            <w:tcMar>
              <w:top w:w="100" w:type="dxa"/>
              <w:left w:w="100" w:type="dxa"/>
              <w:bottom w:w="100" w:type="dxa"/>
              <w:right w:w="100" w:type="dxa"/>
            </w:tcMar>
          </w:tcPr>
          <w:p w14:paraId="50C11044"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Controlled</w:t>
            </w:r>
          </w:p>
        </w:tc>
      </w:tr>
      <w:tr w:rsidR="001F4901" w14:paraId="0B082775" w14:textId="77777777" w:rsidTr="00E161B6">
        <w:tc>
          <w:tcPr>
            <w:tcW w:w="983" w:type="dxa"/>
            <w:shd w:val="clear" w:color="auto" w:fill="auto"/>
            <w:tcMar>
              <w:top w:w="100" w:type="dxa"/>
              <w:left w:w="100" w:type="dxa"/>
              <w:bottom w:w="100" w:type="dxa"/>
              <w:right w:w="100" w:type="dxa"/>
            </w:tcMar>
          </w:tcPr>
          <w:p w14:paraId="4019A462"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Northern Ireland</w:t>
            </w:r>
          </w:p>
        </w:tc>
        <w:tc>
          <w:tcPr>
            <w:tcW w:w="2268" w:type="dxa"/>
            <w:shd w:val="clear" w:color="auto" w:fill="auto"/>
            <w:tcMar>
              <w:top w:w="100" w:type="dxa"/>
              <w:left w:w="100" w:type="dxa"/>
              <w:bottom w:w="100" w:type="dxa"/>
              <w:right w:w="100" w:type="dxa"/>
            </w:tcMar>
          </w:tcPr>
          <w:p w14:paraId="32C40C48"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Northern Ireland Multiple Deprivation Measure 2017 </w:t>
            </w:r>
          </w:p>
        </w:tc>
        <w:tc>
          <w:tcPr>
            <w:tcW w:w="3118" w:type="dxa"/>
            <w:shd w:val="clear" w:color="auto" w:fill="auto"/>
            <w:tcMar>
              <w:top w:w="100" w:type="dxa"/>
              <w:left w:w="100" w:type="dxa"/>
              <w:bottom w:w="100" w:type="dxa"/>
              <w:right w:w="100" w:type="dxa"/>
            </w:tcMar>
          </w:tcPr>
          <w:p w14:paraId="26180757"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 xml:space="preserve">Northern Ireland Statistics and Research Agency </w:t>
            </w:r>
          </w:p>
        </w:tc>
        <w:tc>
          <w:tcPr>
            <w:tcW w:w="1941" w:type="dxa"/>
            <w:shd w:val="clear" w:color="auto" w:fill="auto"/>
            <w:tcMar>
              <w:top w:w="100" w:type="dxa"/>
              <w:left w:w="100" w:type="dxa"/>
              <w:bottom w:w="100" w:type="dxa"/>
              <w:right w:w="100" w:type="dxa"/>
            </w:tcMar>
          </w:tcPr>
          <w:p w14:paraId="02DE5EA4"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A ranking of 890 Super Output Areas</w:t>
            </w:r>
          </w:p>
        </w:tc>
        <w:tc>
          <w:tcPr>
            <w:tcW w:w="1050" w:type="dxa"/>
            <w:shd w:val="clear" w:color="auto" w:fill="auto"/>
            <w:tcMar>
              <w:top w:w="100" w:type="dxa"/>
              <w:left w:w="100" w:type="dxa"/>
              <w:bottom w:w="100" w:type="dxa"/>
              <w:right w:w="100" w:type="dxa"/>
            </w:tcMar>
          </w:tcPr>
          <w:p w14:paraId="27E15860"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 xml:space="preserve">Open </w:t>
            </w:r>
          </w:p>
        </w:tc>
      </w:tr>
      <w:tr w:rsidR="001F4901" w14:paraId="16B34357" w14:textId="77777777" w:rsidTr="00E161B6">
        <w:tc>
          <w:tcPr>
            <w:tcW w:w="983" w:type="dxa"/>
            <w:shd w:val="clear" w:color="auto" w:fill="auto"/>
            <w:tcMar>
              <w:top w:w="100" w:type="dxa"/>
              <w:left w:w="100" w:type="dxa"/>
              <w:bottom w:w="100" w:type="dxa"/>
              <w:right w:w="100" w:type="dxa"/>
            </w:tcMar>
          </w:tcPr>
          <w:p w14:paraId="52DE700C" w14:textId="714CFA8E"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Ireland</w:t>
            </w:r>
          </w:p>
        </w:tc>
        <w:tc>
          <w:tcPr>
            <w:tcW w:w="2268" w:type="dxa"/>
            <w:shd w:val="clear" w:color="auto" w:fill="auto"/>
            <w:tcMar>
              <w:top w:w="100" w:type="dxa"/>
              <w:left w:w="100" w:type="dxa"/>
              <w:bottom w:w="100" w:type="dxa"/>
              <w:right w:w="100" w:type="dxa"/>
            </w:tcMar>
          </w:tcPr>
          <w:p w14:paraId="76A808DF" w14:textId="77777777" w:rsidR="004C2A29"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Hospital In-Patient Enquiry (HIPE) </w:t>
            </w:r>
          </w:p>
          <w:p w14:paraId="3A7D4D35" w14:textId="0F5623CC"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Primary Care Reimbursement Service (PCRS) </w:t>
            </w:r>
          </w:p>
        </w:tc>
        <w:tc>
          <w:tcPr>
            <w:tcW w:w="3118" w:type="dxa"/>
            <w:shd w:val="clear" w:color="auto" w:fill="auto"/>
            <w:tcMar>
              <w:top w:w="100" w:type="dxa"/>
              <w:left w:w="100" w:type="dxa"/>
              <w:bottom w:w="100" w:type="dxa"/>
              <w:right w:w="100" w:type="dxa"/>
            </w:tcMar>
          </w:tcPr>
          <w:p w14:paraId="7407C3B7"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Health Service Executive</w:t>
            </w:r>
          </w:p>
        </w:tc>
        <w:tc>
          <w:tcPr>
            <w:tcW w:w="1941" w:type="dxa"/>
            <w:shd w:val="clear" w:color="auto" w:fill="auto"/>
            <w:tcMar>
              <w:top w:w="100" w:type="dxa"/>
              <w:left w:w="100" w:type="dxa"/>
              <w:bottom w:w="100" w:type="dxa"/>
              <w:right w:w="100" w:type="dxa"/>
            </w:tcMar>
          </w:tcPr>
          <w:p w14:paraId="68EC3F09"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HIPE: 195,918 records</w:t>
            </w:r>
          </w:p>
          <w:p w14:paraId="4A3B2A57"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PCRS:138,713,639 records</w:t>
            </w:r>
          </w:p>
        </w:tc>
        <w:tc>
          <w:tcPr>
            <w:tcW w:w="1050" w:type="dxa"/>
            <w:shd w:val="clear" w:color="auto" w:fill="auto"/>
            <w:tcMar>
              <w:top w:w="100" w:type="dxa"/>
              <w:left w:w="100" w:type="dxa"/>
              <w:bottom w:w="100" w:type="dxa"/>
              <w:right w:w="100" w:type="dxa"/>
            </w:tcMar>
          </w:tcPr>
          <w:p w14:paraId="5AD41EED"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 xml:space="preserve">Controlled </w:t>
            </w:r>
          </w:p>
        </w:tc>
      </w:tr>
      <w:tr w:rsidR="001F4901" w14:paraId="33F73A75" w14:textId="77777777" w:rsidTr="00E161B6">
        <w:tc>
          <w:tcPr>
            <w:tcW w:w="983" w:type="dxa"/>
            <w:shd w:val="clear" w:color="auto" w:fill="auto"/>
            <w:tcMar>
              <w:top w:w="100" w:type="dxa"/>
              <w:left w:w="100" w:type="dxa"/>
              <w:bottom w:w="100" w:type="dxa"/>
              <w:right w:w="100" w:type="dxa"/>
            </w:tcMar>
          </w:tcPr>
          <w:p w14:paraId="762B20E4" w14:textId="3135131F"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Ireland</w:t>
            </w:r>
          </w:p>
        </w:tc>
        <w:tc>
          <w:tcPr>
            <w:tcW w:w="2268" w:type="dxa"/>
            <w:shd w:val="clear" w:color="auto" w:fill="auto"/>
            <w:tcMar>
              <w:top w:w="100" w:type="dxa"/>
              <w:left w:w="100" w:type="dxa"/>
              <w:bottom w:w="100" w:type="dxa"/>
              <w:right w:w="100" w:type="dxa"/>
            </w:tcMar>
          </w:tcPr>
          <w:p w14:paraId="6F99C52F"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Census and List of Hospitals in Ireland</w:t>
            </w:r>
          </w:p>
        </w:tc>
        <w:tc>
          <w:tcPr>
            <w:tcW w:w="3118" w:type="dxa"/>
            <w:shd w:val="clear" w:color="auto" w:fill="auto"/>
            <w:tcMar>
              <w:top w:w="100" w:type="dxa"/>
              <w:left w:w="100" w:type="dxa"/>
              <w:bottom w:w="100" w:type="dxa"/>
              <w:right w:w="100" w:type="dxa"/>
            </w:tcMar>
          </w:tcPr>
          <w:p w14:paraId="792E8DBD"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 xml:space="preserve">Ireland's Open Data Portal </w:t>
            </w:r>
          </w:p>
          <w:p w14:paraId="0A007AA2" w14:textId="77777777" w:rsidR="001F4901" w:rsidRPr="00903152" w:rsidRDefault="001F4901" w:rsidP="00903152">
            <w:pPr>
              <w:spacing w:before="0" w:after="0"/>
              <w:jc w:val="both"/>
              <w:rPr>
                <w:rFonts w:eastAsia="Times New Roman" w:cs="Times New Roman"/>
                <w:szCs w:val="24"/>
                <w:lang w:val="en-GB" w:eastAsia="en-GB"/>
              </w:rPr>
            </w:pPr>
            <w:r w:rsidRPr="00903152">
              <w:rPr>
                <w:rFonts w:eastAsia="Times New Roman" w:cs="Times New Roman"/>
                <w:szCs w:val="24"/>
                <w:lang w:val="en-GB" w:eastAsia="en-GB"/>
              </w:rPr>
              <w:t>(</w:t>
            </w:r>
            <w:hyperlink r:id="rId13">
              <w:r w:rsidRPr="00903152">
                <w:rPr>
                  <w:rFonts w:eastAsia="Times New Roman" w:cs="Times New Roman"/>
                  <w:szCs w:val="24"/>
                  <w:lang w:val="en-GB" w:eastAsia="en-GB"/>
                </w:rPr>
                <w:t>https://data.gov.ie/</w:t>
              </w:r>
            </w:hyperlink>
            <w:r w:rsidRPr="00903152">
              <w:rPr>
                <w:rFonts w:eastAsia="Times New Roman" w:cs="Times New Roman"/>
                <w:szCs w:val="24"/>
                <w:lang w:val="en-GB" w:eastAsia="en-GB"/>
              </w:rPr>
              <w:t>)</w:t>
            </w:r>
          </w:p>
        </w:tc>
        <w:tc>
          <w:tcPr>
            <w:tcW w:w="1941" w:type="dxa"/>
            <w:shd w:val="clear" w:color="auto" w:fill="auto"/>
            <w:tcMar>
              <w:top w:w="100" w:type="dxa"/>
              <w:left w:w="100" w:type="dxa"/>
              <w:bottom w:w="100" w:type="dxa"/>
              <w:right w:w="100" w:type="dxa"/>
            </w:tcMar>
          </w:tcPr>
          <w:p w14:paraId="4F6D4CC7" w14:textId="1B28DB8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Census: population</w:t>
            </w:r>
            <w:r w:rsidR="00D93398">
              <w:rPr>
                <w:rFonts w:eastAsia="Times New Roman" w:cs="Times New Roman"/>
                <w:szCs w:val="24"/>
                <w:lang w:val="en-GB" w:eastAsia="en-GB"/>
              </w:rPr>
              <w:t xml:space="preserve"> (</w:t>
            </w:r>
            <w:r w:rsidRPr="00903152">
              <w:rPr>
                <w:rFonts w:eastAsia="Times New Roman" w:cs="Times New Roman"/>
                <w:szCs w:val="24"/>
                <w:lang w:val="en-GB" w:eastAsia="en-GB"/>
              </w:rPr>
              <w:t>2011</w:t>
            </w:r>
            <w:r w:rsidR="00D93398">
              <w:rPr>
                <w:rFonts w:eastAsia="Times New Roman" w:cs="Times New Roman"/>
                <w:szCs w:val="24"/>
                <w:lang w:val="en-GB" w:eastAsia="en-GB"/>
              </w:rPr>
              <w:t>)</w:t>
            </w:r>
            <w:r w:rsidRPr="00903152">
              <w:rPr>
                <w:rFonts w:eastAsia="Times New Roman" w:cs="Times New Roman"/>
                <w:szCs w:val="24"/>
                <w:lang w:val="en-GB" w:eastAsia="en-GB"/>
              </w:rPr>
              <w:t xml:space="preserve"> </w:t>
            </w:r>
          </w:p>
          <w:p w14:paraId="2F27436A"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Hospitals: 57 hospitals</w:t>
            </w:r>
          </w:p>
        </w:tc>
        <w:tc>
          <w:tcPr>
            <w:tcW w:w="1050" w:type="dxa"/>
            <w:shd w:val="clear" w:color="auto" w:fill="auto"/>
            <w:tcMar>
              <w:top w:w="100" w:type="dxa"/>
              <w:left w:w="100" w:type="dxa"/>
              <w:bottom w:w="100" w:type="dxa"/>
              <w:right w:w="100" w:type="dxa"/>
            </w:tcMar>
          </w:tcPr>
          <w:p w14:paraId="1051FA2D" w14:textId="77777777" w:rsidR="001F4901" w:rsidRPr="00903152" w:rsidRDefault="001F4901" w:rsidP="00903152">
            <w:pPr>
              <w:widowControl w:val="0"/>
              <w:spacing w:before="0" w:after="0"/>
              <w:rPr>
                <w:rFonts w:eastAsia="Times New Roman" w:cs="Times New Roman"/>
                <w:szCs w:val="24"/>
                <w:lang w:val="en-GB" w:eastAsia="en-GB"/>
              </w:rPr>
            </w:pPr>
            <w:r w:rsidRPr="00903152">
              <w:rPr>
                <w:rFonts w:eastAsia="Times New Roman" w:cs="Times New Roman"/>
                <w:szCs w:val="24"/>
                <w:lang w:val="en-GB" w:eastAsia="en-GB"/>
              </w:rPr>
              <w:t>Controlled</w:t>
            </w:r>
          </w:p>
        </w:tc>
      </w:tr>
    </w:tbl>
    <w:p w14:paraId="3310C26C" w14:textId="77777777" w:rsidR="001F4901" w:rsidRPr="00994A3D" w:rsidRDefault="001F4901" w:rsidP="00903152">
      <w:pPr>
        <w:spacing w:before="0" w:after="100" w:afterAutospacing="1"/>
        <w:jc w:val="both"/>
        <w:rPr>
          <w:rFonts w:eastAsia="Times New Roman" w:cs="Times New Roman"/>
          <w:szCs w:val="24"/>
          <w:lang w:val="en-GB" w:eastAsia="en-GB"/>
        </w:rPr>
      </w:pPr>
    </w:p>
    <w:p w14:paraId="7E3555FF" w14:textId="77777777" w:rsidR="001E7189" w:rsidRDefault="001E7189">
      <w:pPr>
        <w:spacing w:before="0" w:after="200" w:line="276" w:lineRule="auto"/>
        <w:rPr>
          <w:rFonts w:eastAsia="Cambria" w:cs="Times New Roman"/>
          <w:b/>
          <w:szCs w:val="24"/>
        </w:rPr>
      </w:pPr>
      <w:r>
        <w:br w:type="page"/>
      </w:r>
    </w:p>
    <w:p w14:paraId="4D059444" w14:textId="6CBBDDB5" w:rsidR="00994A3D" w:rsidRPr="00994A3D" w:rsidRDefault="00654E8F" w:rsidP="00903152">
      <w:pPr>
        <w:pStyle w:val="Heading1"/>
        <w:spacing w:before="0"/>
      </w:pPr>
      <w:r w:rsidRPr="00994A3D">
        <w:lastRenderedPageBreak/>
        <w:t>Supplementary Tables</w:t>
      </w:r>
    </w:p>
    <w:p w14:paraId="7488B150" w14:textId="44289E0D" w:rsidR="005F3154" w:rsidRDefault="005F3154" w:rsidP="005F3154">
      <w:pPr>
        <w:spacing w:before="0"/>
      </w:pPr>
      <w:r>
        <w:t>Table 2.</w:t>
      </w:r>
      <w:r>
        <w:t>1</w:t>
      </w:r>
      <w:r>
        <w:t xml:space="preserve"> </w:t>
      </w:r>
      <w:r w:rsidR="00344881" w:rsidRPr="00344881">
        <w:t>The background information of the participants of user experience testing</w:t>
      </w:r>
    </w:p>
    <w:tbl>
      <w:tblPr>
        <w:tblW w:w="936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8"/>
        <w:gridCol w:w="1623"/>
        <w:gridCol w:w="1624"/>
        <w:gridCol w:w="1624"/>
        <w:gridCol w:w="1561"/>
      </w:tblGrid>
      <w:tr w:rsidR="002B4F4B" w14:paraId="1514847B" w14:textId="77777777" w:rsidTr="00417E27">
        <w:trPr>
          <w:trHeight w:val="57"/>
        </w:trPr>
        <w:tc>
          <w:tcPr>
            <w:tcW w:w="2928" w:type="dxa"/>
          </w:tcPr>
          <w:p w14:paraId="5A807FCE" w14:textId="77777777" w:rsidR="002B4F4B" w:rsidRPr="002B4F4B" w:rsidRDefault="002B4F4B" w:rsidP="002B4F4B">
            <w:pPr>
              <w:spacing w:before="0" w:after="0"/>
            </w:pPr>
          </w:p>
        </w:tc>
        <w:tc>
          <w:tcPr>
            <w:tcW w:w="1623" w:type="dxa"/>
          </w:tcPr>
          <w:p w14:paraId="0EB3F8D3" w14:textId="77777777" w:rsidR="002B4F4B" w:rsidRPr="002B4F4B" w:rsidRDefault="002B4F4B" w:rsidP="002B4F4B">
            <w:pPr>
              <w:spacing w:before="0" w:after="0"/>
              <w:jc w:val="both"/>
            </w:pPr>
            <w:r w:rsidRPr="002B4F4B">
              <w:t>Version 1.0</w:t>
            </w:r>
          </w:p>
        </w:tc>
        <w:tc>
          <w:tcPr>
            <w:tcW w:w="1624" w:type="dxa"/>
          </w:tcPr>
          <w:p w14:paraId="295D7B37" w14:textId="77777777" w:rsidR="002B4F4B" w:rsidRPr="002B4F4B" w:rsidRDefault="002B4F4B" w:rsidP="002B4F4B">
            <w:pPr>
              <w:spacing w:before="0" w:after="0"/>
              <w:jc w:val="both"/>
            </w:pPr>
            <w:r w:rsidRPr="002B4F4B">
              <w:t>Version 2.0</w:t>
            </w:r>
          </w:p>
        </w:tc>
        <w:tc>
          <w:tcPr>
            <w:tcW w:w="1624" w:type="dxa"/>
          </w:tcPr>
          <w:p w14:paraId="024CA82E" w14:textId="77777777" w:rsidR="002B4F4B" w:rsidRPr="002B4F4B" w:rsidRDefault="002B4F4B" w:rsidP="002B4F4B">
            <w:pPr>
              <w:spacing w:before="0" w:after="0"/>
              <w:jc w:val="both"/>
            </w:pPr>
            <w:r w:rsidRPr="002B4F4B">
              <w:t>Version 2.1</w:t>
            </w:r>
          </w:p>
        </w:tc>
        <w:tc>
          <w:tcPr>
            <w:tcW w:w="1561" w:type="dxa"/>
          </w:tcPr>
          <w:p w14:paraId="51DC8CDB" w14:textId="77777777" w:rsidR="002B4F4B" w:rsidRPr="002B4F4B" w:rsidRDefault="002B4F4B" w:rsidP="002B4F4B">
            <w:pPr>
              <w:spacing w:before="0" w:after="0"/>
              <w:jc w:val="both"/>
            </w:pPr>
            <w:r w:rsidRPr="002B4F4B">
              <w:t>Version 3.0</w:t>
            </w:r>
          </w:p>
        </w:tc>
      </w:tr>
      <w:tr w:rsidR="002B4F4B" w14:paraId="1B4E1776" w14:textId="77777777" w:rsidTr="00417E27">
        <w:trPr>
          <w:trHeight w:val="57"/>
        </w:trPr>
        <w:tc>
          <w:tcPr>
            <w:tcW w:w="2928" w:type="dxa"/>
          </w:tcPr>
          <w:p w14:paraId="4F2B21C6" w14:textId="77777777" w:rsidR="002B4F4B" w:rsidRPr="002B4F4B" w:rsidRDefault="002B4F4B" w:rsidP="002B4F4B">
            <w:pPr>
              <w:pBdr>
                <w:top w:val="nil"/>
                <w:left w:val="nil"/>
                <w:bottom w:val="nil"/>
                <w:right w:val="nil"/>
                <w:between w:val="nil"/>
              </w:pBdr>
              <w:spacing w:before="0" w:after="0"/>
            </w:pPr>
          </w:p>
        </w:tc>
        <w:tc>
          <w:tcPr>
            <w:tcW w:w="1623" w:type="dxa"/>
          </w:tcPr>
          <w:p w14:paraId="44BB8085" w14:textId="77777777" w:rsidR="002B4F4B" w:rsidRPr="002B4F4B" w:rsidRDefault="002B4F4B" w:rsidP="002B4F4B">
            <w:pPr>
              <w:pBdr>
                <w:top w:val="nil"/>
                <w:left w:val="nil"/>
                <w:bottom w:val="nil"/>
                <w:right w:val="nil"/>
                <w:between w:val="nil"/>
              </w:pBdr>
              <w:spacing w:before="0" w:after="0"/>
            </w:pPr>
          </w:p>
        </w:tc>
        <w:tc>
          <w:tcPr>
            <w:tcW w:w="1624" w:type="dxa"/>
          </w:tcPr>
          <w:p w14:paraId="683E551E" w14:textId="77777777" w:rsidR="002B4F4B" w:rsidRPr="002B4F4B" w:rsidRDefault="002B4F4B" w:rsidP="002B4F4B">
            <w:pPr>
              <w:pBdr>
                <w:top w:val="nil"/>
                <w:left w:val="nil"/>
                <w:bottom w:val="nil"/>
                <w:right w:val="nil"/>
                <w:between w:val="nil"/>
              </w:pBdr>
              <w:spacing w:before="0" w:after="0"/>
            </w:pPr>
          </w:p>
        </w:tc>
        <w:tc>
          <w:tcPr>
            <w:tcW w:w="1624" w:type="dxa"/>
          </w:tcPr>
          <w:p w14:paraId="3A5441D5" w14:textId="77777777" w:rsidR="002B4F4B" w:rsidRPr="002B4F4B" w:rsidRDefault="002B4F4B" w:rsidP="002B4F4B">
            <w:pPr>
              <w:pBdr>
                <w:top w:val="nil"/>
                <w:left w:val="nil"/>
                <w:bottom w:val="nil"/>
                <w:right w:val="nil"/>
                <w:between w:val="nil"/>
              </w:pBdr>
              <w:spacing w:before="0" w:after="0"/>
            </w:pPr>
          </w:p>
        </w:tc>
        <w:tc>
          <w:tcPr>
            <w:tcW w:w="1561" w:type="dxa"/>
          </w:tcPr>
          <w:p w14:paraId="4D6E4B5D" w14:textId="77777777" w:rsidR="002B4F4B" w:rsidRPr="002B4F4B" w:rsidRDefault="002B4F4B" w:rsidP="002B4F4B">
            <w:pPr>
              <w:pBdr>
                <w:top w:val="nil"/>
                <w:left w:val="nil"/>
                <w:bottom w:val="nil"/>
                <w:right w:val="nil"/>
                <w:between w:val="nil"/>
              </w:pBdr>
              <w:spacing w:before="0" w:after="0"/>
            </w:pPr>
          </w:p>
        </w:tc>
      </w:tr>
      <w:tr w:rsidR="002B4F4B" w14:paraId="6AA35E52" w14:textId="77777777" w:rsidTr="00417E27">
        <w:trPr>
          <w:trHeight w:val="57"/>
        </w:trPr>
        <w:tc>
          <w:tcPr>
            <w:tcW w:w="2928" w:type="dxa"/>
          </w:tcPr>
          <w:p w14:paraId="1DE6DA31" w14:textId="77777777" w:rsidR="002B4F4B" w:rsidRPr="002B4F4B" w:rsidRDefault="002B4F4B" w:rsidP="002B4F4B">
            <w:pPr>
              <w:pBdr>
                <w:top w:val="nil"/>
                <w:left w:val="nil"/>
                <w:bottom w:val="nil"/>
                <w:right w:val="nil"/>
                <w:between w:val="nil"/>
              </w:pBdr>
              <w:spacing w:before="0" w:after="0"/>
            </w:pPr>
            <w:r w:rsidRPr="002B4F4B">
              <w:t>N</w:t>
            </w:r>
          </w:p>
        </w:tc>
        <w:tc>
          <w:tcPr>
            <w:tcW w:w="1623" w:type="dxa"/>
          </w:tcPr>
          <w:p w14:paraId="3C4D58DA" w14:textId="77777777" w:rsidR="002B4F4B" w:rsidRPr="002B4F4B" w:rsidRDefault="002B4F4B" w:rsidP="002B4F4B">
            <w:pPr>
              <w:pBdr>
                <w:top w:val="nil"/>
                <w:left w:val="nil"/>
                <w:bottom w:val="nil"/>
                <w:right w:val="nil"/>
                <w:between w:val="nil"/>
              </w:pBdr>
              <w:spacing w:before="0" w:after="0"/>
            </w:pPr>
            <w:r w:rsidRPr="002B4F4B">
              <w:t>12</w:t>
            </w:r>
          </w:p>
        </w:tc>
        <w:tc>
          <w:tcPr>
            <w:tcW w:w="1624" w:type="dxa"/>
          </w:tcPr>
          <w:p w14:paraId="7E566EDF" w14:textId="77777777" w:rsidR="002B4F4B" w:rsidRPr="002B4F4B" w:rsidRDefault="002B4F4B" w:rsidP="002B4F4B">
            <w:pPr>
              <w:pBdr>
                <w:top w:val="nil"/>
                <w:left w:val="nil"/>
                <w:bottom w:val="nil"/>
                <w:right w:val="nil"/>
                <w:between w:val="nil"/>
              </w:pBdr>
              <w:spacing w:before="0" w:after="0"/>
            </w:pPr>
            <w:r w:rsidRPr="002B4F4B">
              <w:t>5</w:t>
            </w:r>
          </w:p>
        </w:tc>
        <w:tc>
          <w:tcPr>
            <w:tcW w:w="1624" w:type="dxa"/>
          </w:tcPr>
          <w:p w14:paraId="54E84C62" w14:textId="77777777" w:rsidR="002B4F4B" w:rsidRPr="002B4F4B" w:rsidRDefault="002B4F4B" w:rsidP="002B4F4B">
            <w:pPr>
              <w:pBdr>
                <w:top w:val="nil"/>
                <w:left w:val="nil"/>
                <w:bottom w:val="nil"/>
                <w:right w:val="nil"/>
                <w:between w:val="nil"/>
              </w:pBdr>
              <w:spacing w:before="0" w:after="0"/>
            </w:pPr>
            <w:r w:rsidRPr="002B4F4B">
              <w:t>7</w:t>
            </w:r>
          </w:p>
        </w:tc>
        <w:tc>
          <w:tcPr>
            <w:tcW w:w="1561" w:type="dxa"/>
          </w:tcPr>
          <w:p w14:paraId="6EC730AD" w14:textId="77777777" w:rsidR="002B4F4B" w:rsidRPr="002B4F4B" w:rsidRDefault="002B4F4B" w:rsidP="002B4F4B">
            <w:pPr>
              <w:pBdr>
                <w:top w:val="nil"/>
                <w:left w:val="nil"/>
                <w:bottom w:val="nil"/>
                <w:right w:val="nil"/>
                <w:between w:val="nil"/>
              </w:pBdr>
              <w:spacing w:before="0" w:after="0"/>
            </w:pPr>
            <w:r w:rsidRPr="002B4F4B">
              <w:t>3</w:t>
            </w:r>
          </w:p>
        </w:tc>
      </w:tr>
      <w:tr w:rsidR="002B4F4B" w14:paraId="31837124" w14:textId="77777777" w:rsidTr="00417E27">
        <w:trPr>
          <w:trHeight w:val="57"/>
        </w:trPr>
        <w:tc>
          <w:tcPr>
            <w:tcW w:w="2928" w:type="dxa"/>
          </w:tcPr>
          <w:p w14:paraId="18666B33" w14:textId="77777777" w:rsidR="002B4F4B" w:rsidRPr="002B4F4B" w:rsidRDefault="002B4F4B" w:rsidP="002B4F4B">
            <w:pPr>
              <w:pBdr>
                <w:top w:val="nil"/>
                <w:left w:val="nil"/>
                <w:bottom w:val="nil"/>
                <w:right w:val="nil"/>
                <w:between w:val="nil"/>
              </w:pBdr>
              <w:spacing w:before="0" w:after="0"/>
            </w:pPr>
            <w:r w:rsidRPr="002B4F4B">
              <w:t>Age</w:t>
            </w:r>
          </w:p>
        </w:tc>
        <w:tc>
          <w:tcPr>
            <w:tcW w:w="1623" w:type="dxa"/>
          </w:tcPr>
          <w:p w14:paraId="2C2B3D39" w14:textId="77777777" w:rsidR="002B4F4B" w:rsidRPr="002B4F4B" w:rsidRDefault="002B4F4B" w:rsidP="002B4F4B">
            <w:pPr>
              <w:pBdr>
                <w:top w:val="nil"/>
                <w:left w:val="nil"/>
                <w:bottom w:val="nil"/>
                <w:right w:val="nil"/>
                <w:between w:val="nil"/>
              </w:pBdr>
              <w:spacing w:before="0" w:after="0"/>
            </w:pPr>
            <w:r w:rsidRPr="002B4F4B">
              <w:t>/</w:t>
            </w:r>
          </w:p>
        </w:tc>
        <w:tc>
          <w:tcPr>
            <w:tcW w:w="1624" w:type="dxa"/>
          </w:tcPr>
          <w:p w14:paraId="11D8884E" w14:textId="77777777" w:rsidR="002B4F4B" w:rsidRPr="002B4F4B" w:rsidRDefault="002B4F4B" w:rsidP="002B4F4B">
            <w:pPr>
              <w:pBdr>
                <w:top w:val="nil"/>
                <w:left w:val="nil"/>
                <w:bottom w:val="nil"/>
                <w:right w:val="nil"/>
                <w:between w:val="nil"/>
              </w:pBdr>
              <w:spacing w:before="0" w:after="0"/>
            </w:pPr>
            <w:r w:rsidRPr="002B4F4B">
              <w:t>47.2</w:t>
            </w:r>
          </w:p>
        </w:tc>
        <w:tc>
          <w:tcPr>
            <w:tcW w:w="1624" w:type="dxa"/>
          </w:tcPr>
          <w:p w14:paraId="3AF1CE96" w14:textId="77777777" w:rsidR="002B4F4B" w:rsidRPr="002B4F4B" w:rsidRDefault="002B4F4B" w:rsidP="002B4F4B">
            <w:pPr>
              <w:pBdr>
                <w:top w:val="nil"/>
                <w:left w:val="nil"/>
                <w:bottom w:val="nil"/>
                <w:right w:val="nil"/>
                <w:between w:val="nil"/>
              </w:pBdr>
              <w:spacing w:before="0" w:after="0"/>
            </w:pPr>
            <w:r w:rsidRPr="002B4F4B">
              <w:t>51.9</w:t>
            </w:r>
          </w:p>
        </w:tc>
        <w:tc>
          <w:tcPr>
            <w:tcW w:w="1561" w:type="dxa"/>
          </w:tcPr>
          <w:p w14:paraId="698F1772" w14:textId="77777777" w:rsidR="002B4F4B" w:rsidRPr="002B4F4B" w:rsidRDefault="002B4F4B" w:rsidP="002B4F4B">
            <w:pPr>
              <w:pBdr>
                <w:top w:val="nil"/>
                <w:left w:val="nil"/>
                <w:bottom w:val="nil"/>
                <w:right w:val="nil"/>
                <w:between w:val="nil"/>
              </w:pBdr>
              <w:spacing w:before="0" w:after="0"/>
            </w:pPr>
            <w:r w:rsidRPr="002B4F4B">
              <w:t>52</w:t>
            </w:r>
          </w:p>
        </w:tc>
      </w:tr>
      <w:tr w:rsidR="002B4F4B" w14:paraId="14D0A8C2" w14:textId="77777777" w:rsidTr="00417E27">
        <w:trPr>
          <w:trHeight w:val="57"/>
        </w:trPr>
        <w:tc>
          <w:tcPr>
            <w:tcW w:w="2928" w:type="dxa"/>
          </w:tcPr>
          <w:p w14:paraId="1A984E2B" w14:textId="77777777" w:rsidR="002B4F4B" w:rsidRPr="002B4F4B" w:rsidRDefault="002B4F4B" w:rsidP="002B4F4B">
            <w:pPr>
              <w:pBdr>
                <w:top w:val="nil"/>
                <w:left w:val="nil"/>
                <w:bottom w:val="nil"/>
                <w:right w:val="nil"/>
                <w:between w:val="nil"/>
              </w:pBdr>
              <w:spacing w:before="0" w:after="0"/>
            </w:pPr>
            <w:r w:rsidRPr="002B4F4B">
              <w:t>Gender</w:t>
            </w:r>
          </w:p>
        </w:tc>
        <w:tc>
          <w:tcPr>
            <w:tcW w:w="1623" w:type="dxa"/>
          </w:tcPr>
          <w:p w14:paraId="5FFB8429" w14:textId="77777777" w:rsidR="002B4F4B" w:rsidRPr="002B4F4B" w:rsidRDefault="002B4F4B" w:rsidP="002B4F4B">
            <w:pPr>
              <w:pBdr>
                <w:top w:val="nil"/>
                <w:left w:val="nil"/>
                <w:bottom w:val="nil"/>
                <w:right w:val="nil"/>
                <w:between w:val="nil"/>
              </w:pBdr>
              <w:spacing w:before="0" w:after="0"/>
            </w:pPr>
          </w:p>
        </w:tc>
        <w:tc>
          <w:tcPr>
            <w:tcW w:w="1624" w:type="dxa"/>
          </w:tcPr>
          <w:p w14:paraId="4F0A101B" w14:textId="77777777" w:rsidR="002B4F4B" w:rsidRPr="002B4F4B" w:rsidRDefault="002B4F4B" w:rsidP="002B4F4B">
            <w:pPr>
              <w:pBdr>
                <w:top w:val="nil"/>
                <w:left w:val="nil"/>
                <w:bottom w:val="nil"/>
                <w:right w:val="nil"/>
                <w:between w:val="nil"/>
              </w:pBdr>
              <w:spacing w:before="0" w:after="0"/>
            </w:pPr>
          </w:p>
        </w:tc>
        <w:tc>
          <w:tcPr>
            <w:tcW w:w="1624" w:type="dxa"/>
          </w:tcPr>
          <w:p w14:paraId="5018B546" w14:textId="77777777" w:rsidR="002B4F4B" w:rsidRPr="002B4F4B" w:rsidRDefault="002B4F4B" w:rsidP="002B4F4B">
            <w:pPr>
              <w:pBdr>
                <w:top w:val="nil"/>
                <w:left w:val="nil"/>
                <w:bottom w:val="nil"/>
                <w:right w:val="nil"/>
                <w:between w:val="nil"/>
              </w:pBdr>
              <w:spacing w:before="0" w:after="0"/>
            </w:pPr>
          </w:p>
        </w:tc>
        <w:tc>
          <w:tcPr>
            <w:tcW w:w="1561" w:type="dxa"/>
          </w:tcPr>
          <w:p w14:paraId="5EEF139F" w14:textId="77777777" w:rsidR="002B4F4B" w:rsidRPr="002B4F4B" w:rsidRDefault="002B4F4B" w:rsidP="002B4F4B">
            <w:pPr>
              <w:pBdr>
                <w:top w:val="nil"/>
                <w:left w:val="nil"/>
                <w:bottom w:val="nil"/>
                <w:right w:val="nil"/>
                <w:between w:val="nil"/>
              </w:pBdr>
              <w:spacing w:before="0" w:after="0"/>
            </w:pPr>
          </w:p>
        </w:tc>
      </w:tr>
      <w:tr w:rsidR="002B4F4B" w14:paraId="5C04FEB9" w14:textId="77777777" w:rsidTr="00417E27">
        <w:trPr>
          <w:trHeight w:val="57"/>
        </w:trPr>
        <w:tc>
          <w:tcPr>
            <w:tcW w:w="2928" w:type="dxa"/>
          </w:tcPr>
          <w:p w14:paraId="23E6E6D5" w14:textId="77777777" w:rsidR="002B4F4B" w:rsidRPr="002B4F4B" w:rsidRDefault="002B4F4B" w:rsidP="002B4F4B">
            <w:pPr>
              <w:pBdr>
                <w:top w:val="nil"/>
                <w:left w:val="nil"/>
                <w:bottom w:val="nil"/>
                <w:right w:val="nil"/>
                <w:between w:val="nil"/>
              </w:pBdr>
              <w:spacing w:before="0" w:after="0"/>
            </w:pPr>
            <w:r w:rsidRPr="002B4F4B">
              <w:t xml:space="preserve">    Female</w:t>
            </w:r>
          </w:p>
        </w:tc>
        <w:tc>
          <w:tcPr>
            <w:tcW w:w="1623" w:type="dxa"/>
          </w:tcPr>
          <w:p w14:paraId="6C323060" w14:textId="77777777" w:rsidR="002B4F4B" w:rsidRPr="002B4F4B" w:rsidRDefault="002B4F4B" w:rsidP="002B4F4B">
            <w:pPr>
              <w:pBdr>
                <w:top w:val="nil"/>
                <w:left w:val="nil"/>
                <w:bottom w:val="nil"/>
                <w:right w:val="nil"/>
                <w:between w:val="nil"/>
              </w:pBdr>
              <w:spacing w:before="0" w:after="0"/>
            </w:pPr>
            <w:r w:rsidRPr="002B4F4B">
              <w:t>7</w:t>
            </w:r>
          </w:p>
        </w:tc>
        <w:tc>
          <w:tcPr>
            <w:tcW w:w="1624" w:type="dxa"/>
          </w:tcPr>
          <w:p w14:paraId="5C76B927" w14:textId="77777777" w:rsidR="002B4F4B" w:rsidRPr="002B4F4B" w:rsidRDefault="002B4F4B" w:rsidP="002B4F4B">
            <w:pPr>
              <w:pBdr>
                <w:top w:val="nil"/>
                <w:left w:val="nil"/>
                <w:bottom w:val="nil"/>
                <w:right w:val="nil"/>
                <w:between w:val="nil"/>
              </w:pBdr>
              <w:spacing w:before="0" w:after="0"/>
            </w:pPr>
            <w:r w:rsidRPr="002B4F4B">
              <w:t>2</w:t>
            </w:r>
          </w:p>
        </w:tc>
        <w:tc>
          <w:tcPr>
            <w:tcW w:w="1624" w:type="dxa"/>
          </w:tcPr>
          <w:p w14:paraId="51A9E4C2" w14:textId="77777777" w:rsidR="002B4F4B" w:rsidRPr="002B4F4B" w:rsidRDefault="002B4F4B" w:rsidP="002B4F4B">
            <w:pPr>
              <w:pBdr>
                <w:top w:val="nil"/>
                <w:left w:val="nil"/>
                <w:bottom w:val="nil"/>
                <w:right w:val="nil"/>
                <w:between w:val="nil"/>
              </w:pBdr>
              <w:spacing w:before="0" w:after="0"/>
            </w:pPr>
            <w:r w:rsidRPr="002B4F4B">
              <w:t>5</w:t>
            </w:r>
          </w:p>
        </w:tc>
        <w:tc>
          <w:tcPr>
            <w:tcW w:w="1561" w:type="dxa"/>
          </w:tcPr>
          <w:p w14:paraId="7DB9CD46" w14:textId="77777777" w:rsidR="002B4F4B" w:rsidRPr="002B4F4B" w:rsidRDefault="002B4F4B" w:rsidP="002B4F4B">
            <w:pPr>
              <w:pBdr>
                <w:top w:val="nil"/>
                <w:left w:val="nil"/>
                <w:bottom w:val="nil"/>
                <w:right w:val="nil"/>
                <w:between w:val="nil"/>
              </w:pBdr>
              <w:spacing w:before="0" w:after="0"/>
            </w:pPr>
            <w:r w:rsidRPr="002B4F4B">
              <w:t>1</w:t>
            </w:r>
          </w:p>
        </w:tc>
      </w:tr>
      <w:tr w:rsidR="002B4F4B" w14:paraId="0E4A7B8C" w14:textId="77777777" w:rsidTr="00417E27">
        <w:trPr>
          <w:trHeight w:val="57"/>
        </w:trPr>
        <w:tc>
          <w:tcPr>
            <w:tcW w:w="2928" w:type="dxa"/>
          </w:tcPr>
          <w:p w14:paraId="46ACE8A2" w14:textId="77777777" w:rsidR="002B4F4B" w:rsidRPr="002B4F4B" w:rsidRDefault="002B4F4B" w:rsidP="002B4F4B">
            <w:pPr>
              <w:pBdr>
                <w:top w:val="nil"/>
                <w:left w:val="nil"/>
                <w:bottom w:val="nil"/>
                <w:right w:val="nil"/>
                <w:between w:val="nil"/>
              </w:pBdr>
              <w:spacing w:before="0" w:after="0"/>
            </w:pPr>
            <w:r w:rsidRPr="002B4F4B">
              <w:t xml:space="preserve">    Male</w:t>
            </w:r>
          </w:p>
        </w:tc>
        <w:tc>
          <w:tcPr>
            <w:tcW w:w="1623" w:type="dxa"/>
          </w:tcPr>
          <w:p w14:paraId="72655821" w14:textId="77777777" w:rsidR="002B4F4B" w:rsidRPr="002B4F4B" w:rsidRDefault="002B4F4B" w:rsidP="002B4F4B">
            <w:pPr>
              <w:pBdr>
                <w:top w:val="nil"/>
                <w:left w:val="nil"/>
                <w:bottom w:val="nil"/>
                <w:right w:val="nil"/>
                <w:between w:val="nil"/>
              </w:pBdr>
              <w:spacing w:before="0" w:after="0"/>
            </w:pPr>
            <w:r w:rsidRPr="002B4F4B">
              <w:t>5</w:t>
            </w:r>
          </w:p>
        </w:tc>
        <w:tc>
          <w:tcPr>
            <w:tcW w:w="1624" w:type="dxa"/>
          </w:tcPr>
          <w:p w14:paraId="34F2DC8E" w14:textId="77777777" w:rsidR="002B4F4B" w:rsidRPr="002B4F4B" w:rsidRDefault="002B4F4B" w:rsidP="002B4F4B">
            <w:pPr>
              <w:pBdr>
                <w:top w:val="nil"/>
                <w:left w:val="nil"/>
                <w:bottom w:val="nil"/>
                <w:right w:val="nil"/>
                <w:between w:val="nil"/>
              </w:pBdr>
              <w:spacing w:before="0" w:after="0"/>
            </w:pPr>
            <w:r w:rsidRPr="002B4F4B">
              <w:t>3</w:t>
            </w:r>
          </w:p>
        </w:tc>
        <w:tc>
          <w:tcPr>
            <w:tcW w:w="1624" w:type="dxa"/>
          </w:tcPr>
          <w:p w14:paraId="64040315" w14:textId="77777777" w:rsidR="002B4F4B" w:rsidRPr="002B4F4B" w:rsidRDefault="002B4F4B" w:rsidP="002B4F4B">
            <w:pPr>
              <w:pBdr>
                <w:top w:val="nil"/>
                <w:left w:val="nil"/>
                <w:bottom w:val="nil"/>
                <w:right w:val="nil"/>
                <w:between w:val="nil"/>
              </w:pBdr>
              <w:spacing w:before="0" w:after="0"/>
            </w:pPr>
            <w:r w:rsidRPr="002B4F4B">
              <w:t>2</w:t>
            </w:r>
          </w:p>
        </w:tc>
        <w:tc>
          <w:tcPr>
            <w:tcW w:w="1561" w:type="dxa"/>
          </w:tcPr>
          <w:p w14:paraId="08F7321F" w14:textId="77777777" w:rsidR="002B4F4B" w:rsidRPr="002B4F4B" w:rsidRDefault="002B4F4B" w:rsidP="002B4F4B">
            <w:pPr>
              <w:pBdr>
                <w:top w:val="nil"/>
                <w:left w:val="nil"/>
                <w:bottom w:val="nil"/>
                <w:right w:val="nil"/>
                <w:between w:val="nil"/>
              </w:pBdr>
              <w:spacing w:before="0" w:after="0"/>
            </w:pPr>
            <w:r w:rsidRPr="002B4F4B">
              <w:t>2</w:t>
            </w:r>
          </w:p>
        </w:tc>
      </w:tr>
      <w:tr w:rsidR="002B4F4B" w14:paraId="7BBC4DDF" w14:textId="77777777" w:rsidTr="00417E27">
        <w:trPr>
          <w:trHeight w:val="57"/>
        </w:trPr>
        <w:tc>
          <w:tcPr>
            <w:tcW w:w="2928" w:type="dxa"/>
          </w:tcPr>
          <w:p w14:paraId="5A726ABF" w14:textId="77777777" w:rsidR="002B4F4B" w:rsidRPr="002B4F4B" w:rsidRDefault="002B4F4B" w:rsidP="002B4F4B">
            <w:pPr>
              <w:pBdr>
                <w:top w:val="nil"/>
                <w:left w:val="nil"/>
                <w:bottom w:val="nil"/>
                <w:right w:val="nil"/>
                <w:between w:val="nil"/>
              </w:pBdr>
              <w:spacing w:before="0" w:after="0"/>
            </w:pPr>
            <w:r w:rsidRPr="002B4F4B">
              <w:t>Occupation</w:t>
            </w:r>
          </w:p>
        </w:tc>
        <w:tc>
          <w:tcPr>
            <w:tcW w:w="1623" w:type="dxa"/>
          </w:tcPr>
          <w:p w14:paraId="727606C3" w14:textId="77777777" w:rsidR="002B4F4B" w:rsidRPr="002B4F4B" w:rsidRDefault="002B4F4B" w:rsidP="002B4F4B">
            <w:pPr>
              <w:pBdr>
                <w:top w:val="nil"/>
                <w:left w:val="nil"/>
                <w:bottom w:val="nil"/>
                <w:right w:val="nil"/>
                <w:between w:val="nil"/>
              </w:pBdr>
              <w:spacing w:before="0" w:after="0"/>
            </w:pPr>
          </w:p>
        </w:tc>
        <w:tc>
          <w:tcPr>
            <w:tcW w:w="1624" w:type="dxa"/>
          </w:tcPr>
          <w:p w14:paraId="34EE5DD4" w14:textId="77777777" w:rsidR="002B4F4B" w:rsidRPr="002B4F4B" w:rsidRDefault="002B4F4B" w:rsidP="002B4F4B">
            <w:pPr>
              <w:pBdr>
                <w:top w:val="nil"/>
                <w:left w:val="nil"/>
                <w:bottom w:val="nil"/>
                <w:right w:val="nil"/>
                <w:between w:val="nil"/>
              </w:pBdr>
              <w:spacing w:before="0" w:after="0"/>
            </w:pPr>
          </w:p>
        </w:tc>
        <w:tc>
          <w:tcPr>
            <w:tcW w:w="1624" w:type="dxa"/>
          </w:tcPr>
          <w:p w14:paraId="37925293" w14:textId="77777777" w:rsidR="002B4F4B" w:rsidRPr="002B4F4B" w:rsidRDefault="002B4F4B" w:rsidP="002B4F4B">
            <w:pPr>
              <w:pBdr>
                <w:top w:val="nil"/>
                <w:left w:val="nil"/>
                <w:bottom w:val="nil"/>
                <w:right w:val="nil"/>
                <w:between w:val="nil"/>
              </w:pBdr>
              <w:spacing w:before="0" w:after="0"/>
            </w:pPr>
          </w:p>
        </w:tc>
        <w:tc>
          <w:tcPr>
            <w:tcW w:w="1561" w:type="dxa"/>
          </w:tcPr>
          <w:p w14:paraId="0376B2F7" w14:textId="77777777" w:rsidR="002B4F4B" w:rsidRPr="002B4F4B" w:rsidRDefault="002B4F4B" w:rsidP="002B4F4B">
            <w:pPr>
              <w:pBdr>
                <w:top w:val="nil"/>
                <w:left w:val="nil"/>
                <w:bottom w:val="nil"/>
                <w:right w:val="nil"/>
                <w:between w:val="nil"/>
              </w:pBdr>
              <w:spacing w:before="0" w:after="0"/>
            </w:pPr>
          </w:p>
        </w:tc>
      </w:tr>
      <w:tr w:rsidR="002B4F4B" w14:paraId="2E8A54E6" w14:textId="77777777" w:rsidTr="00417E27">
        <w:trPr>
          <w:trHeight w:val="57"/>
        </w:trPr>
        <w:tc>
          <w:tcPr>
            <w:tcW w:w="2928" w:type="dxa"/>
          </w:tcPr>
          <w:p w14:paraId="0204614C" w14:textId="77777777" w:rsidR="002B4F4B" w:rsidRPr="002B4F4B" w:rsidRDefault="002B4F4B" w:rsidP="002B4F4B">
            <w:pPr>
              <w:pBdr>
                <w:top w:val="nil"/>
                <w:left w:val="nil"/>
                <w:bottom w:val="nil"/>
                <w:right w:val="nil"/>
                <w:between w:val="nil"/>
              </w:pBdr>
              <w:spacing w:before="0" w:after="0"/>
            </w:pPr>
            <w:r w:rsidRPr="002B4F4B">
              <w:t xml:space="preserve">    Data Analyst</w:t>
            </w:r>
          </w:p>
        </w:tc>
        <w:tc>
          <w:tcPr>
            <w:tcW w:w="1623" w:type="dxa"/>
          </w:tcPr>
          <w:p w14:paraId="7D1548B1" w14:textId="77777777" w:rsidR="002B4F4B" w:rsidRPr="002B4F4B" w:rsidRDefault="002B4F4B" w:rsidP="002B4F4B">
            <w:pPr>
              <w:pBdr>
                <w:top w:val="nil"/>
                <w:left w:val="nil"/>
                <w:bottom w:val="nil"/>
                <w:right w:val="nil"/>
                <w:between w:val="nil"/>
              </w:pBdr>
              <w:spacing w:before="0" w:after="0"/>
            </w:pPr>
            <w:r w:rsidRPr="002B4F4B">
              <w:t>7</w:t>
            </w:r>
          </w:p>
        </w:tc>
        <w:tc>
          <w:tcPr>
            <w:tcW w:w="1624" w:type="dxa"/>
          </w:tcPr>
          <w:p w14:paraId="3492B553" w14:textId="77777777" w:rsidR="002B4F4B" w:rsidRPr="002B4F4B" w:rsidRDefault="002B4F4B" w:rsidP="002B4F4B">
            <w:pPr>
              <w:pBdr>
                <w:top w:val="nil"/>
                <w:left w:val="nil"/>
                <w:bottom w:val="nil"/>
                <w:right w:val="nil"/>
                <w:between w:val="nil"/>
              </w:pBdr>
              <w:spacing w:before="0" w:after="0"/>
            </w:pPr>
            <w:r w:rsidRPr="002B4F4B">
              <w:t>5</w:t>
            </w:r>
          </w:p>
        </w:tc>
        <w:tc>
          <w:tcPr>
            <w:tcW w:w="1624" w:type="dxa"/>
          </w:tcPr>
          <w:p w14:paraId="7B4307D7" w14:textId="77777777" w:rsidR="002B4F4B" w:rsidRPr="002B4F4B" w:rsidRDefault="002B4F4B" w:rsidP="002B4F4B">
            <w:pPr>
              <w:pBdr>
                <w:top w:val="nil"/>
                <w:left w:val="nil"/>
                <w:bottom w:val="nil"/>
                <w:right w:val="nil"/>
                <w:between w:val="nil"/>
              </w:pBdr>
              <w:spacing w:before="0" w:after="0"/>
            </w:pPr>
            <w:r w:rsidRPr="002B4F4B">
              <w:t>4</w:t>
            </w:r>
          </w:p>
        </w:tc>
        <w:tc>
          <w:tcPr>
            <w:tcW w:w="1561" w:type="dxa"/>
          </w:tcPr>
          <w:p w14:paraId="5590C960" w14:textId="77777777" w:rsidR="002B4F4B" w:rsidRPr="002B4F4B" w:rsidRDefault="002B4F4B" w:rsidP="002B4F4B">
            <w:pPr>
              <w:pBdr>
                <w:top w:val="nil"/>
                <w:left w:val="nil"/>
                <w:bottom w:val="nil"/>
                <w:right w:val="nil"/>
                <w:between w:val="nil"/>
              </w:pBdr>
              <w:spacing w:before="0" w:after="0"/>
            </w:pPr>
            <w:r w:rsidRPr="002B4F4B">
              <w:t>2</w:t>
            </w:r>
          </w:p>
        </w:tc>
      </w:tr>
      <w:tr w:rsidR="002B4F4B" w14:paraId="198B4AA9" w14:textId="77777777" w:rsidTr="00417E27">
        <w:trPr>
          <w:trHeight w:val="57"/>
        </w:trPr>
        <w:tc>
          <w:tcPr>
            <w:tcW w:w="2928" w:type="dxa"/>
          </w:tcPr>
          <w:p w14:paraId="0BE7BA0C" w14:textId="77777777" w:rsidR="002B4F4B" w:rsidRPr="002B4F4B" w:rsidRDefault="002B4F4B" w:rsidP="002B4F4B">
            <w:pPr>
              <w:pBdr>
                <w:top w:val="nil"/>
                <w:left w:val="nil"/>
                <w:bottom w:val="nil"/>
                <w:right w:val="nil"/>
                <w:between w:val="nil"/>
              </w:pBdr>
              <w:spacing w:before="0" w:after="0"/>
            </w:pPr>
            <w:r w:rsidRPr="002B4F4B">
              <w:t xml:space="preserve">    Policy Maker</w:t>
            </w:r>
          </w:p>
        </w:tc>
        <w:tc>
          <w:tcPr>
            <w:tcW w:w="1623" w:type="dxa"/>
          </w:tcPr>
          <w:p w14:paraId="53D92491" w14:textId="77777777" w:rsidR="002B4F4B" w:rsidRPr="002B4F4B" w:rsidRDefault="002B4F4B" w:rsidP="002B4F4B">
            <w:pPr>
              <w:pBdr>
                <w:top w:val="nil"/>
                <w:left w:val="nil"/>
                <w:bottom w:val="nil"/>
                <w:right w:val="nil"/>
                <w:between w:val="nil"/>
              </w:pBdr>
              <w:spacing w:before="0" w:after="0"/>
            </w:pPr>
            <w:r w:rsidRPr="002B4F4B">
              <w:t>5</w:t>
            </w:r>
          </w:p>
        </w:tc>
        <w:tc>
          <w:tcPr>
            <w:tcW w:w="1624" w:type="dxa"/>
          </w:tcPr>
          <w:p w14:paraId="4C5CB015" w14:textId="77777777" w:rsidR="002B4F4B" w:rsidRPr="002B4F4B" w:rsidRDefault="002B4F4B" w:rsidP="002B4F4B">
            <w:pPr>
              <w:pBdr>
                <w:top w:val="nil"/>
                <w:left w:val="nil"/>
                <w:bottom w:val="nil"/>
                <w:right w:val="nil"/>
                <w:between w:val="nil"/>
              </w:pBdr>
              <w:spacing w:before="0" w:after="0"/>
            </w:pPr>
            <w:r w:rsidRPr="002B4F4B">
              <w:t>0</w:t>
            </w:r>
          </w:p>
        </w:tc>
        <w:tc>
          <w:tcPr>
            <w:tcW w:w="1624" w:type="dxa"/>
          </w:tcPr>
          <w:p w14:paraId="1ADBF491" w14:textId="77777777" w:rsidR="002B4F4B" w:rsidRPr="002B4F4B" w:rsidRDefault="002B4F4B" w:rsidP="002B4F4B">
            <w:pPr>
              <w:pBdr>
                <w:top w:val="nil"/>
                <w:left w:val="nil"/>
                <w:bottom w:val="nil"/>
                <w:right w:val="nil"/>
                <w:between w:val="nil"/>
              </w:pBdr>
              <w:spacing w:before="0" w:after="0"/>
            </w:pPr>
            <w:r w:rsidRPr="002B4F4B">
              <w:t>3</w:t>
            </w:r>
          </w:p>
        </w:tc>
        <w:tc>
          <w:tcPr>
            <w:tcW w:w="1561" w:type="dxa"/>
          </w:tcPr>
          <w:p w14:paraId="0342177A" w14:textId="77777777" w:rsidR="002B4F4B" w:rsidRPr="002B4F4B" w:rsidRDefault="002B4F4B" w:rsidP="002B4F4B">
            <w:pPr>
              <w:pBdr>
                <w:top w:val="nil"/>
                <w:left w:val="nil"/>
                <w:bottom w:val="nil"/>
                <w:right w:val="nil"/>
                <w:between w:val="nil"/>
              </w:pBdr>
              <w:spacing w:before="0" w:after="0"/>
            </w:pPr>
            <w:r w:rsidRPr="002B4F4B">
              <w:t>1</w:t>
            </w:r>
          </w:p>
        </w:tc>
      </w:tr>
    </w:tbl>
    <w:p w14:paraId="6AA1C146" w14:textId="77777777" w:rsidR="002B4F4B" w:rsidRDefault="002B4F4B" w:rsidP="005F3154">
      <w:pPr>
        <w:spacing w:before="0"/>
      </w:pPr>
    </w:p>
    <w:p w14:paraId="5BC564CD" w14:textId="77777777" w:rsidR="00E342A0" w:rsidRDefault="00E342A0" w:rsidP="00903152">
      <w:pPr>
        <w:spacing w:before="0"/>
      </w:pPr>
    </w:p>
    <w:p w14:paraId="5953BB1C" w14:textId="77777777" w:rsidR="00E342A0" w:rsidRDefault="00E342A0" w:rsidP="00903152">
      <w:pPr>
        <w:spacing w:before="0"/>
      </w:pPr>
    </w:p>
    <w:p w14:paraId="7129AFE1" w14:textId="77777777" w:rsidR="00E342A0" w:rsidRDefault="00E342A0" w:rsidP="00903152">
      <w:pPr>
        <w:spacing w:before="0"/>
      </w:pPr>
    </w:p>
    <w:p w14:paraId="11070C58" w14:textId="77777777" w:rsidR="001E7189" w:rsidRDefault="001E7189">
      <w:pPr>
        <w:spacing w:before="0" w:after="200" w:line="276" w:lineRule="auto"/>
      </w:pPr>
      <w:r>
        <w:br w:type="page"/>
      </w:r>
    </w:p>
    <w:p w14:paraId="7B65BC41" w14:textId="7DDFE2A7" w:rsidR="00DE23E8" w:rsidRDefault="003D1B4C" w:rsidP="00903152">
      <w:pPr>
        <w:spacing w:before="0"/>
      </w:pPr>
      <w:r>
        <w:lastRenderedPageBreak/>
        <w:t>Table 2.</w:t>
      </w:r>
      <w:r w:rsidR="005F3154">
        <w:t>2</w:t>
      </w:r>
      <w:r w:rsidR="002C6557">
        <w:t xml:space="preserve"> Key Performance Indicators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185"/>
        <w:gridCol w:w="3195"/>
        <w:gridCol w:w="4485"/>
      </w:tblGrid>
      <w:tr w:rsidR="003D1B4C" w14:paraId="4456F86C" w14:textId="77777777" w:rsidTr="00B434CC">
        <w:trPr>
          <w:trHeight w:val="424"/>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00D99"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Pilot</w:t>
            </w:r>
          </w:p>
        </w:tc>
        <w:tc>
          <w:tcPr>
            <w:tcW w:w="3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568405"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Updated KPI</w:t>
            </w:r>
          </w:p>
        </w:tc>
        <w:tc>
          <w:tcPr>
            <w:tcW w:w="4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137AB3"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MIDAS Platform data and components to meet the KPIs</w:t>
            </w:r>
          </w:p>
        </w:tc>
      </w:tr>
      <w:tr w:rsidR="003D1B4C" w14:paraId="52949696" w14:textId="77777777" w:rsidTr="00B434CC">
        <w:trPr>
          <w:trHeight w:val="3360"/>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852771"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Basque</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2A46FC95"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To provide and clearly identify both crude and adjusted rates.</w:t>
            </w:r>
          </w:p>
          <w:p w14:paraId="4EAE469E" w14:textId="77777777" w:rsidR="007E00E7" w:rsidRDefault="007E00E7" w:rsidP="00B434CC">
            <w:pPr>
              <w:spacing w:before="0" w:after="0"/>
              <w:jc w:val="both"/>
              <w:rPr>
                <w:rFonts w:eastAsia="Times New Roman" w:cs="Times New Roman"/>
                <w:szCs w:val="24"/>
                <w:lang w:val="en-GB" w:eastAsia="en-GB"/>
              </w:rPr>
            </w:pPr>
          </w:p>
          <w:p w14:paraId="70E24A2B" w14:textId="77777777" w:rsidR="00C00793" w:rsidRDefault="00C00793" w:rsidP="00B434CC">
            <w:pPr>
              <w:spacing w:before="0" w:after="0"/>
              <w:jc w:val="both"/>
              <w:rPr>
                <w:rFonts w:eastAsia="Times New Roman" w:cs="Times New Roman"/>
                <w:szCs w:val="24"/>
                <w:lang w:val="en-GB" w:eastAsia="en-GB"/>
              </w:rPr>
            </w:pPr>
          </w:p>
          <w:p w14:paraId="0054B481" w14:textId="78D079EC"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2: To provide information at different granularity levels, adequate for each stakeholder.</w:t>
            </w:r>
          </w:p>
          <w:p w14:paraId="7F591BCF" w14:textId="77777777" w:rsidR="00C00793" w:rsidRDefault="00C00793" w:rsidP="00B434CC">
            <w:pPr>
              <w:spacing w:before="0" w:after="0"/>
              <w:jc w:val="both"/>
              <w:rPr>
                <w:rFonts w:eastAsia="Times New Roman" w:cs="Times New Roman"/>
                <w:szCs w:val="24"/>
                <w:lang w:val="en-GB" w:eastAsia="en-GB"/>
              </w:rPr>
            </w:pPr>
          </w:p>
          <w:p w14:paraId="4C9D5A35" w14:textId="3E1D2675"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3: To cover time, place, and person analysis for epidemiological studies</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4B9A7693"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These were calculated by cross-filtering tool as new diabetes cases adjusted rates per age, sex, region, area &amp; registration year.</w:t>
            </w:r>
          </w:p>
          <w:p w14:paraId="5971AB96" w14:textId="77777777" w:rsidR="00C00793" w:rsidRDefault="00C00793" w:rsidP="00B434CC">
            <w:pPr>
              <w:spacing w:before="0" w:after="0"/>
              <w:jc w:val="both"/>
              <w:rPr>
                <w:rFonts w:eastAsia="Times New Roman" w:cs="Times New Roman"/>
                <w:szCs w:val="24"/>
                <w:lang w:val="en-GB" w:eastAsia="en-GB"/>
              </w:rPr>
            </w:pPr>
          </w:p>
          <w:p w14:paraId="7FC3CD06" w14:textId="718A15C2"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2: Basque cross-filtering tool user interface was developed to answer this. OSI (trust) and UAP (primary care unit) level.</w:t>
            </w:r>
          </w:p>
          <w:p w14:paraId="6DD723EC" w14:textId="77777777" w:rsidR="00C00793" w:rsidRDefault="00C00793" w:rsidP="00B434CC">
            <w:pPr>
              <w:spacing w:before="0" w:after="0"/>
              <w:jc w:val="both"/>
              <w:rPr>
                <w:rFonts w:eastAsia="Times New Roman" w:cs="Times New Roman"/>
                <w:szCs w:val="24"/>
                <w:lang w:val="en-GB" w:eastAsia="en-GB"/>
              </w:rPr>
            </w:pPr>
          </w:p>
          <w:p w14:paraId="159D6767" w14:textId="188CD514"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3: Also this is covered by Basque cross-filtering tool with gender and age filters (person dimension) over different years (time dimension) and for two different granularity level health area distributions (place dimension)</w:t>
            </w:r>
          </w:p>
        </w:tc>
      </w:tr>
      <w:tr w:rsidR="003D1B4C" w14:paraId="481E267D" w14:textId="77777777" w:rsidTr="00B434CC">
        <w:trPr>
          <w:trHeight w:val="5854"/>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1CCDD"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Finland</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27FD01FE" w14:textId="77777777" w:rsidR="003D1B4C" w:rsidRPr="00C00793" w:rsidRDefault="003D1B4C" w:rsidP="00B434CC">
            <w:pPr>
              <w:spacing w:before="0" w:after="0"/>
              <w:jc w:val="both"/>
              <w:rPr>
                <w:rFonts w:eastAsia="Times New Roman" w:cs="Times New Roman"/>
                <w:i/>
                <w:iCs/>
                <w:szCs w:val="24"/>
                <w:lang w:val="en-GB" w:eastAsia="en-GB"/>
              </w:rPr>
            </w:pPr>
            <w:r w:rsidRPr="00C00793">
              <w:rPr>
                <w:rFonts w:eastAsia="Times New Roman" w:cs="Times New Roman"/>
                <w:i/>
                <w:iCs/>
                <w:szCs w:val="24"/>
                <w:lang w:val="en-GB" w:eastAsia="en-GB"/>
              </w:rPr>
              <w:t>National level:</w:t>
            </w:r>
          </w:p>
          <w:p w14:paraId="30424098" w14:textId="43ABA091"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Support understanding and managing the challenges of mental health issues with young people.</w:t>
            </w:r>
          </w:p>
          <w:p w14:paraId="2A3BA48F" w14:textId="77777777" w:rsidR="00C00793" w:rsidRPr="003D1B4C" w:rsidRDefault="00C00793" w:rsidP="00B434CC">
            <w:pPr>
              <w:spacing w:before="0" w:after="0"/>
              <w:jc w:val="both"/>
              <w:rPr>
                <w:rFonts w:eastAsia="Times New Roman" w:cs="Times New Roman"/>
                <w:szCs w:val="24"/>
                <w:lang w:val="en-GB" w:eastAsia="en-GB"/>
              </w:rPr>
            </w:pPr>
          </w:p>
          <w:p w14:paraId="78B4E075" w14:textId="4D24B92C"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2: Enable analysis of the available datasets to identify the leverage points in effective preventative measures.</w:t>
            </w:r>
          </w:p>
          <w:p w14:paraId="14E0A1CE" w14:textId="77777777" w:rsidR="00C00793" w:rsidRPr="003D1B4C" w:rsidRDefault="00C00793" w:rsidP="00B434CC">
            <w:pPr>
              <w:spacing w:before="0" w:after="0"/>
              <w:jc w:val="both"/>
              <w:rPr>
                <w:rFonts w:eastAsia="Times New Roman" w:cs="Times New Roman"/>
                <w:szCs w:val="24"/>
                <w:lang w:val="en-GB" w:eastAsia="en-GB"/>
              </w:rPr>
            </w:pPr>
          </w:p>
          <w:p w14:paraId="4E13CF28"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3: Enable the use of visual analytics to assess the impact of different factors and indicators for policy decisions.</w:t>
            </w:r>
          </w:p>
          <w:p w14:paraId="68FF05AC"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 xml:space="preserve"> </w:t>
            </w:r>
          </w:p>
          <w:p w14:paraId="1A899704" w14:textId="77777777" w:rsidR="003D1B4C" w:rsidRPr="00C00793" w:rsidRDefault="003D1B4C" w:rsidP="00B434CC">
            <w:pPr>
              <w:spacing w:before="0" w:after="0"/>
              <w:jc w:val="both"/>
              <w:rPr>
                <w:rFonts w:eastAsia="Times New Roman" w:cs="Times New Roman"/>
                <w:i/>
                <w:iCs/>
                <w:szCs w:val="24"/>
                <w:lang w:val="en-GB" w:eastAsia="en-GB"/>
              </w:rPr>
            </w:pPr>
            <w:r w:rsidRPr="00C00793">
              <w:rPr>
                <w:rFonts w:eastAsia="Times New Roman" w:cs="Times New Roman"/>
                <w:i/>
                <w:iCs/>
                <w:szCs w:val="24"/>
                <w:lang w:val="en-GB" w:eastAsia="en-GB"/>
              </w:rPr>
              <w:t>Regional level (City of Oulu):</w:t>
            </w:r>
          </w:p>
          <w:p w14:paraId="2B732DC6"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4: Enable city data and open data evaluations from various sources in social and healthcare units in the stakeholder organizations to support population and area comparisons for preventive policy making.</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7CAFDD0B" w14:textId="77777777" w:rsidR="003D1B4C" w:rsidRPr="00C00793" w:rsidRDefault="003D1B4C" w:rsidP="00B434CC">
            <w:pPr>
              <w:spacing w:before="0" w:after="0"/>
              <w:jc w:val="both"/>
              <w:rPr>
                <w:rFonts w:eastAsia="Times New Roman" w:cs="Times New Roman"/>
                <w:i/>
                <w:iCs/>
                <w:szCs w:val="24"/>
                <w:lang w:val="en-GB" w:eastAsia="en-GB"/>
              </w:rPr>
            </w:pPr>
            <w:r w:rsidRPr="00C00793">
              <w:rPr>
                <w:rFonts w:eastAsia="Times New Roman" w:cs="Times New Roman"/>
                <w:i/>
                <w:iCs/>
                <w:szCs w:val="24"/>
                <w:lang w:val="en-GB" w:eastAsia="en-GB"/>
              </w:rPr>
              <w:t>National level:</w:t>
            </w:r>
          </w:p>
          <w:p w14:paraId="01BFE038" w14:textId="77777777" w:rsidR="003D1B4C" w:rsidRPr="003D1B4C" w:rsidRDefault="003D1B4C" w:rsidP="00B434CC">
            <w:pPr>
              <w:spacing w:before="0" w:after="0"/>
              <w:ind w:right="-80"/>
              <w:jc w:val="both"/>
              <w:rPr>
                <w:rFonts w:eastAsia="Times New Roman" w:cs="Times New Roman"/>
                <w:szCs w:val="24"/>
                <w:lang w:val="en-GB" w:eastAsia="en-GB"/>
              </w:rPr>
            </w:pPr>
            <w:r w:rsidRPr="003D1B4C">
              <w:rPr>
                <w:rFonts w:eastAsia="Times New Roman" w:cs="Times New Roman"/>
                <w:szCs w:val="24"/>
                <w:lang w:val="en-GB" w:eastAsia="en-GB"/>
              </w:rPr>
              <w:t>KPI 1: Main contribution is given by the cross-filtering tool for Lexis analysis results.</w:t>
            </w:r>
          </w:p>
          <w:p w14:paraId="424DF04E" w14:textId="08AC26FE" w:rsidR="00C00793" w:rsidRDefault="00C00793" w:rsidP="00B434CC">
            <w:pPr>
              <w:spacing w:before="0" w:after="0"/>
              <w:ind w:right="-80"/>
              <w:jc w:val="both"/>
              <w:rPr>
                <w:rFonts w:eastAsia="Times New Roman" w:cs="Times New Roman"/>
                <w:szCs w:val="24"/>
                <w:lang w:val="en-GB" w:eastAsia="en-GB"/>
              </w:rPr>
            </w:pPr>
          </w:p>
          <w:p w14:paraId="4F6098DE" w14:textId="77777777" w:rsidR="00C00793" w:rsidRDefault="00C00793" w:rsidP="00B434CC">
            <w:pPr>
              <w:spacing w:before="0" w:after="0"/>
              <w:ind w:right="-80"/>
              <w:jc w:val="both"/>
              <w:rPr>
                <w:rFonts w:eastAsia="Times New Roman" w:cs="Times New Roman"/>
                <w:szCs w:val="24"/>
                <w:lang w:val="en-GB" w:eastAsia="en-GB"/>
              </w:rPr>
            </w:pPr>
          </w:p>
          <w:p w14:paraId="4000ABD9" w14:textId="77777777" w:rsidR="00C00793" w:rsidRDefault="00C00793" w:rsidP="00B434CC">
            <w:pPr>
              <w:spacing w:before="0" w:after="0"/>
              <w:ind w:right="-80"/>
              <w:jc w:val="both"/>
              <w:rPr>
                <w:rFonts w:eastAsia="Times New Roman" w:cs="Times New Roman"/>
                <w:szCs w:val="24"/>
                <w:lang w:val="en-GB" w:eastAsia="en-GB"/>
              </w:rPr>
            </w:pPr>
          </w:p>
          <w:p w14:paraId="39096324" w14:textId="4308B47B" w:rsidR="003D1B4C" w:rsidRPr="003D1B4C" w:rsidRDefault="003D1B4C" w:rsidP="00B434CC">
            <w:pPr>
              <w:spacing w:before="0" w:after="0"/>
              <w:ind w:right="-80"/>
              <w:jc w:val="both"/>
              <w:rPr>
                <w:rFonts w:eastAsia="Times New Roman" w:cs="Times New Roman"/>
                <w:szCs w:val="24"/>
                <w:lang w:val="en-GB" w:eastAsia="en-GB"/>
              </w:rPr>
            </w:pPr>
            <w:r w:rsidRPr="003D1B4C">
              <w:rPr>
                <w:rFonts w:eastAsia="Times New Roman" w:cs="Times New Roman"/>
                <w:szCs w:val="24"/>
                <w:lang w:val="en-GB" w:eastAsia="en-GB"/>
              </w:rPr>
              <w:t>KPI 2: The system dynamic model developed for the national level research question and procedure to create the model</w:t>
            </w:r>
          </w:p>
          <w:p w14:paraId="0B3B3713" w14:textId="47D55823" w:rsidR="00C00793" w:rsidRDefault="00C00793" w:rsidP="00B434CC">
            <w:pPr>
              <w:spacing w:before="0" w:after="0"/>
              <w:ind w:right="-80"/>
              <w:jc w:val="both"/>
              <w:rPr>
                <w:rFonts w:eastAsia="Times New Roman" w:cs="Times New Roman"/>
                <w:szCs w:val="24"/>
                <w:lang w:val="en-GB" w:eastAsia="en-GB"/>
              </w:rPr>
            </w:pPr>
          </w:p>
          <w:p w14:paraId="5EA3083C" w14:textId="77777777" w:rsidR="00C00793" w:rsidRDefault="00C00793" w:rsidP="00B434CC">
            <w:pPr>
              <w:spacing w:before="0" w:after="0"/>
              <w:ind w:right="-80"/>
              <w:jc w:val="both"/>
              <w:rPr>
                <w:rFonts w:eastAsia="Times New Roman" w:cs="Times New Roman"/>
                <w:szCs w:val="24"/>
                <w:lang w:val="en-GB" w:eastAsia="en-GB"/>
              </w:rPr>
            </w:pPr>
          </w:p>
          <w:p w14:paraId="382D28A8" w14:textId="74CD8383" w:rsidR="003D1B4C" w:rsidRPr="003D1B4C" w:rsidRDefault="003D1B4C" w:rsidP="00B434CC">
            <w:pPr>
              <w:spacing w:before="0" w:after="0"/>
              <w:ind w:right="-80"/>
              <w:jc w:val="both"/>
              <w:rPr>
                <w:rFonts w:eastAsia="Times New Roman" w:cs="Times New Roman"/>
                <w:szCs w:val="24"/>
                <w:lang w:val="en-GB" w:eastAsia="en-GB"/>
              </w:rPr>
            </w:pPr>
            <w:r w:rsidRPr="003D1B4C">
              <w:rPr>
                <w:rFonts w:eastAsia="Times New Roman" w:cs="Times New Roman"/>
                <w:szCs w:val="24"/>
                <w:lang w:val="en-GB" w:eastAsia="en-GB"/>
              </w:rPr>
              <w:t>KPI 3: Lexis analytics related single Lexis result visualizations on Dashboard and simulator interface of system dynamic model</w:t>
            </w:r>
          </w:p>
          <w:p w14:paraId="377D97F0" w14:textId="77777777" w:rsidR="003D1B4C" w:rsidRPr="003D1B4C" w:rsidRDefault="003D1B4C" w:rsidP="00B434CC">
            <w:pPr>
              <w:spacing w:before="0" w:after="0"/>
              <w:ind w:right="-80"/>
              <w:jc w:val="both"/>
              <w:rPr>
                <w:rFonts w:eastAsia="Times New Roman" w:cs="Times New Roman"/>
                <w:szCs w:val="24"/>
                <w:lang w:val="en-GB" w:eastAsia="en-GB"/>
              </w:rPr>
            </w:pPr>
            <w:r w:rsidRPr="003D1B4C">
              <w:rPr>
                <w:rFonts w:eastAsia="Times New Roman" w:cs="Times New Roman"/>
                <w:szCs w:val="24"/>
                <w:lang w:val="en-GB" w:eastAsia="en-GB"/>
              </w:rPr>
              <w:t xml:space="preserve"> </w:t>
            </w:r>
          </w:p>
          <w:p w14:paraId="368A8104" w14:textId="77777777" w:rsidR="00C00793" w:rsidRDefault="00C00793" w:rsidP="00B434CC">
            <w:pPr>
              <w:spacing w:before="0" w:after="0"/>
              <w:jc w:val="both"/>
              <w:rPr>
                <w:rFonts w:eastAsia="Times New Roman" w:cs="Times New Roman"/>
                <w:szCs w:val="24"/>
                <w:lang w:val="en-GB" w:eastAsia="en-GB"/>
              </w:rPr>
            </w:pPr>
          </w:p>
          <w:p w14:paraId="683AA308" w14:textId="4C7EC64E" w:rsidR="003D1B4C" w:rsidRPr="00C00793" w:rsidRDefault="003D1B4C" w:rsidP="00B434CC">
            <w:pPr>
              <w:spacing w:before="0" w:after="0"/>
              <w:jc w:val="both"/>
              <w:rPr>
                <w:rFonts w:eastAsia="Times New Roman" w:cs="Times New Roman"/>
                <w:i/>
                <w:iCs/>
                <w:szCs w:val="24"/>
                <w:lang w:val="en-GB" w:eastAsia="en-GB"/>
              </w:rPr>
            </w:pPr>
            <w:r w:rsidRPr="00C00793">
              <w:rPr>
                <w:rFonts w:eastAsia="Times New Roman" w:cs="Times New Roman"/>
                <w:i/>
                <w:iCs/>
                <w:szCs w:val="24"/>
                <w:lang w:val="en-GB" w:eastAsia="en-GB"/>
              </w:rPr>
              <w:t>Regional level (City of Oulu):</w:t>
            </w:r>
          </w:p>
          <w:p w14:paraId="2C8D69BC" w14:textId="77777777" w:rsidR="003D1B4C" w:rsidRPr="003D1B4C" w:rsidRDefault="003D1B4C" w:rsidP="00B434CC">
            <w:pPr>
              <w:spacing w:before="0" w:after="0"/>
              <w:ind w:right="-80"/>
              <w:jc w:val="both"/>
              <w:rPr>
                <w:rFonts w:eastAsia="Times New Roman" w:cs="Times New Roman"/>
                <w:szCs w:val="24"/>
                <w:lang w:val="en-GB" w:eastAsia="en-GB"/>
              </w:rPr>
            </w:pPr>
            <w:r w:rsidRPr="003D1B4C">
              <w:rPr>
                <w:rFonts w:eastAsia="Times New Roman" w:cs="Times New Roman"/>
                <w:szCs w:val="24"/>
                <w:lang w:val="en-GB" w:eastAsia="en-GB"/>
              </w:rPr>
              <w:t>KPI 4: City of Oulu level open data was collected to answer this question. The data is visualized with cross-filtering tool and single data visualizations options on MIDAS Dashboard. The young people's personal opinions from the Northern Finnish regions were covered by the NFBC dataset.</w:t>
            </w:r>
          </w:p>
        </w:tc>
      </w:tr>
      <w:tr w:rsidR="003D1B4C" w14:paraId="3A99F704" w14:textId="77777777" w:rsidTr="00B434CC">
        <w:trPr>
          <w:trHeight w:val="4578"/>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77768"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lastRenderedPageBreak/>
              <w:t>Northern Ireland</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46C9D22"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Analysis of the available datasets to identify effective preventative measures</w:t>
            </w:r>
          </w:p>
          <w:p w14:paraId="19AB8CFB" w14:textId="77777777" w:rsidR="007E00E7" w:rsidRDefault="007E00E7" w:rsidP="00B434CC">
            <w:pPr>
              <w:spacing w:before="0" w:after="0"/>
              <w:jc w:val="both"/>
              <w:rPr>
                <w:rFonts w:eastAsia="Times New Roman" w:cs="Times New Roman"/>
                <w:szCs w:val="24"/>
                <w:lang w:val="en-GB" w:eastAsia="en-GB"/>
              </w:rPr>
            </w:pPr>
          </w:p>
          <w:p w14:paraId="39A17B4E" w14:textId="77777777" w:rsidR="007E00E7" w:rsidRDefault="007E00E7" w:rsidP="00B434CC">
            <w:pPr>
              <w:spacing w:before="0" w:after="0"/>
              <w:jc w:val="both"/>
              <w:rPr>
                <w:rFonts w:eastAsia="Times New Roman" w:cs="Times New Roman"/>
                <w:szCs w:val="24"/>
                <w:lang w:val="en-GB" w:eastAsia="en-GB"/>
              </w:rPr>
            </w:pPr>
          </w:p>
          <w:p w14:paraId="51E49E1C" w14:textId="68EABF87" w:rsidR="007E00E7" w:rsidRDefault="007E00E7" w:rsidP="00B434CC">
            <w:pPr>
              <w:spacing w:before="0" w:after="0"/>
              <w:jc w:val="both"/>
              <w:rPr>
                <w:rFonts w:eastAsia="Times New Roman" w:cs="Times New Roman"/>
                <w:szCs w:val="24"/>
                <w:lang w:val="en-GB" w:eastAsia="en-GB"/>
              </w:rPr>
            </w:pPr>
          </w:p>
          <w:p w14:paraId="10C27E54" w14:textId="77777777" w:rsidR="00C00793" w:rsidRDefault="00C00793" w:rsidP="00B434CC">
            <w:pPr>
              <w:spacing w:before="0" w:after="0"/>
              <w:jc w:val="both"/>
              <w:rPr>
                <w:rFonts w:eastAsia="Times New Roman" w:cs="Times New Roman"/>
                <w:szCs w:val="24"/>
                <w:lang w:val="en-GB" w:eastAsia="en-GB"/>
              </w:rPr>
            </w:pPr>
          </w:p>
          <w:p w14:paraId="35D4FEB7" w14:textId="2F7FD79D"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 xml:space="preserve">KPI 2: A longitudinal analysis and track a cohort of Looked After Children as they move in and out of care, use a variety of health services, and look at patterns of </w:t>
            </w:r>
            <w:proofErr w:type="spellStart"/>
            <w:r w:rsidRPr="003D1B4C">
              <w:rPr>
                <w:rFonts w:eastAsia="Times New Roman" w:cs="Times New Roman"/>
                <w:szCs w:val="24"/>
                <w:lang w:val="en-GB" w:eastAsia="en-GB"/>
              </w:rPr>
              <w:t>behaviors</w:t>
            </w:r>
            <w:proofErr w:type="spellEnd"/>
            <w:r w:rsidRPr="003D1B4C">
              <w:rPr>
                <w:rFonts w:eastAsia="Times New Roman" w:cs="Times New Roman"/>
                <w:szCs w:val="24"/>
                <w:lang w:val="en-GB" w:eastAsia="en-GB"/>
              </w:rPr>
              <w:t xml:space="preserve"> and changes over time.</w:t>
            </w:r>
          </w:p>
          <w:p w14:paraId="567F7880" w14:textId="77777777" w:rsidR="00C00793" w:rsidRPr="003D1B4C" w:rsidRDefault="00C00793" w:rsidP="00B434CC">
            <w:pPr>
              <w:spacing w:before="0" w:after="0"/>
              <w:jc w:val="both"/>
              <w:rPr>
                <w:rFonts w:eastAsia="Times New Roman" w:cs="Times New Roman"/>
                <w:szCs w:val="24"/>
                <w:lang w:val="en-GB" w:eastAsia="en-GB"/>
              </w:rPr>
            </w:pPr>
          </w:p>
          <w:p w14:paraId="473C7265" w14:textId="24A78DDA"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3: The use of visual analytics to assess the impact of changing variables and indicators on policy decisions</w:t>
            </w:r>
          </w:p>
          <w:p w14:paraId="4AF9B4F8" w14:textId="77777777" w:rsidR="00C00793" w:rsidRPr="003D1B4C" w:rsidRDefault="00C00793" w:rsidP="00B434CC">
            <w:pPr>
              <w:spacing w:before="0" w:after="0"/>
              <w:jc w:val="both"/>
              <w:rPr>
                <w:rFonts w:eastAsia="Times New Roman" w:cs="Times New Roman"/>
                <w:szCs w:val="24"/>
                <w:lang w:val="en-GB" w:eastAsia="en-GB"/>
              </w:rPr>
            </w:pPr>
          </w:p>
          <w:p w14:paraId="74FD6434"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4: Harmonization and integration of multiple data sources</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37FA2517" w14:textId="67DE113D"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Done within data integration work. Data analytics include LSTM simulator that allows policymakers to identify children at high risk. Analytics for Department of Health (</w:t>
            </w:r>
            <w:proofErr w:type="spellStart"/>
            <w:r w:rsidRPr="003D1B4C">
              <w:rPr>
                <w:rFonts w:eastAsia="Times New Roman" w:cs="Times New Roman"/>
                <w:szCs w:val="24"/>
                <w:lang w:val="en-GB" w:eastAsia="en-GB"/>
              </w:rPr>
              <w:t>DoH</w:t>
            </w:r>
            <w:proofErr w:type="spellEnd"/>
            <w:r w:rsidRPr="003D1B4C">
              <w:rPr>
                <w:rFonts w:eastAsia="Times New Roman" w:cs="Times New Roman"/>
                <w:szCs w:val="24"/>
                <w:lang w:val="en-GB" w:eastAsia="en-GB"/>
              </w:rPr>
              <w:t>) allows exploring different subgroups of children per selected categories.</w:t>
            </w:r>
          </w:p>
          <w:p w14:paraId="4D484779" w14:textId="77777777" w:rsidR="00C00793" w:rsidRPr="003D1B4C" w:rsidRDefault="00C00793" w:rsidP="00B434CC">
            <w:pPr>
              <w:spacing w:before="0" w:after="0"/>
              <w:jc w:val="both"/>
              <w:rPr>
                <w:rFonts w:eastAsia="Times New Roman" w:cs="Times New Roman"/>
                <w:szCs w:val="24"/>
                <w:lang w:val="en-GB" w:eastAsia="en-GB"/>
              </w:rPr>
            </w:pPr>
          </w:p>
          <w:p w14:paraId="126DA31F"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 xml:space="preserve">KPI 2: Answered by pilot-specific analytics and related visualizations on MIDAS Dashboard: Markov Chain analysis, LSTM simulator and </w:t>
            </w:r>
            <w:proofErr w:type="spellStart"/>
            <w:r w:rsidRPr="003D1B4C">
              <w:rPr>
                <w:rFonts w:eastAsia="Times New Roman" w:cs="Times New Roman"/>
                <w:szCs w:val="24"/>
                <w:lang w:val="en-GB" w:eastAsia="en-GB"/>
              </w:rPr>
              <w:t>DoH</w:t>
            </w:r>
            <w:proofErr w:type="spellEnd"/>
            <w:r w:rsidRPr="003D1B4C">
              <w:rPr>
                <w:rFonts w:eastAsia="Times New Roman" w:cs="Times New Roman"/>
                <w:szCs w:val="24"/>
                <w:lang w:val="en-GB" w:eastAsia="en-GB"/>
              </w:rPr>
              <w:t xml:space="preserve"> analysis</w:t>
            </w:r>
          </w:p>
          <w:p w14:paraId="6E2FD125" w14:textId="77777777" w:rsidR="007E00E7" w:rsidRDefault="007E00E7" w:rsidP="00B434CC">
            <w:pPr>
              <w:spacing w:before="0" w:after="0"/>
              <w:jc w:val="both"/>
              <w:rPr>
                <w:rFonts w:eastAsia="Times New Roman" w:cs="Times New Roman"/>
                <w:szCs w:val="24"/>
                <w:lang w:val="en-GB" w:eastAsia="en-GB"/>
              </w:rPr>
            </w:pPr>
          </w:p>
          <w:p w14:paraId="6CCA383F" w14:textId="77777777" w:rsidR="007E00E7" w:rsidRDefault="007E00E7" w:rsidP="00B434CC">
            <w:pPr>
              <w:spacing w:before="0" w:after="0"/>
              <w:jc w:val="both"/>
              <w:rPr>
                <w:rFonts w:eastAsia="Times New Roman" w:cs="Times New Roman"/>
                <w:szCs w:val="24"/>
                <w:lang w:val="en-GB" w:eastAsia="en-GB"/>
              </w:rPr>
            </w:pPr>
          </w:p>
          <w:p w14:paraId="436EFC72" w14:textId="733EB7DD" w:rsidR="007E00E7" w:rsidRDefault="007E00E7" w:rsidP="00B434CC">
            <w:pPr>
              <w:spacing w:before="0" w:after="0"/>
              <w:jc w:val="both"/>
              <w:rPr>
                <w:rFonts w:eastAsia="Times New Roman" w:cs="Times New Roman"/>
                <w:szCs w:val="24"/>
                <w:lang w:val="en-GB" w:eastAsia="en-GB"/>
              </w:rPr>
            </w:pPr>
          </w:p>
          <w:p w14:paraId="482092AB" w14:textId="77777777" w:rsidR="00C00793" w:rsidRDefault="00C00793" w:rsidP="00B434CC">
            <w:pPr>
              <w:spacing w:before="0" w:after="0"/>
              <w:jc w:val="both"/>
              <w:rPr>
                <w:rFonts w:eastAsia="Times New Roman" w:cs="Times New Roman"/>
                <w:szCs w:val="24"/>
                <w:lang w:val="en-GB" w:eastAsia="en-GB"/>
              </w:rPr>
            </w:pPr>
          </w:p>
          <w:p w14:paraId="1317A5D8" w14:textId="24DCBDED"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3: Visualization of KPI2 results</w:t>
            </w:r>
          </w:p>
          <w:p w14:paraId="7406AD48" w14:textId="77777777" w:rsidR="007E00E7" w:rsidRDefault="007E00E7" w:rsidP="00B434CC">
            <w:pPr>
              <w:spacing w:before="0" w:after="0"/>
              <w:jc w:val="both"/>
              <w:rPr>
                <w:rFonts w:eastAsia="Times New Roman" w:cs="Times New Roman"/>
                <w:szCs w:val="24"/>
                <w:lang w:val="en-GB" w:eastAsia="en-GB"/>
              </w:rPr>
            </w:pPr>
          </w:p>
          <w:p w14:paraId="152D7813" w14:textId="77777777" w:rsidR="007E00E7" w:rsidRDefault="007E00E7" w:rsidP="00B434CC">
            <w:pPr>
              <w:spacing w:before="0" w:after="0"/>
              <w:jc w:val="both"/>
              <w:rPr>
                <w:rFonts w:eastAsia="Times New Roman" w:cs="Times New Roman"/>
                <w:szCs w:val="24"/>
                <w:lang w:val="en-GB" w:eastAsia="en-GB"/>
              </w:rPr>
            </w:pPr>
          </w:p>
          <w:p w14:paraId="7ACB7846" w14:textId="68A06096" w:rsidR="007E00E7" w:rsidRDefault="007E00E7" w:rsidP="00B434CC">
            <w:pPr>
              <w:spacing w:before="0" w:after="0"/>
              <w:jc w:val="both"/>
              <w:rPr>
                <w:rFonts w:eastAsia="Times New Roman" w:cs="Times New Roman"/>
                <w:szCs w:val="24"/>
                <w:lang w:val="en-GB" w:eastAsia="en-GB"/>
              </w:rPr>
            </w:pPr>
          </w:p>
          <w:p w14:paraId="6BA65A2B" w14:textId="77777777" w:rsidR="00C00793" w:rsidRDefault="00C00793" w:rsidP="00B434CC">
            <w:pPr>
              <w:spacing w:before="0" w:after="0"/>
              <w:jc w:val="both"/>
              <w:rPr>
                <w:rFonts w:eastAsia="Times New Roman" w:cs="Times New Roman"/>
                <w:szCs w:val="24"/>
                <w:lang w:val="en-GB" w:eastAsia="en-GB"/>
              </w:rPr>
            </w:pPr>
          </w:p>
          <w:p w14:paraId="0D42112F" w14:textId="0C64317E"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4: Done as a part of data integration work</w:t>
            </w:r>
          </w:p>
        </w:tc>
      </w:tr>
      <w:tr w:rsidR="003D1B4C" w14:paraId="4947D921" w14:textId="77777777" w:rsidTr="007150D4">
        <w:trPr>
          <w:trHeight w:val="20"/>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61E1C"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Republic of Ireland</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2DDE0DA" w14:textId="10751FA8"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The provision of an adoptable intelligent analytics platform for stakeholder use</w:t>
            </w:r>
          </w:p>
          <w:p w14:paraId="784C19EA" w14:textId="77777777" w:rsidR="00C00793" w:rsidRPr="003D1B4C" w:rsidRDefault="00C00793" w:rsidP="00B434CC">
            <w:pPr>
              <w:spacing w:before="0" w:after="0"/>
              <w:jc w:val="both"/>
              <w:rPr>
                <w:rFonts w:eastAsia="Times New Roman" w:cs="Times New Roman"/>
                <w:szCs w:val="24"/>
                <w:lang w:val="en-GB" w:eastAsia="en-GB"/>
              </w:rPr>
            </w:pPr>
          </w:p>
          <w:p w14:paraId="7507EC60" w14:textId="1A8B1474"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2: Identification of the cohort of persons with diabetes in the Republic of Ireland</w:t>
            </w:r>
          </w:p>
          <w:p w14:paraId="649C7616" w14:textId="77777777" w:rsidR="00C00793" w:rsidRPr="003D1B4C" w:rsidRDefault="00C00793" w:rsidP="00B434CC">
            <w:pPr>
              <w:spacing w:before="0" w:after="0"/>
              <w:jc w:val="both"/>
              <w:rPr>
                <w:rFonts w:eastAsia="Times New Roman" w:cs="Times New Roman"/>
                <w:szCs w:val="24"/>
                <w:lang w:val="en-GB" w:eastAsia="en-GB"/>
              </w:rPr>
            </w:pPr>
          </w:p>
          <w:p w14:paraId="4C040F44" w14:textId="46360E28"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 xml:space="preserve">KPI 3: Determining information shared to facilitate better use of resources and services for </w:t>
            </w:r>
            <w:r w:rsidR="007150D4">
              <w:rPr>
                <w:rFonts w:eastAsia="Times New Roman" w:cs="Times New Roman"/>
                <w:szCs w:val="24"/>
                <w:lang w:val="en-GB" w:eastAsia="en-GB"/>
              </w:rPr>
              <w:t xml:space="preserve">diabetic </w:t>
            </w:r>
            <w:r w:rsidRPr="003D1B4C">
              <w:rPr>
                <w:rFonts w:eastAsia="Times New Roman" w:cs="Times New Roman"/>
                <w:szCs w:val="24"/>
                <w:lang w:val="en-GB" w:eastAsia="en-GB"/>
              </w:rPr>
              <w:t xml:space="preserve">people </w:t>
            </w:r>
          </w:p>
          <w:p w14:paraId="6627BE61" w14:textId="77777777" w:rsidR="00C00793" w:rsidRPr="003D1B4C" w:rsidRDefault="00C00793" w:rsidP="00B434CC">
            <w:pPr>
              <w:spacing w:before="0" w:after="0"/>
              <w:jc w:val="both"/>
              <w:rPr>
                <w:rFonts w:eastAsia="Times New Roman" w:cs="Times New Roman"/>
                <w:szCs w:val="24"/>
                <w:lang w:val="en-GB" w:eastAsia="en-GB"/>
              </w:rPr>
            </w:pPr>
          </w:p>
          <w:p w14:paraId="52CA8F39" w14:textId="1DBF78BD"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4: Determining the best fit for diabetes services and their locations based on population based geographical needs</w:t>
            </w:r>
          </w:p>
          <w:p w14:paraId="5587BAE8" w14:textId="77777777" w:rsidR="00C00793" w:rsidRPr="003D1B4C" w:rsidRDefault="00C00793" w:rsidP="00B434CC">
            <w:pPr>
              <w:spacing w:before="0" w:after="0"/>
              <w:jc w:val="both"/>
              <w:rPr>
                <w:rFonts w:eastAsia="Times New Roman" w:cs="Times New Roman"/>
                <w:szCs w:val="24"/>
                <w:lang w:val="en-GB" w:eastAsia="en-GB"/>
              </w:rPr>
            </w:pPr>
          </w:p>
          <w:p w14:paraId="3FE570A6"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5: Identification of improved outcomes if certain ‘data insight’ based policies are implemented</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601F5C35"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1: MIDAS Platform integration on pilot environment</w:t>
            </w:r>
          </w:p>
          <w:p w14:paraId="3B7884B1" w14:textId="531A44BA" w:rsidR="007E00E7" w:rsidRDefault="007E00E7" w:rsidP="00B434CC">
            <w:pPr>
              <w:spacing w:before="0" w:after="0"/>
              <w:jc w:val="both"/>
              <w:rPr>
                <w:rFonts w:eastAsia="Times New Roman" w:cs="Times New Roman"/>
                <w:szCs w:val="24"/>
                <w:lang w:val="en-GB" w:eastAsia="en-GB"/>
              </w:rPr>
            </w:pPr>
          </w:p>
          <w:p w14:paraId="31CB635F" w14:textId="77777777" w:rsidR="00C00793" w:rsidRDefault="00C00793" w:rsidP="00B434CC">
            <w:pPr>
              <w:spacing w:before="0" w:after="0"/>
              <w:jc w:val="both"/>
              <w:rPr>
                <w:rFonts w:eastAsia="Times New Roman" w:cs="Times New Roman"/>
                <w:szCs w:val="24"/>
                <w:lang w:val="en-GB" w:eastAsia="en-GB"/>
              </w:rPr>
            </w:pPr>
          </w:p>
          <w:p w14:paraId="2E21372B" w14:textId="62AFF825" w:rsid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2: Dedicated tables and variables to identify these cohorts were created for the database</w:t>
            </w:r>
          </w:p>
          <w:p w14:paraId="13CF8BF8" w14:textId="77777777" w:rsidR="00C00793" w:rsidRPr="003D1B4C" w:rsidRDefault="00C00793" w:rsidP="00B434CC">
            <w:pPr>
              <w:spacing w:before="0" w:after="0"/>
              <w:jc w:val="both"/>
              <w:rPr>
                <w:rFonts w:eastAsia="Times New Roman" w:cs="Times New Roman"/>
                <w:szCs w:val="24"/>
                <w:lang w:val="en-GB" w:eastAsia="en-GB"/>
              </w:rPr>
            </w:pPr>
          </w:p>
          <w:p w14:paraId="4B4E4543" w14:textId="77777777"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3: The cross-filtering tool was developed to answer the (diabetes) drug usage questions</w:t>
            </w:r>
          </w:p>
          <w:p w14:paraId="792C49CE" w14:textId="1C396B7C" w:rsidR="007E00E7" w:rsidRDefault="007E00E7" w:rsidP="00B434CC">
            <w:pPr>
              <w:spacing w:before="0" w:after="0"/>
              <w:jc w:val="both"/>
              <w:rPr>
                <w:rFonts w:eastAsia="Times New Roman" w:cs="Times New Roman"/>
                <w:szCs w:val="24"/>
                <w:lang w:val="en-GB" w:eastAsia="en-GB"/>
              </w:rPr>
            </w:pPr>
          </w:p>
          <w:p w14:paraId="61DD24F9" w14:textId="77777777" w:rsidR="00C00793" w:rsidRDefault="00C00793" w:rsidP="00B434CC">
            <w:pPr>
              <w:spacing w:before="0" w:after="0"/>
              <w:jc w:val="both"/>
              <w:rPr>
                <w:rFonts w:eastAsia="Times New Roman" w:cs="Times New Roman"/>
                <w:szCs w:val="24"/>
                <w:lang w:val="en-GB" w:eastAsia="en-GB"/>
              </w:rPr>
            </w:pPr>
          </w:p>
          <w:p w14:paraId="49470ADE" w14:textId="77777777" w:rsidR="007E00E7" w:rsidRDefault="007E00E7" w:rsidP="00B434CC">
            <w:pPr>
              <w:spacing w:before="0" w:after="0"/>
              <w:jc w:val="both"/>
              <w:rPr>
                <w:rFonts w:eastAsia="Times New Roman" w:cs="Times New Roman"/>
                <w:szCs w:val="24"/>
                <w:lang w:val="en-GB" w:eastAsia="en-GB"/>
              </w:rPr>
            </w:pPr>
          </w:p>
          <w:p w14:paraId="14C3F09C" w14:textId="331860D1" w:rsidR="003D1B4C" w:rsidRPr="003D1B4C" w:rsidRDefault="003D1B4C" w:rsidP="00B434CC">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KPI 4: Partially answered by the cross-filter tool geographical representation of drug usage</w:t>
            </w:r>
          </w:p>
          <w:p w14:paraId="423B8714" w14:textId="7BE055BF" w:rsidR="007E00E7" w:rsidRDefault="007E00E7" w:rsidP="00B434CC">
            <w:pPr>
              <w:spacing w:before="0" w:after="0"/>
              <w:jc w:val="both"/>
              <w:rPr>
                <w:rFonts w:eastAsia="Times New Roman" w:cs="Times New Roman"/>
                <w:szCs w:val="24"/>
                <w:lang w:val="en-GB" w:eastAsia="en-GB"/>
              </w:rPr>
            </w:pPr>
          </w:p>
          <w:p w14:paraId="684672CD" w14:textId="77777777" w:rsidR="00C00793" w:rsidRDefault="00C00793" w:rsidP="00B434CC">
            <w:pPr>
              <w:spacing w:before="0" w:after="0"/>
              <w:jc w:val="both"/>
              <w:rPr>
                <w:rFonts w:eastAsia="Times New Roman" w:cs="Times New Roman"/>
                <w:szCs w:val="24"/>
                <w:lang w:val="en-GB" w:eastAsia="en-GB"/>
              </w:rPr>
            </w:pPr>
          </w:p>
          <w:p w14:paraId="5C3DC8A9" w14:textId="3C888C27" w:rsidR="003D1B4C" w:rsidRPr="003D1B4C" w:rsidRDefault="003D1B4C" w:rsidP="007150D4">
            <w:pPr>
              <w:spacing w:before="0" w:after="0"/>
              <w:jc w:val="both"/>
              <w:rPr>
                <w:rFonts w:eastAsia="Times New Roman" w:cs="Times New Roman"/>
                <w:szCs w:val="24"/>
                <w:lang w:val="en-GB" w:eastAsia="en-GB"/>
              </w:rPr>
            </w:pPr>
            <w:r w:rsidRPr="003D1B4C">
              <w:rPr>
                <w:rFonts w:eastAsia="Times New Roman" w:cs="Times New Roman"/>
                <w:szCs w:val="24"/>
                <w:lang w:val="en-GB" w:eastAsia="en-GB"/>
              </w:rPr>
              <w:t xml:space="preserve">KPI 5: This KPI was found not possible to answer as related data is not available for the project </w:t>
            </w:r>
          </w:p>
        </w:tc>
      </w:tr>
    </w:tbl>
    <w:p w14:paraId="61E9C539" w14:textId="77777777" w:rsidR="003D1B4C" w:rsidRPr="001549D3" w:rsidRDefault="003D1B4C" w:rsidP="00903152">
      <w:pPr>
        <w:spacing w:before="0"/>
      </w:pPr>
    </w:p>
    <w:sectPr w:rsidR="003D1B4C" w:rsidRPr="001549D3"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E7189"/>
    <w:rsid w:val="001F4901"/>
    <w:rsid w:val="00267D18"/>
    <w:rsid w:val="00274347"/>
    <w:rsid w:val="002868E2"/>
    <w:rsid w:val="002869C3"/>
    <w:rsid w:val="002936E4"/>
    <w:rsid w:val="002B4A57"/>
    <w:rsid w:val="002B4F4B"/>
    <w:rsid w:val="002C6557"/>
    <w:rsid w:val="002C74CA"/>
    <w:rsid w:val="003123F4"/>
    <w:rsid w:val="00344881"/>
    <w:rsid w:val="003544FB"/>
    <w:rsid w:val="003D1B4C"/>
    <w:rsid w:val="003D2F2D"/>
    <w:rsid w:val="00401590"/>
    <w:rsid w:val="0041633D"/>
    <w:rsid w:val="00447801"/>
    <w:rsid w:val="00452E9C"/>
    <w:rsid w:val="004735C8"/>
    <w:rsid w:val="004947A6"/>
    <w:rsid w:val="004961FF"/>
    <w:rsid w:val="004C2A29"/>
    <w:rsid w:val="00511317"/>
    <w:rsid w:val="00517A89"/>
    <w:rsid w:val="005242BD"/>
    <w:rsid w:val="005250F2"/>
    <w:rsid w:val="00593EEA"/>
    <w:rsid w:val="005A5EEE"/>
    <w:rsid w:val="005F3154"/>
    <w:rsid w:val="006375C7"/>
    <w:rsid w:val="00654E8F"/>
    <w:rsid w:val="00660D05"/>
    <w:rsid w:val="006820B1"/>
    <w:rsid w:val="006B7D14"/>
    <w:rsid w:val="00701727"/>
    <w:rsid w:val="0070566C"/>
    <w:rsid w:val="00714C50"/>
    <w:rsid w:val="007150D4"/>
    <w:rsid w:val="00725A7D"/>
    <w:rsid w:val="007501BE"/>
    <w:rsid w:val="00790BB3"/>
    <w:rsid w:val="007C206C"/>
    <w:rsid w:val="007E00E7"/>
    <w:rsid w:val="00817DD6"/>
    <w:rsid w:val="0083759F"/>
    <w:rsid w:val="00885156"/>
    <w:rsid w:val="00903152"/>
    <w:rsid w:val="009151AA"/>
    <w:rsid w:val="0093429D"/>
    <w:rsid w:val="00943573"/>
    <w:rsid w:val="00964134"/>
    <w:rsid w:val="00970F7D"/>
    <w:rsid w:val="00994A3D"/>
    <w:rsid w:val="009C2B12"/>
    <w:rsid w:val="00A174D9"/>
    <w:rsid w:val="00A262FC"/>
    <w:rsid w:val="00AA4D24"/>
    <w:rsid w:val="00AB6715"/>
    <w:rsid w:val="00B1671E"/>
    <w:rsid w:val="00B25EB8"/>
    <w:rsid w:val="00B37F4D"/>
    <w:rsid w:val="00B434CC"/>
    <w:rsid w:val="00BB5845"/>
    <w:rsid w:val="00BC684F"/>
    <w:rsid w:val="00C00793"/>
    <w:rsid w:val="00C52A7B"/>
    <w:rsid w:val="00C56BAF"/>
    <w:rsid w:val="00C679AA"/>
    <w:rsid w:val="00C75972"/>
    <w:rsid w:val="00CD066B"/>
    <w:rsid w:val="00CE4FEE"/>
    <w:rsid w:val="00D060CF"/>
    <w:rsid w:val="00D23B69"/>
    <w:rsid w:val="00D93398"/>
    <w:rsid w:val="00DB59C3"/>
    <w:rsid w:val="00DC259A"/>
    <w:rsid w:val="00DE23E8"/>
    <w:rsid w:val="00E161B6"/>
    <w:rsid w:val="00E342A0"/>
    <w:rsid w:val="00E52377"/>
    <w:rsid w:val="00E537AD"/>
    <w:rsid w:val="00E64E17"/>
    <w:rsid w:val="00E866C9"/>
    <w:rsid w:val="00E96F66"/>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 TargetMode="External"/><Relationship Id="rId13" Type="http://schemas.openxmlformats.org/officeDocument/2006/relationships/hyperlink" Target="https://data.gov.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fi/tup/paavo/index_e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lu.fi/nfb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gov.ie/data/search?theme-primary=Heal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gov.i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25</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Xi Shi</cp:lastModifiedBy>
  <cp:revision>25</cp:revision>
  <cp:lastPrinted>2013-10-03T12:51:00Z</cp:lastPrinted>
  <dcterms:created xsi:type="dcterms:W3CDTF">2018-11-23T08:58:00Z</dcterms:created>
  <dcterms:modified xsi:type="dcterms:W3CDTF">2022-01-07T13:45:00Z</dcterms:modified>
</cp:coreProperties>
</file>