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214D" w14:textId="77777777" w:rsidR="00793046" w:rsidRPr="00D84247" w:rsidRDefault="00793046" w:rsidP="002D6FAA">
      <w:pPr>
        <w:spacing w:line="276" w:lineRule="auto"/>
        <w:rPr>
          <w:rFonts w:cs="Times New Roman"/>
          <w:b/>
          <w:bCs/>
          <w:szCs w:val="24"/>
        </w:rPr>
      </w:pPr>
    </w:p>
    <w:p w14:paraId="453F88D0" w14:textId="5DFF80F8" w:rsidR="002D6FAA" w:rsidRPr="00D84247" w:rsidRDefault="00B679E1" w:rsidP="00793046">
      <w:pPr>
        <w:jc w:val="center"/>
      </w:pPr>
      <w:r w:rsidRPr="00D84247">
        <w:rPr>
          <w:noProof/>
        </w:rPr>
        <w:drawing>
          <wp:inline distT="0" distB="0" distL="0" distR="0" wp14:anchorId="530CA455" wp14:editId="1138F205">
            <wp:extent cx="4106007" cy="2217420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812" cy="22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2E367" w14:textId="4C513B40" w:rsidR="002D6FAA" w:rsidRPr="00D84247" w:rsidRDefault="007D5C94" w:rsidP="00957A48">
      <w:pPr>
        <w:spacing w:line="276" w:lineRule="auto"/>
        <w:jc w:val="both"/>
        <w:rPr>
          <w:b/>
          <w:bCs/>
          <w:szCs w:val="24"/>
        </w:rPr>
      </w:pPr>
      <w:r w:rsidRPr="00D84247">
        <w:rPr>
          <w:rFonts w:hint="eastAsia"/>
          <w:b/>
          <w:bCs/>
          <w:szCs w:val="24"/>
          <w:lang w:eastAsia="zh-CN"/>
        </w:rPr>
        <w:t>Figure</w:t>
      </w:r>
      <w:r w:rsidRPr="00D84247">
        <w:rPr>
          <w:b/>
          <w:bCs/>
          <w:szCs w:val="24"/>
        </w:rPr>
        <w:t xml:space="preserve"> </w:t>
      </w:r>
      <w:r w:rsidRPr="00D84247">
        <w:rPr>
          <w:rFonts w:hint="eastAsia"/>
          <w:b/>
          <w:bCs/>
          <w:szCs w:val="24"/>
          <w:lang w:eastAsia="zh-CN"/>
        </w:rPr>
        <w:t>S1.</w:t>
      </w:r>
      <w:r w:rsidRPr="00D84247">
        <w:rPr>
          <w:b/>
          <w:bCs/>
          <w:szCs w:val="24"/>
          <w:lang w:eastAsia="zh-CN"/>
        </w:rPr>
        <w:t xml:space="preserve"> </w:t>
      </w:r>
      <w:r w:rsidR="00033D59" w:rsidRPr="00D84247">
        <w:rPr>
          <w:szCs w:val="24"/>
          <w:lang w:eastAsia="zh-CN"/>
        </w:rPr>
        <w:t>The RNA (input) and m</w:t>
      </w:r>
      <w:r w:rsidR="00033D59" w:rsidRPr="00D84247">
        <w:rPr>
          <w:szCs w:val="24"/>
          <w:vertAlign w:val="superscript"/>
          <w:lang w:eastAsia="zh-CN"/>
        </w:rPr>
        <w:t>6</w:t>
      </w:r>
      <w:r w:rsidR="00033D59" w:rsidRPr="00D84247">
        <w:rPr>
          <w:szCs w:val="24"/>
          <w:lang w:eastAsia="zh-CN"/>
        </w:rPr>
        <w:t>A (IP) abundance in</w:t>
      </w:r>
      <w:r w:rsidR="005C6BC2" w:rsidRPr="00D84247">
        <w:rPr>
          <w:szCs w:val="24"/>
          <w:lang w:eastAsia="zh-CN"/>
        </w:rPr>
        <w:t xml:space="preserve"> IGF2BP3 </w:t>
      </w:r>
      <w:r w:rsidR="00033D59" w:rsidRPr="00D84247">
        <w:rPr>
          <w:szCs w:val="24"/>
          <w:lang w:eastAsia="zh-CN"/>
        </w:rPr>
        <w:t xml:space="preserve">mRNA transcripts in </w:t>
      </w:r>
      <w:r w:rsidR="00E62DB3" w:rsidRPr="00D84247">
        <w:rPr>
          <w:szCs w:val="24"/>
          <w:lang w:eastAsia="zh-CN"/>
        </w:rPr>
        <w:t xml:space="preserve">the </w:t>
      </w:r>
      <w:r w:rsidR="00033D59" w:rsidRPr="00D84247">
        <w:rPr>
          <w:szCs w:val="24"/>
          <w:lang w:eastAsia="zh-CN"/>
        </w:rPr>
        <w:t>C</w:t>
      </w:r>
      <w:r w:rsidR="00050014" w:rsidRPr="00D84247">
        <w:rPr>
          <w:rFonts w:hint="eastAsia"/>
          <w:szCs w:val="24"/>
          <w:lang w:eastAsia="zh-CN"/>
        </w:rPr>
        <w:t>on</w:t>
      </w:r>
      <w:r w:rsidR="00033D59" w:rsidRPr="00D84247">
        <w:rPr>
          <w:szCs w:val="24"/>
          <w:lang w:eastAsia="zh-CN"/>
        </w:rPr>
        <w:t xml:space="preserve"> and RA </w:t>
      </w:r>
      <w:r w:rsidR="00E62DB3" w:rsidRPr="00D84247">
        <w:rPr>
          <w:szCs w:val="24"/>
          <w:lang w:eastAsia="zh-CN"/>
        </w:rPr>
        <w:t>groups</w:t>
      </w:r>
      <w:r w:rsidR="00033D59" w:rsidRPr="00D84247">
        <w:rPr>
          <w:szCs w:val="24"/>
          <w:lang w:eastAsia="zh-CN"/>
        </w:rPr>
        <w:t xml:space="preserve"> as detected by RNA-seq and </w:t>
      </w:r>
      <w:r w:rsidR="00476B24" w:rsidRPr="00D84247">
        <w:rPr>
          <w:rFonts w:cs="Times New Roman"/>
          <w:szCs w:val="24"/>
        </w:rPr>
        <w:t>MeRIP-seq</w:t>
      </w:r>
      <w:r w:rsidR="00033D59" w:rsidRPr="00D84247">
        <w:rPr>
          <w:szCs w:val="24"/>
          <w:lang w:eastAsia="zh-CN"/>
        </w:rPr>
        <w:t>.</w:t>
      </w:r>
    </w:p>
    <w:p w14:paraId="35464803" w14:textId="77777777" w:rsidR="002D6FAA" w:rsidRPr="00D84247" w:rsidRDefault="002D6FAA" w:rsidP="002D6FAA"/>
    <w:p w14:paraId="30034D65" w14:textId="26B71079" w:rsidR="002D6FAA" w:rsidRPr="00D84247" w:rsidRDefault="001D04FA" w:rsidP="00133CA3">
      <w:pPr>
        <w:spacing w:after="0"/>
        <w:jc w:val="center"/>
      </w:pPr>
      <w:r w:rsidRPr="00D84247">
        <w:rPr>
          <w:noProof/>
        </w:rPr>
        <w:drawing>
          <wp:inline distT="0" distB="0" distL="0" distR="0" wp14:anchorId="000A3B06" wp14:editId="794ADDB2">
            <wp:extent cx="4264025" cy="2241699"/>
            <wp:effectExtent l="0" t="0" r="3175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186" cy="22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6932E" w14:textId="488E82BD" w:rsidR="002D6FAA" w:rsidRPr="00D84247" w:rsidRDefault="00D916A6" w:rsidP="000B0FD8">
      <w:pPr>
        <w:pStyle w:val="MDPI51figurecaption"/>
        <w:spacing w:before="0" w:after="0" w:line="276" w:lineRule="auto"/>
        <w:rPr>
          <w:rFonts w:ascii="Times New Roman" w:hAnsi="Times New Roman"/>
          <w:color w:val="auto"/>
          <w:sz w:val="24"/>
          <w:szCs w:val="24"/>
        </w:rPr>
      </w:pPr>
      <w:r w:rsidRPr="00D84247">
        <w:rPr>
          <w:rFonts w:ascii="Times New Roman" w:eastAsiaTheme="minorEastAsia" w:hAnsi="Times New Roman" w:cstheme="minorBidi"/>
          <w:b/>
          <w:bCs/>
          <w:color w:val="auto"/>
          <w:sz w:val="24"/>
          <w:szCs w:val="22"/>
          <w:lang w:eastAsia="zh-CN" w:bidi="ar-SA"/>
        </w:rPr>
        <w:t xml:space="preserve">Figure S2. 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Cytotoxicity of </w:t>
      </w:r>
      <w:r w:rsidR="00235C47" w:rsidRPr="00D84247">
        <w:rPr>
          <w:rFonts w:ascii="Times New Roman" w:hAnsi="Times New Roman"/>
          <w:color w:val="auto"/>
          <w:sz w:val="24"/>
          <w:szCs w:val="24"/>
        </w:rPr>
        <w:t>triptolide (</w:t>
      </w:r>
      <w:r w:rsidRPr="00D84247">
        <w:rPr>
          <w:rFonts w:ascii="Times New Roman" w:hAnsi="Times New Roman"/>
          <w:color w:val="auto"/>
          <w:sz w:val="24"/>
          <w:szCs w:val="24"/>
        </w:rPr>
        <w:t>TP</w:t>
      </w:r>
      <w:r w:rsidR="00235C47" w:rsidRPr="00D84247">
        <w:rPr>
          <w:rFonts w:ascii="Times New Roman" w:hAnsi="Times New Roman"/>
          <w:color w:val="auto"/>
          <w:sz w:val="24"/>
          <w:szCs w:val="24"/>
        </w:rPr>
        <w:t>)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 on </w:t>
      </w:r>
      <w:r w:rsidR="00957A48" w:rsidRPr="00D84247">
        <w:rPr>
          <w:rFonts w:ascii="Times New Roman" w:hAnsi="Times New Roman"/>
          <w:color w:val="auto"/>
          <w:sz w:val="24"/>
          <w:szCs w:val="24"/>
        </w:rPr>
        <w:t>peripheral blood mononuclear cells (</w:t>
      </w:r>
      <w:r w:rsidR="00235C47" w:rsidRPr="00D84247">
        <w:rPr>
          <w:rFonts w:ascii="Times New Roman" w:hAnsi="Times New Roman"/>
          <w:color w:val="auto"/>
          <w:sz w:val="24"/>
          <w:szCs w:val="24"/>
        </w:rPr>
        <w:t>PBMCs</w:t>
      </w:r>
      <w:r w:rsidR="00957A48" w:rsidRPr="00D84247">
        <w:rPr>
          <w:rFonts w:ascii="Times New Roman" w:hAnsi="Times New Roman"/>
          <w:color w:val="auto"/>
          <w:sz w:val="24"/>
          <w:szCs w:val="24"/>
        </w:rPr>
        <w:t>)</w:t>
      </w:r>
      <w:r w:rsidR="00133CA3" w:rsidRPr="00D84247">
        <w:rPr>
          <w:rFonts w:ascii="Times New Roman" w:hAnsi="Times New Roman"/>
          <w:color w:val="auto"/>
          <w:sz w:val="24"/>
          <w:szCs w:val="24"/>
        </w:rPr>
        <w:t xml:space="preserve"> and </w:t>
      </w:r>
      <w:r w:rsidR="002E6F95" w:rsidRPr="00D84247">
        <w:rPr>
          <w:rFonts w:ascii="Times New Roman" w:hAnsi="Times New Roman"/>
          <w:color w:val="auto"/>
          <w:sz w:val="24"/>
          <w:szCs w:val="24"/>
        </w:rPr>
        <w:t>MH7A cell line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235C47" w:rsidRPr="00D84247">
        <w:rPr>
          <w:rFonts w:ascii="Times New Roman" w:hAnsi="Times New Roman"/>
          <w:bCs/>
          <w:color w:val="auto"/>
          <w:sz w:val="24"/>
          <w:szCs w:val="24"/>
        </w:rPr>
        <w:t>PBMCs</w:t>
      </w:r>
      <w:r w:rsidRPr="00D8424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6D48FA" w:rsidRPr="00D84247">
        <w:rPr>
          <w:rFonts w:ascii="Times New Roman" w:hAnsi="Times New Roman"/>
          <w:bCs/>
          <w:color w:val="auto"/>
          <w:sz w:val="24"/>
          <w:szCs w:val="24"/>
        </w:rPr>
        <w:t xml:space="preserve">and </w:t>
      </w:r>
      <w:r w:rsidR="002E6F95" w:rsidRPr="00D84247">
        <w:rPr>
          <w:rFonts w:ascii="Times New Roman" w:hAnsi="Times New Roman"/>
          <w:bCs/>
          <w:color w:val="auto"/>
          <w:sz w:val="24"/>
          <w:szCs w:val="24"/>
        </w:rPr>
        <w:t>MH7A</w:t>
      </w:r>
      <w:r w:rsidR="006D48FA" w:rsidRPr="00D8424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were treated with different concentration of TP for 24 h, and their viability was determined using </w:t>
      </w:r>
      <w:r w:rsidRPr="00D84247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cell counting kit (</w:t>
      </w:r>
      <w:r w:rsidRPr="00D84247">
        <w:rPr>
          <w:rFonts w:ascii="Times New Roman" w:hAnsi="Times New Roman"/>
          <w:color w:val="auto"/>
          <w:sz w:val="24"/>
          <w:szCs w:val="24"/>
        </w:rPr>
        <w:t>CCK</w:t>
      </w:r>
      <w:r w:rsidRPr="00D84247">
        <w:rPr>
          <w:rFonts w:ascii="Times New Roman" w:eastAsiaTheme="minorEastAsia" w:hAnsi="Times New Roman"/>
          <w:color w:val="auto"/>
          <w:sz w:val="24"/>
          <w:szCs w:val="24"/>
          <w:lang w:eastAsia="zh-CN"/>
        </w:rPr>
        <w:t>)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-8 assay. </w:t>
      </w:r>
      <w:r w:rsidRPr="00D84247">
        <w:rPr>
          <w:rFonts w:ascii="Times New Roman" w:hAnsi="Times New Roman"/>
          <w:color w:val="auto"/>
          <w:sz w:val="24"/>
          <w:szCs w:val="24"/>
          <w:vertAlign w:val="superscript"/>
        </w:rPr>
        <w:t>**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4247">
        <w:rPr>
          <w:rFonts w:ascii="Times New Roman" w:hAnsi="Times New Roman"/>
          <w:i/>
          <w:iCs/>
          <w:color w:val="auto"/>
          <w:sz w:val="24"/>
          <w:szCs w:val="24"/>
        </w:rPr>
        <w:t>p &lt; 0.01</w:t>
      </w:r>
      <w:r w:rsidR="00957A48" w:rsidRPr="00D84247">
        <w:rPr>
          <w:rFonts w:ascii="Times New Roman" w:hAnsi="Times New Roman"/>
          <w:iCs/>
          <w:color w:val="auto"/>
          <w:sz w:val="24"/>
          <w:szCs w:val="24"/>
        </w:rPr>
        <w:t>,</w:t>
      </w:r>
      <w:r w:rsidR="00957A48" w:rsidRPr="00D84247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="00957A48" w:rsidRPr="00D84247">
        <w:rPr>
          <w:rFonts w:ascii="Times New Roman" w:hAnsi="Times New Roman"/>
          <w:color w:val="auto"/>
          <w:sz w:val="24"/>
          <w:szCs w:val="24"/>
          <w:vertAlign w:val="superscript"/>
        </w:rPr>
        <w:t>*</w:t>
      </w:r>
      <w:r w:rsidR="00957A48" w:rsidRPr="00D8424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57A48" w:rsidRPr="00D84247">
        <w:rPr>
          <w:rFonts w:ascii="Times New Roman" w:hAnsi="Times New Roman"/>
          <w:i/>
          <w:iCs/>
          <w:color w:val="auto"/>
          <w:sz w:val="24"/>
          <w:szCs w:val="24"/>
        </w:rPr>
        <w:t xml:space="preserve">p &lt; 0.05 </w:t>
      </w:r>
      <w:r w:rsidRPr="00D84247">
        <w:rPr>
          <w:rFonts w:ascii="Times New Roman" w:hAnsi="Times New Roman"/>
          <w:i/>
          <w:color w:val="auto"/>
          <w:sz w:val="24"/>
          <w:szCs w:val="24"/>
        </w:rPr>
        <w:t>versus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 group without TP</w:t>
      </w:r>
      <w:r w:rsidR="00957A48" w:rsidRPr="00D8424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84247">
        <w:rPr>
          <w:rFonts w:ascii="Times New Roman" w:hAnsi="Times New Roman"/>
          <w:color w:val="auto"/>
          <w:sz w:val="24"/>
          <w:szCs w:val="24"/>
        </w:rPr>
        <w:t>treatment</w:t>
      </w:r>
      <w:r w:rsidR="005D1D0D" w:rsidRPr="00D84247">
        <w:rPr>
          <w:rFonts w:ascii="Times New Roman" w:hAnsi="Times New Roman"/>
          <w:color w:val="auto"/>
          <w:sz w:val="24"/>
          <w:szCs w:val="24"/>
        </w:rPr>
        <w:t xml:space="preserve"> (DMSO group)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. The data are presented as the mean ± </w:t>
      </w:r>
      <w:r w:rsidR="00235C47" w:rsidRPr="00D84247">
        <w:rPr>
          <w:rFonts w:ascii="Times New Roman" w:hAnsi="Times New Roman"/>
          <w:color w:val="auto"/>
          <w:sz w:val="24"/>
          <w:szCs w:val="24"/>
        </w:rPr>
        <w:t>SEM</w:t>
      </w:r>
      <w:r w:rsidRPr="00D84247">
        <w:rPr>
          <w:rFonts w:ascii="Times New Roman" w:hAnsi="Times New Roman"/>
          <w:color w:val="auto"/>
          <w:sz w:val="24"/>
          <w:szCs w:val="24"/>
        </w:rPr>
        <w:t xml:space="preserve"> from three independent experiments.</w:t>
      </w:r>
    </w:p>
    <w:p w14:paraId="23364D56" w14:textId="77777777" w:rsidR="002D6FAA" w:rsidRPr="00D84247" w:rsidRDefault="002D6FAA" w:rsidP="002D6FAA"/>
    <w:sectPr w:rsidR="002D6FAA" w:rsidRPr="00D84247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3C998" w14:textId="77777777" w:rsidR="00792140" w:rsidRDefault="00792140" w:rsidP="00117666">
      <w:pPr>
        <w:spacing w:after="0"/>
      </w:pPr>
      <w:r>
        <w:separator/>
      </w:r>
    </w:p>
  </w:endnote>
  <w:endnote w:type="continuationSeparator" w:id="0">
    <w:p w14:paraId="737E88AC" w14:textId="77777777" w:rsidR="00792140" w:rsidRDefault="0079214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8A5585" w:rsidRPr="00577C4C" w:rsidRDefault="008A5585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4D1675C" w:rsidR="008A5585" w:rsidRPr="00577C4C" w:rsidRDefault="008A558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67F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xXhUiHgIAADo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50BC4D33" w14:textId="24D1675C" w:rsidR="008A5585" w:rsidRPr="00577C4C" w:rsidRDefault="008A558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67F6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8A5585" w:rsidRPr="00577C4C" w:rsidRDefault="008A5585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F7B4721" w:rsidR="008A5585" w:rsidRPr="00577C4C" w:rsidRDefault="008A558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67F6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570F0D09" w14:textId="3F7B4721" w:rsidR="008A5585" w:rsidRPr="00577C4C" w:rsidRDefault="008A558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67F6E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E7EE" w14:textId="77777777" w:rsidR="00792140" w:rsidRDefault="00792140" w:rsidP="00117666">
      <w:pPr>
        <w:spacing w:after="0"/>
      </w:pPr>
      <w:r>
        <w:separator/>
      </w:r>
    </w:p>
  </w:footnote>
  <w:footnote w:type="continuationSeparator" w:id="0">
    <w:p w14:paraId="0F7B9D01" w14:textId="77777777" w:rsidR="00792140" w:rsidRDefault="0079214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8A5585" w:rsidRPr="009151AA" w:rsidRDefault="008A558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8A5585" w:rsidRDefault="008A5585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3D59"/>
    <w:rsid w:val="00034304"/>
    <w:rsid w:val="00035434"/>
    <w:rsid w:val="00050014"/>
    <w:rsid w:val="00052A14"/>
    <w:rsid w:val="00077D53"/>
    <w:rsid w:val="000B0FD8"/>
    <w:rsid w:val="000F4FDA"/>
    <w:rsid w:val="00105FD9"/>
    <w:rsid w:val="00110249"/>
    <w:rsid w:val="00117666"/>
    <w:rsid w:val="00133CA3"/>
    <w:rsid w:val="001549D3"/>
    <w:rsid w:val="00160065"/>
    <w:rsid w:val="00171702"/>
    <w:rsid w:val="00177D84"/>
    <w:rsid w:val="001A00A2"/>
    <w:rsid w:val="001A3332"/>
    <w:rsid w:val="001D04FA"/>
    <w:rsid w:val="001E6DE0"/>
    <w:rsid w:val="001F097C"/>
    <w:rsid w:val="00235C47"/>
    <w:rsid w:val="002412F3"/>
    <w:rsid w:val="0025059D"/>
    <w:rsid w:val="00267D18"/>
    <w:rsid w:val="00274347"/>
    <w:rsid w:val="00283A2D"/>
    <w:rsid w:val="002868E2"/>
    <w:rsid w:val="002869C3"/>
    <w:rsid w:val="002936E4"/>
    <w:rsid w:val="00296F09"/>
    <w:rsid w:val="002A1FE8"/>
    <w:rsid w:val="002A4E21"/>
    <w:rsid w:val="002B4A57"/>
    <w:rsid w:val="002B520A"/>
    <w:rsid w:val="002C74CA"/>
    <w:rsid w:val="002D579A"/>
    <w:rsid w:val="002D6FAA"/>
    <w:rsid w:val="002E6F95"/>
    <w:rsid w:val="002F5B0B"/>
    <w:rsid w:val="00312169"/>
    <w:rsid w:val="003123F4"/>
    <w:rsid w:val="003544FB"/>
    <w:rsid w:val="003A34C6"/>
    <w:rsid w:val="003B021D"/>
    <w:rsid w:val="003C54CC"/>
    <w:rsid w:val="003D2F2D"/>
    <w:rsid w:val="00401590"/>
    <w:rsid w:val="004108DC"/>
    <w:rsid w:val="00426070"/>
    <w:rsid w:val="004472D8"/>
    <w:rsid w:val="00447801"/>
    <w:rsid w:val="00452E9C"/>
    <w:rsid w:val="00467B92"/>
    <w:rsid w:val="004735C8"/>
    <w:rsid w:val="00476B24"/>
    <w:rsid w:val="004922F2"/>
    <w:rsid w:val="004947A6"/>
    <w:rsid w:val="004961FF"/>
    <w:rsid w:val="004C12B7"/>
    <w:rsid w:val="004C75FB"/>
    <w:rsid w:val="00517A89"/>
    <w:rsid w:val="005250F2"/>
    <w:rsid w:val="00580352"/>
    <w:rsid w:val="00582B58"/>
    <w:rsid w:val="00593EEA"/>
    <w:rsid w:val="005A5EEE"/>
    <w:rsid w:val="005C6BC2"/>
    <w:rsid w:val="005C7B56"/>
    <w:rsid w:val="005D1D0D"/>
    <w:rsid w:val="005E5348"/>
    <w:rsid w:val="006375C7"/>
    <w:rsid w:val="00654E8F"/>
    <w:rsid w:val="00660D05"/>
    <w:rsid w:val="006669C1"/>
    <w:rsid w:val="006820B1"/>
    <w:rsid w:val="006B7D14"/>
    <w:rsid w:val="006D4403"/>
    <w:rsid w:val="006D48FA"/>
    <w:rsid w:val="00701727"/>
    <w:rsid w:val="0070566C"/>
    <w:rsid w:val="00714C50"/>
    <w:rsid w:val="00725A7D"/>
    <w:rsid w:val="00725AD3"/>
    <w:rsid w:val="007501BE"/>
    <w:rsid w:val="00760D2C"/>
    <w:rsid w:val="0078451C"/>
    <w:rsid w:val="00790BB3"/>
    <w:rsid w:val="00792140"/>
    <w:rsid w:val="00793046"/>
    <w:rsid w:val="007A6815"/>
    <w:rsid w:val="007C206C"/>
    <w:rsid w:val="007C37B1"/>
    <w:rsid w:val="007D5C94"/>
    <w:rsid w:val="00817DD6"/>
    <w:rsid w:val="0083759F"/>
    <w:rsid w:val="00872BE5"/>
    <w:rsid w:val="00885156"/>
    <w:rsid w:val="00894569"/>
    <w:rsid w:val="008A5585"/>
    <w:rsid w:val="009010AD"/>
    <w:rsid w:val="009151AA"/>
    <w:rsid w:val="0093429D"/>
    <w:rsid w:val="00943573"/>
    <w:rsid w:val="00957A48"/>
    <w:rsid w:val="00964134"/>
    <w:rsid w:val="00967F6E"/>
    <w:rsid w:val="00970F7D"/>
    <w:rsid w:val="00994A3D"/>
    <w:rsid w:val="009C2B12"/>
    <w:rsid w:val="009F2226"/>
    <w:rsid w:val="00A174D9"/>
    <w:rsid w:val="00A311DF"/>
    <w:rsid w:val="00A65F8E"/>
    <w:rsid w:val="00A970D1"/>
    <w:rsid w:val="00AA4D24"/>
    <w:rsid w:val="00AB6715"/>
    <w:rsid w:val="00AD3229"/>
    <w:rsid w:val="00AE04E8"/>
    <w:rsid w:val="00B02537"/>
    <w:rsid w:val="00B1671E"/>
    <w:rsid w:val="00B25EB8"/>
    <w:rsid w:val="00B37F4D"/>
    <w:rsid w:val="00B679E1"/>
    <w:rsid w:val="00BD7D91"/>
    <w:rsid w:val="00C21C05"/>
    <w:rsid w:val="00C40C15"/>
    <w:rsid w:val="00C52A7B"/>
    <w:rsid w:val="00C56BAF"/>
    <w:rsid w:val="00C679AA"/>
    <w:rsid w:val="00C75972"/>
    <w:rsid w:val="00C77ECD"/>
    <w:rsid w:val="00CB24B2"/>
    <w:rsid w:val="00CB7897"/>
    <w:rsid w:val="00CD066B"/>
    <w:rsid w:val="00CE4FEE"/>
    <w:rsid w:val="00CE71BC"/>
    <w:rsid w:val="00D04884"/>
    <w:rsid w:val="00D060CF"/>
    <w:rsid w:val="00D64871"/>
    <w:rsid w:val="00D84247"/>
    <w:rsid w:val="00D916A6"/>
    <w:rsid w:val="00DA7DF1"/>
    <w:rsid w:val="00DB59C3"/>
    <w:rsid w:val="00DC259A"/>
    <w:rsid w:val="00DE23E8"/>
    <w:rsid w:val="00E262FD"/>
    <w:rsid w:val="00E36251"/>
    <w:rsid w:val="00E52377"/>
    <w:rsid w:val="00E537AD"/>
    <w:rsid w:val="00E62DB3"/>
    <w:rsid w:val="00E64E17"/>
    <w:rsid w:val="00E65B00"/>
    <w:rsid w:val="00E866C9"/>
    <w:rsid w:val="00EA3D3C"/>
    <w:rsid w:val="00EC090A"/>
    <w:rsid w:val="00ED20B5"/>
    <w:rsid w:val="00F46900"/>
    <w:rsid w:val="00F61D89"/>
    <w:rsid w:val="00F942B4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qFormat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tgt">
    <w:name w:val="tgt"/>
    <w:basedOn w:val="DefaultParagraphFont"/>
    <w:rsid w:val="00C21C05"/>
  </w:style>
  <w:style w:type="paragraph" w:customStyle="1" w:styleId="MDPI51figurecaption">
    <w:name w:val="MDPI_5.1_figure_caption"/>
    <w:basedOn w:val="Normal"/>
    <w:qFormat/>
    <w:rsid w:val="00D916A6"/>
    <w:pPr>
      <w:adjustRightInd w:val="0"/>
      <w:snapToGrid w:val="0"/>
      <w:spacing w:line="260" w:lineRule="atLeast"/>
      <w:ind w:left="425" w:right="425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584E670-67EC-44AE-80BE-72E8FAF1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Sarah Wong</cp:lastModifiedBy>
  <cp:revision>91</cp:revision>
  <cp:lastPrinted>2013-10-03T12:51:00Z</cp:lastPrinted>
  <dcterms:created xsi:type="dcterms:W3CDTF">2021-04-02T07:09:00Z</dcterms:created>
  <dcterms:modified xsi:type="dcterms:W3CDTF">2022-03-16T12:24:00Z</dcterms:modified>
</cp:coreProperties>
</file>