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A427" w14:textId="71DE317B" w:rsidR="00EA3D3C" w:rsidRPr="00F21A46" w:rsidRDefault="00654E8F" w:rsidP="00F21A46">
      <w:pPr>
        <w:pStyle w:val="Heading1"/>
        <w:numPr>
          <w:ilvl w:val="0"/>
          <w:numId w:val="0"/>
        </w:numPr>
        <w:ind w:left="567" w:hanging="567"/>
      </w:pPr>
      <w:r w:rsidRPr="00F21A46">
        <w:t xml:space="preserve">Supplementary </w:t>
      </w:r>
      <w:r w:rsidR="00F21A46" w:rsidRPr="00F21A46">
        <w:t>Material</w:t>
      </w:r>
    </w:p>
    <w:p w14:paraId="5FF02B06" w14:textId="77777777" w:rsidR="00F21A46" w:rsidRDefault="00F21A46" w:rsidP="00F21A46">
      <w:pPr>
        <w:pStyle w:val="Caption"/>
      </w:pPr>
      <w:r>
        <w:t xml:space="preserve">Table 1 The Cumulative </w:t>
      </w:r>
      <w:r w:rsidRPr="00250A01">
        <w:t xml:space="preserve">Effects Assessment (CEA) evaluation framework used to score </w:t>
      </w:r>
      <w:r w:rsidRPr="00FF4D9C">
        <w:t xml:space="preserve">each </w:t>
      </w:r>
      <w:r w:rsidRPr="005C1074">
        <w:t>CEA in this review. Attributes are</w:t>
      </w:r>
      <w:r w:rsidRPr="0014528F">
        <w:t xml:space="preserve"> aggregated into three </w:t>
      </w:r>
      <w:proofErr w:type="gramStart"/>
      <w:r w:rsidRPr="0014528F">
        <w:t>categories</w:t>
      </w:r>
      <w:r w:rsidRPr="00250A01">
        <w:t>;</w:t>
      </w:r>
      <w:proofErr w:type="gramEnd"/>
      <w:r w:rsidRPr="00250A01">
        <w:t xml:space="preserve"> Procedure, Space and Time and Cumulative Effects. Columns define the evidence required to be identified in the CEA relative to that attribute</w:t>
      </w:r>
      <w:r>
        <w:t xml:space="preserve"> score (adapted from Willsteed et al., 2018). </w:t>
      </w:r>
      <w:proofErr w:type="spellStart"/>
      <w:r>
        <w:t>Att</w:t>
      </w:r>
      <w:proofErr w:type="spellEnd"/>
      <w:r>
        <w:t xml:space="preserve"> = attribute.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9"/>
        <w:gridCol w:w="455"/>
        <w:gridCol w:w="2884"/>
        <w:gridCol w:w="1992"/>
        <w:gridCol w:w="2437"/>
        <w:gridCol w:w="2440"/>
        <w:gridCol w:w="2437"/>
      </w:tblGrid>
      <w:tr w:rsidR="00F21A46" w:rsidRPr="003B2562" w14:paraId="1865ACD8" w14:textId="77777777" w:rsidTr="00213780">
        <w:trPr>
          <w:cantSplit/>
          <w:trHeight w:val="493"/>
        </w:trPr>
        <w:tc>
          <w:tcPr>
            <w:tcW w:w="335" w:type="pct"/>
            <w:vAlign w:val="center"/>
          </w:tcPr>
          <w:p w14:paraId="1BAF6C0F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Attribute Category</w:t>
            </w:r>
          </w:p>
        </w:tc>
        <w:tc>
          <w:tcPr>
            <w:tcW w:w="168" w:type="pct"/>
            <w:vAlign w:val="center"/>
          </w:tcPr>
          <w:p w14:paraId="33D13DFD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proofErr w:type="spellStart"/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Att</w:t>
            </w:r>
            <w:proofErr w:type="spellEnd"/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4" w:type="pct"/>
            <w:vAlign w:val="center"/>
          </w:tcPr>
          <w:p w14:paraId="7D43D1C6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735" w:type="pct"/>
            <w:vAlign w:val="center"/>
          </w:tcPr>
          <w:p w14:paraId="2DD381FB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Very weak (1)</w:t>
            </w:r>
          </w:p>
        </w:tc>
        <w:tc>
          <w:tcPr>
            <w:tcW w:w="899" w:type="pct"/>
            <w:vAlign w:val="center"/>
          </w:tcPr>
          <w:p w14:paraId="262E4723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Weak (2)</w:t>
            </w:r>
          </w:p>
        </w:tc>
        <w:tc>
          <w:tcPr>
            <w:tcW w:w="900" w:type="pct"/>
            <w:vAlign w:val="center"/>
          </w:tcPr>
          <w:p w14:paraId="586BD218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Strong (3)</w:t>
            </w:r>
          </w:p>
        </w:tc>
        <w:tc>
          <w:tcPr>
            <w:tcW w:w="899" w:type="pct"/>
            <w:vAlign w:val="center"/>
          </w:tcPr>
          <w:p w14:paraId="3B67CE64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b/>
                <w:b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Very strong (4)</w:t>
            </w:r>
          </w:p>
        </w:tc>
      </w:tr>
      <w:tr w:rsidR="00F21A46" w:rsidRPr="003B2562" w14:paraId="7A7767A5" w14:textId="77777777" w:rsidTr="00F21A46">
        <w:trPr>
          <w:trHeight w:val="351"/>
        </w:trPr>
        <w:tc>
          <w:tcPr>
            <w:tcW w:w="335" w:type="pct"/>
            <w:vMerge w:val="restart"/>
            <w:textDirection w:val="btLr"/>
            <w:vAlign w:val="center"/>
            <w:hideMark/>
          </w:tcPr>
          <w:p w14:paraId="0FA49E22" w14:textId="77777777" w:rsidR="00F21A46" w:rsidRPr="00C6743C" w:rsidRDefault="00F21A46" w:rsidP="00213780">
            <w:pPr>
              <w:ind w:left="113" w:right="113"/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168" w:type="pct"/>
            <w:vAlign w:val="center"/>
            <w:hideMark/>
          </w:tcPr>
          <w:p w14:paraId="395332A7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4" w:type="pct"/>
            <w:hideMark/>
          </w:tcPr>
          <w:p w14:paraId="47CB0244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CEA explicitly defines cumulative in context of the CEA, reflecting the three components of cumulative environmental change</w:t>
            </w:r>
          </w:p>
        </w:tc>
        <w:tc>
          <w:tcPr>
            <w:tcW w:w="735" w:type="pct"/>
            <w:hideMark/>
          </w:tcPr>
          <w:p w14:paraId="5222BD20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Cumulative not defined</w:t>
            </w:r>
          </w:p>
        </w:tc>
        <w:tc>
          <w:tcPr>
            <w:tcW w:w="899" w:type="pct"/>
            <w:hideMark/>
          </w:tcPr>
          <w:p w14:paraId="19BE46F9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Cumulative' implicitly defined for the CEA</w:t>
            </w:r>
          </w:p>
        </w:tc>
        <w:tc>
          <w:tcPr>
            <w:tcW w:w="900" w:type="pct"/>
            <w:hideMark/>
          </w:tcPr>
          <w:p w14:paraId="33B589D6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Cumulative' explicitly defined for the CEA</w:t>
            </w:r>
          </w:p>
        </w:tc>
        <w:tc>
          <w:tcPr>
            <w:tcW w:w="899" w:type="pct"/>
            <w:hideMark/>
          </w:tcPr>
          <w:p w14:paraId="5675A63D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Cumulative explicitly defined for the CEA. Definition recognises the three attributes of cumulative environmental change</w:t>
            </w:r>
          </w:p>
        </w:tc>
      </w:tr>
      <w:tr w:rsidR="00F21A46" w:rsidRPr="003B2562" w14:paraId="202D8C21" w14:textId="77777777" w:rsidTr="00213780">
        <w:trPr>
          <w:trHeight w:val="524"/>
        </w:trPr>
        <w:tc>
          <w:tcPr>
            <w:tcW w:w="335" w:type="pct"/>
            <w:vMerge/>
            <w:hideMark/>
          </w:tcPr>
          <w:p w14:paraId="51D01DF3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3819DA9B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4" w:type="pct"/>
            <w:hideMark/>
          </w:tcPr>
          <w:p w14:paraId="52E4324A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purpose and scope of the CEA specifically are clearly set out in the supporting documentation</w:t>
            </w:r>
          </w:p>
        </w:tc>
        <w:tc>
          <w:tcPr>
            <w:tcW w:w="735" w:type="pct"/>
            <w:hideMark/>
          </w:tcPr>
          <w:p w14:paraId="176A33C0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CEA purpose and scope not defined</w:t>
            </w:r>
          </w:p>
        </w:tc>
        <w:tc>
          <w:tcPr>
            <w:tcW w:w="899" w:type="pct"/>
            <w:hideMark/>
          </w:tcPr>
          <w:p w14:paraId="605011AF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CEA purpose and scope not explicitly defined, but can be inferred from EIA/CEA methodology</w:t>
            </w:r>
          </w:p>
        </w:tc>
        <w:tc>
          <w:tcPr>
            <w:tcW w:w="900" w:type="pct"/>
            <w:hideMark/>
          </w:tcPr>
          <w:p w14:paraId="7AC3449B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Explicit CEA purpose and scope documented</w:t>
            </w:r>
          </w:p>
        </w:tc>
        <w:tc>
          <w:tcPr>
            <w:tcW w:w="899" w:type="pct"/>
            <w:hideMark/>
          </w:tcPr>
          <w:p w14:paraId="302BECF0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Explicit CEA purpose and scope documented. Expanded spatial and temporal boundaries and interaction of effects between activities referenced</w:t>
            </w:r>
          </w:p>
        </w:tc>
      </w:tr>
      <w:tr w:rsidR="00F21A46" w:rsidRPr="003B2562" w14:paraId="590EE874" w14:textId="77777777" w:rsidTr="00F21A46">
        <w:trPr>
          <w:trHeight w:val="1116"/>
        </w:trPr>
        <w:tc>
          <w:tcPr>
            <w:tcW w:w="335" w:type="pct"/>
            <w:vMerge/>
            <w:hideMark/>
          </w:tcPr>
          <w:p w14:paraId="0E6598C5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6AA27BAE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4" w:type="pct"/>
            <w:hideMark/>
          </w:tcPr>
          <w:p w14:paraId="766FB24D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CEA documents and applies a clear, systematic CEA methodology, from scoping through to mitigation</w:t>
            </w:r>
          </w:p>
        </w:tc>
        <w:tc>
          <w:tcPr>
            <w:tcW w:w="735" w:type="pct"/>
            <w:hideMark/>
          </w:tcPr>
          <w:p w14:paraId="361829F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Assessment methodology is not clear or systematic</w:t>
            </w:r>
          </w:p>
        </w:tc>
        <w:tc>
          <w:tcPr>
            <w:tcW w:w="899" w:type="pct"/>
            <w:hideMark/>
          </w:tcPr>
          <w:p w14:paraId="580F85AE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Assessment methodology is systematic but the processes within each step are not clear</w:t>
            </w:r>
          </w:p>
        </w:tc>
        <w:tc>
          <w:tcPr>
            <w:tcW w:w="900" w:type="pct"/>
            <w:hideMark/>
          </w:tcPr>
          <w:p w14:paraId="66885BF2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Assessment methodology is systematic and processes within each step are clear</w:t>
            </w:r>
          </w:p>
        </w:tc>
        <w:tc>
          <w:tcPr>
            <w:tcW w:w="899" w:type="pct"/>
            <w:hideMark/>
          </w:tcPr>
          <w:p w14:paraId="183C36C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Assessment methodology is systematic and processes within each step are clear. Time, </w:t>
            </w:r>
            <w:proofErr w:type="gramStart"/>
            <w:r w:rsidRPr="00C6743C">
              <w:rPr>
                <w:rFonts w:ascii="Ebrima" w:hAnsi="Ebrima" w:cs="Times New Roman"/>
                <w:sz w:val="16"/>
                <w:szCs w:val="16"/>
              </w:rPr>
              <w:t>space</w:t>
            </w:r>
            <w:proofErr w:type="gramEnd"/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 and activity components of CEA are clearly accounted for</w:t>
            </w:r>
          </w:p>
        </w:tc>
      </w:tr>
      <w:tr w:rsidR="00F21A46" w:rsidRPr="003B2562" w14:paraId="7FCBA5FC" w14:textId="77777777" w:rsidTr="00213780">
        <w:tc>
          <w:tcPr>
            <w:tcW w:w="335" w:type="pct"/>
            <w:vMerge/>
          </w:tcPr>
          <w:p w14:paraId="2BF89AC2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14:paraId="7B55DE89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4" w:type="pct"/>
          </w:tcPr>
          <w:p w14:paraId="28473AB6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 xml:space="preserve">The assessment makes use of appropriate data, </w:t>
            </w:r>
            <w:proofErr w:type="gramStart"/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tools</w:t>
            </w:r>
            <w:proofErr w:type="gramEnd"/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 xml:space="preserve"> and analytical methods, makes use of quantitative and qualitative methods where data allows. Assumptions and uncertainties are clearly stated and incorporated into the assessment</w:t>
            </w:r>
          </w:p>
        </w:tc>
        <w:tc>
          <w:tcPr>
            <w:tcW w:w="735" w:type="pct"/>
          </w:tcPr>
          <w:p w14:paraId="4FA4253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The assessment is purely qualitative and lacks transparency. Linkages between data presented and the assessment outcomes are not clear</w:t>
            </w:r>
          </w:p>
        </w:tc>
        <w:tc>
          <w:tcPr>
            <w:tcW w:w="899" w:type="pct"/>
          </w:tcPr>
          <w:p w14:paraId="6734ABA9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Assessment process is qualitative and makes use of appropriate data where available. Assessment outcomes are not transparent</w:t>
            </w:r>
          </w:p>
        </w:tc>
        <w:tc>
          <w:tcPr>
            <w:tcW w:w="900" w:type="pct"/>
          </w:tcPr>
          <w:p w14:paraId="6AAA55D2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Assessment process is qualitative and quantitative based on appropriate data. Analytical tools are used and described resulting in a transparent assessment process</w:t>
            </w:r>
          </w:p>
        </w:tc>
        <w:tc>
          <w:tcPr>
            <w:tcW w:w="899" w:type="pct"/>
          </w:tcPr>
          <w:p w14:paraId="23AB5AEB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The assessment makes use of appropriate data, </w:t>
            </w:r>
            <w:proofErr w:type="gramStart"/>
            <w:r w:rsidRPr="00C6743C">
              <w:rPr>
                <w:rFonts w:ascii="Ebrima" w:hAnsi="Ebrima" w:cs="Times New Roman"/>
                <w:sz w:val="16"/>
                <w:szCs w:val="16"/>
              </w:rPr>
              <w:t>tools</w:t>
            </w:r>
            <w:proofErr w:type="gramEnd"/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 and analytical methods, makes use of quantitative and qualitative methods where data allows. Assumptions and uncertainties are explicitly stated</w:t>
            </w:r>
          </w:p>
        </w:tc>
      </w:tr>
      <w:tr w:rsidR="00F21A46" w:rsidRPr="003B2562" w14:paraId="07725470" w14:textId="77777777" w:rsidTr="00F21A46">
        <w:trPr>
          <w:trHeight w:val="52"/>
        </w:trPr>
        <w:tc>
          <w:tcPr>
            <w:tcW w:w="335" w:type="pct"/>
            <w:vMerge/>
            <w:hideMark/>
          </w:tcPr>
          <w:p w14:paraId="42ABB2BA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4FF45EEA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4" w:type="pct"/>
            <w:hideMark/>
          </w:tcPr>
          <w:p w14:paraId="6CEA0C93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 xml:space="preserve">The conclusions of the CEA are accessible and are compiled in a document that clearly states predicted impacts before and after proposed mitigation measures, </w:t>
            </w:r>
            <w:proofErr w:type="gramStart"/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assumptions</w:t>
            </w:r>
            <w:proofErr w:type="gramEnd"/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 xml:space="preserve"> and uncertainties</w:t>
            </w:r>
          </w:p>
        </w:tc>
        <w:tc>
          <w:tcPr>
            <w:tcW w:w="735" w:type="pct"/>
            <w:hideMark/>
          </w:tcPr>
          <w:p w14:paraId="69F14DE0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The conclusions of the CEA are difficult to access and supporting assumptions are unstated</w:t>
            </w:r>
          </w:p>
        </w:tc>
        <w:tc>
          <w:tcPr>
            <w:tcW w:w="899" w:type="pct"/>
            <w:hideMark/>
          </w:tcPr>
          <w:p w14:paraId="6945688F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The conclusions of the CEA are scattered and supporting assumptions are unstated or are unclear</w:t>
            </w:r>
          </w:p>
        </w:tc>
        <w:tc>
          <w:tcPr>
            <w:tcW w:w="900" w:type="pct"/>
            <w:hideMark/>
          </w:tcPr>
          <w:p w14:paraId="26C91C27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The conclusions of the CEA are compiled and easy to access. Supporting assumptions and uncertainties are partly addressed or are unclear in the conclusion section</w:t>
            </w:r>
          </w:p>
        </w:tc>
        <w:tc>
          <w:tcPr>
            <w:tcW w:w="899" w:type="pct"/>
            <w:hideMark/>
          </w:tcPr>
          <w:p w14:paraId="0C49D4B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The conclusions of the CEA are compiled and easy to access. Supporting assumptions and uncertainties are explicitly addressed and are presented within the conclusion section</w:t>
            </w:r>
          </w:p>
        </w:tc>
      </w:tr>
      <w:tr w:rsidR="00F21A46" w:rsidRPr="003B2562" w14:paraId="291FE0B4" w14:textId="77777777" w:rsidTr="00213780">
        <w:trPr>
          <w:trHeight w:val="374"/>
        </w:trPr>
        <w:tc>
          <w:tcPr>
            <w:tcW w:w="335" w:type="pct"/>
            <w:vMerge w:val="restart"/>
            <w:textDirection w:val="btLr"/>
            <w:vAlign w:val="center"/>
            <w:hideMark/>
          </w:tcPr>
          <w:p w14:paraId="481E0C00" w14:textId="77777777" w:rsidR="00F21A46" w:rsidRPr="00C6743C" w:rsidRDefault="00F21A46" w:rsidP="00213780">
            <w:pPr>
              <w:ind w:left="113" w:right="113"/>
              <w:jc w:val="center"/>
              <w:rPr>
                <w:rFonts w:ascii="Ebrima" w:hAnsi="Ebrima" w:cs="Times New Roman"/>
                <w:sz w:val="16"/>
                <w:szCs w:val="16"/>
              </w:rPr>
            </w:pPr>
            <w:proofErr w:type="gramStart"/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Space  and</w:t>
            </w:r>
            <w:proofErr w:type="gramEnd"/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 xml:space="preserve"> Time</w:t>
            </w:r>
          </w:p>
        </w:tc>
        <w:tc>
          <w:tcPr>
            <w:tcW w:w="168" w:type="pct"/>
            <w:vAlign w:val="center"/>
            <w:hideMark/>
          </w:tcPr>
          <w:p w14:paraId="43BF487F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4" w:type="pct"/>
            <w:hideMark/>
          </w:tcPr>
          <w:p w14:paraId="1C4D0A94" w14:textId="77777777" w:rsidR="00F21A46" w:rsidRPr="00C6743C" w:rsidRDefault="00F21A46" w:rsidP="00213780">
            <w:pPr>
              <w:rPr>
                <w:rFonts w:ascii="Ebrima" w:hAnsi="Ebrima" w:cs="Times New Roman"/>
                <w:i/>
                <w:i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temporal extent of pressures associated with other activities included in the CEA are identified by a scoping process and documented</w:t>
            </w:r>
          </w:p>
        </w:tc>
        <w:tc>
          <w:tcPr>
            <w:tcW w:w="735" w:type="pct"/>
            <w:hideMark/>
          </w:tcPr>
          <w:p w14:paraId="529B8C75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extent of 'other' activities or pressures are not documented</w:t>
            </w:r>
          </w:p>
        </w:tc>
        <w:tc>
          <w:tcPr>
            <w:tcW w:w="899" w:type="pct"/>
            <w:hideMark/>
          </w:tcPr>
          <w:p w14:paraId="3468434A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extent of 'other' activities leading to pressures are described without a clear process to scope/screen which 'other' activities are described</w:t>
            </w:r>
          </w:p>
        </w:tc>
        <w:tc>
          <w:tcPr>
            <w:tcW w:w="900" w:type="pct"/>
            <w:hideMark/>
          </w:tcPr>
          <w:p w14:paraId="1EEA3F1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extent of pressures arising from 'other' activities are described</w:t>
            </w:r>
          </w:p>
        </w:tc>
        <w:tc>
          <w:tcPr>
            <w:tcW w:w="899" w:type="pct"/>
            <w:hideMark/>
          </w:tcPr>
          <w:p w14:paraId="1B83C4C1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extent of pressures arising from 'other' activities are described following a clear scoping/screening process to identify pressures to take forward in the EIA/CEA</w:t>
            </w:r>
          </w:p>
        </w:tc>
      </w:tr>
      <w:tr w:rsidR="00F21A46" w:rsidRPr="003B2562" w14:paraId="13DF9ED9" w14:textId="77777777" w:rsidTr="00F21A46">
        <w:trPr>
          <w:trHeight w:val="99"/>
        </w:trPr>
        <w:tc>
          <w:tcPr>
            <w:tcW w:w="335" w:type="pct"/>
            <w:vMerge/>
            <w:hideMark/>
          </w:tcPr>
          <w:p w14:paraId="46FC22E5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51D38C4C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4" w:type="pct"/>
            <w:hideMark/>
          </w:tcPr>
          <w:p w14:paraId="3BBA2909" w14:textId="77777777" w:rsidR="00F21A46" w:rsidRPr="00C6743C" w:rsidRDefault="00F21A46" w:rsidP="00213780">
            <w:pPr>
              <w:rPr>
                <w:rFonts w:ascii="Ebrima" w:hAnsi="Ebrima" w:cs="Times New Roman"/>
                <w:i/>
                <w:i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spatial extent of pressures associated with other activities included in the CEA are identified by a scoping process and documented</w:t>
            </w:r>
          </w:p>
        </w:tc>
        <w:tc>
          <w:tcPr>
            <w:tcW w:w="735" w:type="pct"/>
            <w:hideMark/>
          </w:tcPr>
          <w:p w14:paraId="6FC5078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extent of 'other' activities or pressures are not documented</w:t>
            </w:r>
          </w:p>
        </w:tc>
        <w:tc>
          <w:tcPr>
            <w:tcW w:w="899" w:type="pct"/>
            <w:hideMark/>
          </w:tcPr>
          <w:p w14:paraId="74BF786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extent of 'other' activities leading to pressures are described without a clear process to scope/screen which 'other' activities are described</w:t>
            </w:r>
          </w:p>
        </w:tc>
        <w:tc>
          <w:tcPr>
            <w:tcW w:w="900" w:type="pct"/>
            <w:hideMark/>
          </w:tcPr>
          <w:p w14:paraId="707BBD1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extent of pressures arising from 'other' activities are described</w:t>
            </w:r>
          </w:p>
        </w:tc>
        <w:tc>
          <w:tcPr>
            <w:tcW w:w="899" w:type="pct"/>
            <w:hideMark/>
          </w:tcPr>
          <w:p w14:paraId="5612374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extent of pressures arising 'other' activities are described following a clear scoping/screening process to identify pressures to take forward in the EIA/CEA</w:t>
            </w:r>
          </w:p>
        </w:tc>
      </w:tr>
      <w:tr w:rsidR="00F21A46" w:rsidRPr="003B2562" w14:paraId="12C21F34" w14:textId="77777777" w:rsidTr="00F21A46">
        <w:trPr>
          <w:trHeight w:val="137"/>
        </w:trPr>
        <w:tc>
          <w:tcPr>
            <w:tcW w:w="335" w:type="pct"/>
            <w:vMerge/>
            <w:hideMark/>
          </w:tcPr>
          <w:p w14:paraId="04DDAE92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477ED24F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4" w:type="pct"/>
            <w:hideMark/>
          </w:tcPr>
          <w:p w14:paraId="6756EE2C" w14:textId="77777777" w:rsidR="00F21A46" w:rsidRPr="00C6743C" w:rsidRDefault="00F21A46" w:rsidP="00213780">
            <w:pPr>
              <w:rPr>
                <w:rFonts w:ascii="Ebrima" w:hAnsi="Ebrima" w:cs="Times New Roman"/>
                <w:i/>
                <w:i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CEA applies appropriate temporal boundaries relative to the receptor selected for assessment in the CEA</w:t>
            </w:r>
          </w:p>
        </w:tc>
        <w:tc>
          <w:tcPr>
            <w:tcW w:w="735" w:type="pct"/>
            <w:hideMark/>
          </w:tcPr>
          <w:p w14:paraId="0CFC0726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boundaries not defined</w:t>
            </w:r>
          </w:p>
        </w:tc>
        <w:tc>
          <w:tcPr>
            <w:tcW w:w="899" w:type="pct"/>
            <w:hideMark/>
          </w:tcPr>
          <w:p w14:paraId="3BAAE544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Temporal boundaries defined but relate to duration of activity or </w:t>
            </w:r>
            <w:proofErr w:type="spellStart"/>
            <w:r w:rsidRPr="00C6743C">
              <w:rPr>
                <w:rFonts w:ascii="Ebrima" w:hAnsi="Ebrima" w:cs="Times New Roman"/>
                <w:sz w:val="16"/>
                <w:szCs w:val="16"/>
              </w:rPr>
              <w:t>subactivity</w:t>
            </w:r>
            <w:proofErr w:type="spellEnd"/>
            <w:r w:rsidRPr="00C6743C">
              <w:rPr>
                <w:rFonts w:ascii="Ebrima" w:hAnsi="Ebrima" w:cs="Times New Roman"/>
                <w:sz w:val="16"/>
                <w:szCs w:val="16"/>
              </w:rPr>
              <w:t>, not to receptor</w:t>
            </w:r>
          </w:p>
        </w:tc>
        <w:tc>
          <w:tcPr>
            <w:tcW w:w="900" w:type="pct"/>
            <w:hideMark/>
          </w:tcPr>
          <w:p w14:paraId="262A3ED7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boundaries defined and supported by rationale for decision relative to receptors</w:t>
            </w:r>
          </w:p>
        </w:tc>
        <w:tc>
          <w:tcPr>
            <w:tcW w:w="899" w:type="pct"/>
            <w:hideMark/>
          </w:tcPr>
          <w:p w14:paraId="3DB98F7A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Temporal boundaries defined, supported by rationale for decision and clearly relate to temporal pressures relative to the receptors</w:t>
            </w:r>
          </w:p>
        </w:tc>
      </w:tr>
      <w:tr w:rsidR="00F21A46" w:rsidRPr="003B2562" w14:paraId="12224453" w14:textId="77777777" w:rsidTr="00F21A46">
        <w:trPr>
          <w:trHeight w:val="938"/>
        </w:trPr>
        <w:tc>
          <w:tcPr>
            <w:tcW w:w="335" w:type="pct"/>
            <w:vMerge/>
            <w:hideMark/>
          </w:tcPr>
          <w:p w14:paraId="3C33C63D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2948DC6A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4" w:type="pct"/>
            <w:hideMark/>
          </w:tcPr>
          <w:p w14:paraId="6B3CA892" w14:textId="77777777" w:rsidR="00F21A46" w:rsidRPr="00C6743C" w:rsidRDefault="00F21A46" w:rsidP="00213780">
            <w:pPr>
              <w:rPr>
                <w:rFonts w:ascii="Ebrima" w:hAnsi="Ebrima" w:cs="Times New Roman"/>
                <w:i/>
                <w:i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CEA applies appropriate spatial boundaries relative to the receptors selected for assessment in the CEA</w:t>
            </w:r>
          </w:p>
        </w:tc>
        <w:tc>
          <w:tcPr>
            <w:tcW w:w="735" w:type="pct"/>
            <w:hideMark/>
          </w:tcPr>
          <w:p w14:paraId="111BCF9E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boundaries not defined</w:t>
            </w:r>
          </w:p>
        </w:tc>
        <w:tc>
          <w:tcPr>
            <w:tcW w:w="899" w:type="pct"/>
            <w:hideMark/>
          </w:tcPr>
          <w:p w14:paraId="72F8AD7F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boundaries defined but relate to spatial scale of the activity, not a receptor appropriate scale</w:t>
            </w:r>
          </w:p>
        </w:tc>
        <w:tc>
          <w:tcPr>
            <w:tcW w:w="900" w:type="pct"/>
            <w:hideMark/>
          </w:tcPr>
          <w:p w14:paraId="4924DDD1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boundaries defined and supported by rationale for decision relative to receptors</w:t>
            </w:r>
          </w:p>
        </w:tc>
        <w:tc>
          <w:tcPr>
            <w:tcW w:w="899" w:type="pct"/>
            <w:hideMark/>
          </w:tcPr>
          <w:p w14:paraId="265E7E5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Spatial boundaries defined, supported by rationale for decision and clearly relate to spatial pressures relative to the receptors</w:t>
            </w:r>
          </w:p>
        </w:tc>
      </w:tr>
      <w:tr w:rsidR="00F21A46" w:rsidRPr="003B2562" w14:paraId="2F84CC9A" w14:textId="77777777" w:rsidTr="00F21A46">
        <w:trPr>
          <w:trHeight w:val="416"/>
        </w:trPr>
        <w:tc>
          <w:tcPr>
            <w:tcW w:w="335" w:type="pct"/>
            <w:vMerge w:val="restart"/>
            <w:textDirection w:val="btLr"/>
            <w:vAlign w:val="center"/>
            <w:hideMark/>
          </w:tcPr>
          <w:p w14:paraId="47A3E0C5" w14:textId="77777777" w:rsidR="00F21A46" w:rsidRPr="00C6743C" w:rsidRDefault="00F21A46" w:rsidP="00213780">
            <w:pPr>
              <w:ind w:left="113" w:right="113"/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Cumulative Effects</w:t>
            </w:r>
          </w:p>
        </w:tc>
        <w:tc>
          <w:tcPr>
            <w:tcW w:w="168" w:type="pct"/>
            <w:vAlign w:val="center"/>
            <w:hideMark/>
          </w:tcPr>
          <w:p w14:paraId="74F2BD61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64" w:type="pct"/>
            <w:hideMark/>
          </w:tcPr>
          <w:p w14:paraId="1F582DF2" w14:textId="77777777" w:rsidR="00F21A46" w:rsidRPr="00C6743C" w:rsidRDefault="00F21A46" w:rsidP="00213780">
            <w:pPr>
              <w:rPr>
                <w:rFonts w:ascii="Ebrima" w:hAnsi="Ebrima" w:cs="Times New Roman"/>
                <w:i/>
                <w:i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effects of multiple stressors from the proposed activity on receptors are assessed</w:t>
            </w:r>
          </w:p>
        </w:tc>
        <w:tc>
          <w:tcPr>
            <w:tcW w:w="735" w:type="pct"/>
            <w:hideMark/>
          </w:tcPr>
          <w:p w14:paraId="14E7728F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Effects of multiple stressors not considered</w:t>
            </w:r>
          </w:p>
        </w:tc>
        <w:tc>
          <w:tcPr>
            <w:tcW w:w="899" w:type="pct"/>
            <w:hideMark/>
          </w:tcPr>
          <w:p w14:paraId="0E22A30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Effects of multiple stressors from proposed activity on receptors are assessed, but rationale for combination of stressors not clear</w:t>
            </w:r>
          </w:p>
        </w:tc>
        <w:tc>
          <w:tcPr>
            <w:tcW w:w="900" w:type="pct"/>
            <w:hideMark/>
          </w:tcPr>
          <w:p w14:paraId="61D51D8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Effects of multiple stressors from proposed activity on receptors assessed supported by clear rationale for selection </w:t>
            </w:r>
            <w:r w:rsidRPr="00C6743C">
              <w:rPr>
                <w:rFonts w:ascii="Ebrima" w:hAnsi="Ebrima" w:cs="Times New Roman"/>
                <w:sz w:val="16"/>
                <w:szCs w:val="16"/>
              </w:rPr>
              <w:lastRenderedPageBreak/>
              <w:t>of stressors relative to receptors</w:t>
            </w:r>
          </w:p>
        </w:tc>
        <w:tc>
          <w:tcPr>
            <w:tcW w:w="899" w:type="pct"/>
            <w:hideMark/>
          </w:tcPr>
          <w:p w14:paraId="47DACA04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lastRenderedPageBreak/>
              <w:t xml:space="preserve">Effects of multiple stressors from proposed activity on receptors assessed supported by clear rationale for selection of stressors relative to </w:t>
            </w:r>
            <w:r w:rsidRPr="00C6743C">
              <w:rPr>
                <w:rFonts w:ascii="Ebrima" w:hAnsi="Ebrima" w:cs="Times New Roman"/>
                <w:sz w:val="16"/>
                <w:szCs w:val="16"/>
              </w:rPr>
              <w:lastRenderedPageBreak/>
              <w:t>receptors. Assumptions and uncertainties clearly stated</w:t>
            </w:r>
          </w:p>
        </w:tc>
      </w:tr>
      <w:tr w:rsidR="00F21A46" w:rsidRPr="003B2562" w14:paraId="1687100C" w14:textId="77777777" w:rsidTr="00F21A46">
        <w:trPr>
          <w:trHeight w:val="1294"/>
        </w:trPr>
        <w:tc>
          <w:tcPr>
            <w:tcW w:w="335" w:type="pct"/>
            <w:vMerge/>
            <w:hideMark/>
          </w:tcPr>
          <w:p w14:paraId="14A9FEE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58A56871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64" w:type="pct"/>
            <w:hideMark/>
          </w:tcPr>
          <w:p w14:paraId="5CA4A68B" w14:textId="77777777" w:rsidR="00F21A46" w:rsidRPr="00C6743C" w:rsidRDefault="00F21A46" w:rsidP="00213780">
            <w:pPr>
              <w:rPr>
                <w:rFonts w:ascii="Ebrima" w:hAnsi="Ebrima" w:cs="Times New Roman"/>
                <w:i/>
                <w:iCs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The effects of multiple stressors from the proposed activity and other activities on receptors are assessed</w:t>
            </w:r>
          </w:p>
        </w:tc>
        <w:tc>
          <w:tcPr>
            <w:tcW w:w="735" w:type="pct"/>
            <w:hideMark/>
          </w:tcPr>
          <w:p w14:paraId="33960720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Effects of multiple stressors not considered</w:t>
            </w:r>
          </w:p>
        </w:tc>
        <w:tc>
          <w:tcPr>
            <w:tcW w:w="899" w:type="pct"/>
            <w:hideMark/>
          </w:tcPr>
          <w:p w14:paraId="1D9C2E4B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Effects of multiple stressors from proposed activity and other activities on receptors are assessed, but rationale for combination of stressors not clear</w:t>
            </w:r>
          </w:p>
        </w:tc>
        <w:tc>
          <w:tcPr>
            <w:tcW w:w="900" w:type="pct"/>
            <w:hideMark/>
          </w:tcPr>
          <w:p w14:paraId="0BA8BAA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Effects of multiple stressors from proposed activity and other activities on receptors assessed supported by clear rationale for selection of stressors relative to receptors</w:t>
            </w:r>
          </w:p>
        </w:tc>
        <w:tc>
          <w:tcPr>
            <w:tcW w:w="899" w:type="pct"/>
            <w:hideMark/>
          </w:tcPr>
          <w:p w14:paraId="630D767A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Effects of multiple stressors from proposed activity and other activities on receptors assessed supported by clear rationale for selection of stressors relative to receptors. Assumptions and uncertainties clearly stated</w:t>
            </w:r>
          </w:p>
        </w:tc>
      </w:tr>
      <w:tr w:rsidR="00F21A46" w:rsidRPr="003B2562" w14:paraId="3343C35A" w14:textId="77777777" w:rsidTr="00F21A46">
        <w:trPr>
          <w:trHeight w:val="1026"/>
        </w:trPr>
        <w:tc>
          <w:tcPr>
            <w:tcW w:w="335" w:type="pct"/>
            <w:vMerge/>
            <w:hideMark/>
          </w:tcPr>
          <w:p w14:paraId="567F5B26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6ED8A2E2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64" w:type="pct"/>
            <w:hideMark/>
          </w:tcPr>
          <w:p w14:paraId="07EDAF64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A clear rationale for determining impact significance is presented and conclusions clearly relate to predicted change against an appropriate measure of population change</w:t>
            </w:r>
          </w:p>
        </w:tc>
        <w:tc>
          <w:tcPr>
            <w:tcW w:w="735" w:type="pct"/>
            <w:hideMark/>
          </w:tcPr>
          <w:p w14:paraId="446E4966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Method used to determine impact significance unclear</w:t>
            </w:r>
          </w:p>
        </w:tc>
        <w:tc>
          <w:tcPr>
            <w:tcW w:w="899" w:type="pct"/>
            <w:hideMark/>
          </w:tcPr>
          <w:p w14:paraId="56029F20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 xml:space="preserve">Method to determine impact significance is clear, however relies on qualitative decision making and/or without reference to measure of population change (threshold, PBR, </w:t>
            </w:r>
            <w:proofErr w:type="spellStart"/>
            <w:r w:rsidRPr="00C6743C">
              <w:rPr>
                <w:rFonts w:ascii="Ebrima" w:hAnsi="Ebrima" w:cs="Times New Roman"/>
                <w:sz w:val="16"/>
                <w:szCs w:val="16"/>
              </w:rPr>
              <w:t>etc</w:t>
            </w:r>
            <w:proofErr w:type="spellEnd"/>
            <w:r w:rsidRPr="00C6743C">
              <w:rPr>
                <w:rFonts w:ascii="Ebrima" w:hAnsi="Ebrima" w:cs="Times New Roman"/>
                <w:sz w:val="16"/>
                <w:szCs w:val="16"/>
              </w:rPr>
              <w:t>)</w:t>
            </w:r>
          </w:p>
        </w:tc>
        <w:tc>
          <w:tcPr>
            <w:tcW w:w="900" w:type="pct"/>
            <w:hideMark/>
          </w:tcPr>
          <w:p w14:paraId="3D9F7CFF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Quantitative and/or qualitative methods used to determine impact significance supported by appropriate use of tools and with reference to a measure of population change</w:t>
            </w:r>
          </w:p>
        </w:tc>
        <w:tc>
          <w:tcPr>
            <w:tcW w:w="899" w:type="pct"/>
            <w:hideMark/>
          </w:tcPr>
          <w:p w14:paraId="2A8B0B78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Quantitative methods used to determine impact significance supported by tools and with clear reference to thresholds, PBR or other measure of population change</w:t>
            </w:r>
          </w:p>
        </w:tc>
      </w:tr>
      <w:tr w:rsidR="00F21A46" w:rsidRPr="003B2562" w14:paraId="7FCB5C53" w14:textId="77777777" w:rsidTr="00F21A46">
        <w:trPr>
          <w:trHeight w:val="415"/>
        </w:trPr>
        <w:tc>
          <w:tcPr>
            <w:tcW w:w="335" w:type="pct"/>
            <w:vMerge/>
            <w:hideMark/>
          </w:tcPr>
          <w:p w14:paraId="49AA157B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  <w:hideMark/>
          </w:tcPr>
          <w:p w14:paraId="1D06FBF5" w14:textId="77777777" w:rsidR="00F21A46" w:rsidRPr="00C6743C" w:rsidRDefault="00F21A46" w:rsidP="00213780">
            <w:pPr>
              <w:jc w:val="center"/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64" w:type="pct"/>
            <w:hideMark/>
          </w:tcPr>
          <w:p w14:paraId="2FFCAB8A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i/>
                <w:iCs/>
                <w:sz w:val="16"/>
                <w:szCs w:val="16"/>
              </w:rPr>
              <w:t>Uncertainty is explicitly considered and clearly identified</w:t>
            </w:r>
          </w:p>
        </w:tc>
        <w:tc>
          <w:tcPr>
            <w:tcW w:w="735" w:type="pct"/>
            <w:hideMark/>
          </w:tcPr>
          <w:p w14:paraId="0B4D9631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Uncertainty not explicitly considered</w:t>
            </w:r>
          </w:p>
        </w:tc>
        <w:tc>
          <w:tcPr>
            <w:tcW w:w="899" w:type="pct"/>
            <w:hideMark/>
          </w:tcPr>
          <w:p w14:paraId="3A878D19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Uncertainty referenced in the CEA methodology but not defined. The process of considering uncertainty is not clear</w:t>
            </w:r>
          </w:p>
        </w:tc>
        <w:tc>
          <w:tcPr>
            <w:tcW w:w="900" w:type="pct"/>
            <w:hideMark/>
          </w:tcPr>
          <w:p w14:paraId="7D3CD3DE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Uncertainty referenced in the CEA methodology and is defined. The process of considering uncertainty is clear</w:t>
            </w:r>
          </w:p>
        </w:tc>
        <w:tc>
          <w:tcPr>
            <w:tcW w:w="899" w:type="pct"/>
            <w:hideMark/>
          </w:tcPr>
          <w:p w14:paraId="2198D90C" w14:textId="77777777" w:rsidR="00F21A46" w:rsidRPr="00C6743C" w:rsidRDefault="00F21A46" w:rsidP="00213780">
            <w:pPr>
              <w:rPr>
                <w:rFonts w:ascii="Ebrima" w:hAnsi="Ebrima" w:cs="Times New Roman"/>
                <w:sz w:val="16"/>
                <w:szCs w:val="16"/>
              </w:rPr>
            </w:pPr>
            <w:r w:rsidRPr="00C6743C">
              <w:rPr>
                <w:rFonts w:ascii="Ebrima" w:hAnsi="Ebrima" w:cs="Times New Roman"/>
                <w:sz w:val="16"/>
                <w:szCs w:val="16"/>
              </w:rPr>
              <w:t>Uncertainty referenced in the CEA methodology and is defined. Uncertainty clearly included in assessment sections</w:t>
            </w:r>
          </w:p>
        </w:tc>
      </w:tr>
    </w:tbl>
    <w:p w14:paraId="37A1DA7B" w14:textId="77777777" w:rsidR="00F21A46" w:rsidRDefault="00F21A46" w:rsidP="00F21A46">
      <w:pPr>
        <w:rPr>
          <w:rFonts w:cs="Times New Roman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F21A46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1A4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3</Pages>
  <Words>1189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Hague, Emily L</cp:lastModifiedBy>
  <cp:revision>2</cp:revision>
  <cp:lastPrinted>2013-10-03T12:51:00Z</cp:lastPrinted>
  <dcterms:created xsi:type="dcterms:W3CDTF">2021-11-23T15:43:00Z</dcterms:created>
  <dcterms:modified xsi:type="dcterms:W3CDTF">2021-11-23T15:43:00Z</dcterms:modified>
</cp:coreProperties>
</file>