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9EBC" w14:textId="77777777" w:rsidR="00C95478" w:rsidRPr="00C95478" w:rsidRDefault="00C95478" w:rsidP="00C95478">
      <w:pPr>
        <w:spacing w:line="400" w:lineRule="exact"/>
        <w:rPr>
          <w:rFonts w:ascii="Times New Roman" w:eastAsia="等线" w:hAnsi="Times New Roman" w:cs="Times New Roman"/>
          <w:spacing w:val="2"/>
          <w:kern w:val="0"/>
          <w:sz w:val="24"/>
          <w:szCs w:val="24"/>
          <w:lang w:val="en-GB" w:eastAsia="en-GB"/>
        </w:rPr>
      </w:pPr>
    </w:p>
    <w:p w14:paraId="4ED35488" w14:textId="77777777" w:rsidR="00C95478" w:rsidRPr="00C95478" w:rsidRDefault="00C95478" w:rsidP="00C95478">
      <w:pPr>
        <w:keepNext/>
        <w:widowControl/>
        <w:spacing w:before="240" w:after="120"/>
        <w:jc w:val="left"/>
        <w:outlineLvl w:val="0"/>
        <w:rPr>
          <w:rFonts w:ascii="Times New Roman" w:eastAsia="等线" w:hAnsi="Times New Roman" w:cs="Arial"/>
          <w:b/>
          <w:bCs/>
          <w:kern w:val="32"/>
          <w:sz w:val="24"/>
          <w:szCs w:val="24"/>
          <w:lang w:val="en-GB" w:eastAsia="en-GB"/>
        </w:rPr>
      </w:pPr>
      <w:bookmarkStart w:id="0" w:name="_Hlk73360784"/>
      <w:r w:rsidRPr="00C95478">
        <w:rPr>
          <w:rFonts w:ascii="Times New Roman" w:eastAsia="等线" w:hAnsi="Times New Roman" w:cs="Arial"/>
          <w:b/>
          <w:bCs/>
          <w:kern w:val="32"/>
          <w:sz w:val="24"/>
          <w:szCs w:val="24"/>
          <w:lang w:val="en-GB" w:eastAsia="en-GB"/>
        </w:rPr>
        <w:t>Appendix A</w:t>
      </w:r>
    </w:p>
    <w:bookmarkEnd w:id="0"/>
    <w:p w14:paraId="1C5ED520" w14:textId="77777777" w:rsidR="00C95478" w:rsidRPr="00C95478" w:rsidRDefault="00C95478" w:rsidP="00C95478">
      <w:pPr>
        <w:spacing w:line="400" w:lineRule="exact"/>
        <w:rPr>
          <w:rFonts w:ascii="Times New Roman" w:eastAsia="宋体" w:hAnsi="Times New Roman" w:cs="Times New Roman"/>
          <w:sz w:val="24"/>
          <w:szCs w:val="24"/>
        </w:rPr>
      </w:pPr>
      <w:r w:rsidRPr="00C95478">
        <w:rPr>
          <w:rFonts w:ascii="Times New Roman" w:eastAsia="宋体" w:hAnsi="Times New Roman" w:cs="Times New Roman" w:hint="eastAsia"/>
          <w:sz w:val="24"/>
          <w:szCs w:val="24"/>
        </w:rPr>
        <w:t>T</w:t>
      </w:r>
      <w:r w:rsidRPr="00C95478">
        <w:rPr>
          <w:rFonts w:ascii="Times New Roman" w:eastAsia="宋体" w:hAnsi="Times New Roman" w:cs="Times New Roman"/>
          <w:sz w:val="24"/>
          <w:szCs w:val="24"/>
        </w:rPr>
        <w:t>able A1</w:t>
      </w:r>
    </w:p>
    <w:p w14:paraId="7D22FFCB" w14:textId="77777777" w:rsidR="00C95478" w:rsidRPr="00C95478" w:rsidRDefault="00C95478" w:rsidP="00C95478">
      <w:pPr>
        <w:spacing w:line="400" w:lineRule="exact"/>
        <w:rPr>
          <w:rFonts w:ascii="Times New Roman" w:eastAsia="宋体" w:hAnsi="Times New Roman" w:cs="Times New Roman"/>
          <w:sz w:val="24"/>
          <w:szCs w:val="24"/>
        </w:rPr>
      </w:pPr>
      <w:r w:rsidRPr="00C95478">
        <w:rPr>
          <w:rFonts w:ascii="Times New Roman" w:eastAsia="宋体" w:hAnsi="Times New Roman" w:cs="Times New Roman"/>
          <w:sz w:val="24"/>
          <w:szCs w:val="24"/>
        </w:rPr>
        <w:t>The IPC code of fossil energy technology</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665"/>
        <w:gridCol w:w="1721"/>
      </w:tblGrid>
      <w:tr w:rsidR="00C95478" w:rsidRPr="00C95478" w14:paraId="344200E7" w14:textId="77777777" w:rsidTr="00976BB2">
        <w:trPr>
          <w:trHeight w:val="106"/>
          <w:tblHeader/>
        </w:trPr>
        <w:tc>
          <w:tcPr>
            <w:tcW w:w="1843" w:type="dxa"/>
            <w:tcBorders>
              <w:top w:val="single" w:sz="4" w:space="0" w:color="auto"/>
              <w:bottom w:val="single" w:sz="4" w:space="0" w:color="auto"/>
            </w:tcBorders>
          </w:tcPr>
          <w:p w14:paraId="42BC006A" w14:textId="77777777" w:rsidR="00C95478" w:rsidRPr="00C95478" w:rsidRDefault="00C95478" w:rsidP="00C95478">
            <w:pPr>
              <w:spacing w:line="360" w:lineRule="auto"/>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Patent t</w:t>
            </w:r>
            <w:r w:rsidRPr="00C95478">
              <w:rPr>
                <w:rFonts w:ascii="Times New Roman" w:eastAsia="宋体" w:hAnsi="Times New Roman" w:cs="Times New Roman" w:hint="eastAsia"/>
                <w:sz w:val="20"/>
                <w:szCs w:val="20"/>
              </w:rPr>
              <w:t>ype</w:t>
            </w:r>
          </w:p>
        </w:tc>
        <w:tc>
          <w:tcPr>
            <w:tcW w:w="4820" w:type="dxa"/>
            <w:tcBorders>
              <w:top w:val="single" w:sz="4" w:space="0" w:color="auto"/>
              <w:bottom w:val="single" w:sz="4" w:space="0" w:color="auto"/>
            </w:tcBorders>
          </w:tcPr>
          <w:p w14:paraId="4168AB1D" w14:textId="77777777" w:rsidR="00C95478" w:rsidRPr="00C95478" w:rsidRDefault="00C95478" w:rsidP="00C95478">
            <w:pPr>
              <w:spacing w:line="360" w:lineRule="auto"/>
              <w:jc w:val="center"/>
              <w:rPr>
                <w:rFonts w:ascii="Times New Roman" w:eastAsia="宋体" w:hAnsi="Times New Roman" w:cs="Times New Roman"/>
                <w:sz w:val="20"/>
                <w:szCs w:val="20"/>
              </w:rPr>
            </w:pPr>
            <w:r w:rsidRPr="00C95478">
              <w:rPr>
                <w:rFonts w:ascii="Times New Roman" w:eastAsia="宋体" w:hAnsi="Times New Roman" w:cs="Times New Roman" w:hint="eastAsia"/>
                <w:sz w:val="20"/>
                <w:szCs w:val="20"/>
              </w:rPr>
              <w:t>D</w:t>
            </w:r>
            <w:r w:rsidRPr="00C95478">
              <w:rPr>
                <w:rFonts w:ascii="Times New Roman" w:eastAsia="宋体" w:hAnsi="Times New Roman" w:cs="Times New Roman"/>
                <w:sz w:val="20"/>
                <w:szCs w:val="20"/>
              </w:rPr>
              <w:t>escription</w:t>
            </w:r>
          </w:p>
        </w:tc>
        <w:tc>
          <w:tcPr>
            <w:tcW w:w="1751" w:type="dxa"/>
            <w:tcBorders>
              <w:top w:val="single" w:sz="4" w:space="0" w:color="auto"/>
              <w:bottom w:val="single" w:sz="4" w:space="0" w:color="auto"/>
            </w:tcBorders>
          </w:tcPr>
          <w:p w14:paraId="677951BF" w14:textId="77777777" w:rsidR="00C95478" w:rsidRPr="00C95478" w:rsidRDefault="00C95478" w:rsidP="00C95478">
            <w:pPr>
              <w:spacing w:line="360" w:lineRule="auto"/>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 xml:space="preserve">IPC Code </w:t>
            </w:r>
          </w:p>
        </w:tc>
      </w:tr>
      <w:tr w:rsidR="00C95478" w:rsidRPr="00C95478" w14:paraId="59AE1969" w14:textId="77777777" w:rsidTr="00976BB2">
        <w:trPr>
          <w:trHeight w:val="50"/>
        </w:trPr>
        <w:tc>
          <w:tcPr>
            <w:tcW w:w="1843" w:type="dxa"/>
            <w:tcBorders>
              <w:top w:val="single" w:sz="4" w:space="0" w:color="auto"/>
            </w:tcBorders>
          </w:tcPr>
          <w:p w14:paraId="632962B3"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Coal</w:t>
            </w:r>
          </w:p>
        </w:tc>
        <w:tc>
          <w:tcPr>
            <w:tcW w:w="4820" w:type="dxa"/>
            <w:tcBorders>
              <w:top w:val="single" w:sz="4" w:space="0" w:color="auto"/>
            </w:tcBorders>
          </w:tcPr>
          <w:p w14:paraId="45BC637D"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Production of fuel gases by carbureting air or other gases without pyrolysis</w:t>
            </w:r>
          </w:p>
        </w:tc>
        <w:tc>
          <w:tcPr>
            <w:tcW w:w="1751" w:type="dxa"/>
            <w:tcBorders>
              <w:top w:val="single" w:sz="4" w:space="0" w:color="auto"/>
            </w:tcBorders>
          </w:tcPr>
          <w:p w14:paraId="674192EA" w14:textId="77777777" w:rsidR="00C95478" w:rsidRPr="00C95478" w:rsidRDefault="00C95478" w:rsidP="00C95478">
            <w:pPr>
              <w:spacing w:line="360" w:lineRule="auto"/>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C10J</w:t>
            </w:r>
          </w:p>
        </w:tc>
      </w:tr>
      <w:tr w:rsidR="00C95478" w:rsidRPr="00C95478" w14:paraId="57170EED" w14:textId="77777777" w:rsidTr="00976BB2">
        <w:tc>
          <w:tcPr>
            <w:tcW w:w="1843" w:type="dxa"/>
          </w:tcPr>
          <w:p w14:paraId="0711BB66"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w:t>
            </w:r>
          </w:p>
        </w:tc>
        <w:tc>
          <w:tcPr>
            <w:tcW w:w="4820" w:type="dxa"/>
          </w:tcPr>
          <w:p w14:paraId="4E4EDAE5"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Steam engine plants; steam accumulators; engine plants not otherwise provided for; engines using special working fluids or cycles</w:t>
            </w:r>
          </w:p>
        </w:tc>
        <w:tc>
          <w:tcPr>
            <w:tcW w:w="1751" w:type="dxa"/>
          </w:tcPr>
          <w:p w14:paraId="42306ECA"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F01K</w:t>
            </w:r>
          </w:p>
        </w:tc>
      </w:tr>
      <w:tr w:rsidR="00C95478" w:rsidRPr="00C95478" w14:paraId="728FE63C" w14:textId="77777777" w:rsidTr="00976BB2">
        <w:tc>
          <w:tcPr>
            <w:tcW w:w="1843" w:type="dxa"/>
          </w:tcPr>
          <w:p w14:paraId="2AA4883E"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Turbines</w:t>
            </w:r>
          </w:p>
        </w:tc>
        <w:tc>
          <w:tcPr>
            <w:tcW w:w="4820" w:type="dxa"/>
          </w:tcPr>
          <w:p w14:paraId="050B8CD1"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Gas-turbine plants; air intakes for jet-propulsion plants; controlling fuel supply in air-breathing jet-propulsion plants</w:t>
            </w:r>
          </w:p>
        </w:tc>
        <w:tc>
          <w:tcPr>
            <w:tcW w:w="1751" w:type="dxa"/>
          </w:tcPr>
          <w:p w14:paraId="2725DCAF"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F02C</w:t>
            </w:r>
          </w:p>
        </w:tc>
      </w:tr>
      <w:tr w:rsidR="00C95478" w:rsidRPr="00C95478" w14:paraId="5359A22F" w14:textId="77777777" w:rsidTr="00976BB2">
        <w:tc>
          <w:tcPr>
            <w:tcW w:w="1843" w:type="dxa"/>
          </w:tcPr>
          <w:p w14:paraId="158082A3"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Hot gas</w:t>
            </w:r>
          </w:p>
        </w:tc>
        <w:tc>
          <w:tcPr>
            <w:tcW w:w="4820" w:type="dxa"/>
          </w:tcPr>
          <w:p w14:paraId="7E205DFC"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Hot-gas or combustion-product positive-displacement engine; Use of waste heat of combustion engines, not otherwise provided for</w:t>
            </w:r>
          </w:p>
        </w:tc>
        <w:tc>
          <w:tcPr>
            <w:tcW w:w="1751" w:type="dxa"/>
          </w:tcPr>
          <w:p w14:paraId="3AC28448"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F02G</w:t>
            </w:r>
          </w:p>
        </w:tc>
      </w:tr>
      <w:tr w:rsidR="00C95478" w:rsidRPr="00C95478" w14:paraId="25736911" w14:textId="77777777" w:rsidTr="00976BB2">
        <w:trPr>
          <w:trHeight w:val="140"/>
        </w:trPr>
        <w:tc>
          <w:tcPr>
            <w:tcW w:w="1843" w:type="dxa"/>
          </w:tcPr>
          <w:p w14:paraId="30AFD1B9"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Steam</w:t>
            </w:r>
          </w:p>
        </w:tc>
        <w:tc>
          <w:tcPr>
            <w:tcW w:w="4820" w:type="dxa"/>
          </w:tcPr>
          <w:p w14:paraId="640D6838"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Steam generation</w:t>
            </w:r>
          </w:p>
        </w:tc>
        <w:tc>
          <w:tcPr>
            <w:tcW w:w="1751" w:type="dxa"/>
          </w:tcPr>
          <w:p w14:paraId="71640727"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F22</w:t>
            </w:r>
          </w:p>
        </w:tc>
      </w:tr>
      <w:tr w:rsidR="00C95478" w:rsidRPr="00C95478" w14:paraId="1EEFE881" w14:textId="77777777" w:rsidTr="00976BB2">
        <w:trPr>
          <w:trHeight w:val="60"/>
        </w:trPr>
        <w:tc>
          <w:tcPr>
            <w:tcW w:w="1843" w:type="dxa"/>
          </w:tcPr>
          <w:p w14:paraId="57927B6E"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Burners</w:t>
            </w:r>
          </w:p>
        </w:tc>
        <w:tc>
          <w:tcPr>
            <w:tcW w:w="4820" w:type="dxa"/>
          </w:tcPr>
          <w:p w14:paraId="29960507"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Combustion apparatus; combustion processes</w:t>
            </w:r>
          </w:p>
        </w:tc>
        <w:tc>
          <w:tcPr>
            <w:tcW w:w="1751" w:type="dxa"/>
          </w:tcPr>
          <w:p w14:paraId="7B4B9DC1"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F23</w:t>
            </w:r>
          </w:p>
        </w:tc>
      </w:tr>
      <w:tr w:rsidR="00C95478" w:rsidRPr="00C95478" w14:paraId="6B251078" w14:textId="77777777" w:rsidTr="00976BB2">
        <w:trPr>
          <w:trHeight w:val="60"/>
        </w:trPr>
        <w:tc>
          <w:tcPr>
            <w:tcW w:w="1843" w:type="dxa"/>
          </w:tcPr>
          <w:p w14:paraId="74B76C36"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Furnaces</w:t>
            </w:r>
          </w:p>
        </w:tc>
        <w:tc>
          <w:tcPr>
            <w:tcW w:w="4820" w:type="dxa"/>
          </w:tcPr>
          <w:p w14:paraId="3BBF3B2B"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Furnaces; kilns; ovens; retorts</w:t>
            </w:r>
          </w:p>
        </w:tc>
        <w:tc>
          <w:tcPr>
            <w:tcW w:w="1751" w:type="dxa"/>
          </w:tcPr>
          <w:p w14:paraId="324DBBA9"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F27</w:t>
            </w:r>
          </w:p>
        </w:tc>
      </w:tr>
      <w:tr w:rsidR="00C95478" w:rsidRPr="00C95478" w14:paraId="2B1ED4A4" w14:textId="77777777" w:rsidTr="00976BB2">
        <w:trPr>
          <w:trHeight w:val="276"/>
        </w:trPr>
        <w:tc>
          <w:tcPr>
            <w:tcW w:w="1843" w:type="dxa"/>
            <w:vMerge w:val="restart"/>
          </w:tcPr>
          <w:p w14:paraId="07F5AFC7"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Fluidized bed combustion Description</w:t>
            </w:r>
          </w:p>
        </w:tc>
        <w:tc>
          <w:tcPr>
            <w:tcW w:w="4820" w:type="dxa"/>
          </w:tcPr>
          <w:p w14:paraId="77651339"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Chemical or physical processes in general, conducted in the presence of fluids and solid particles; apparatus for such processes; with liquid as the fluidizing medium</w:t>
            </w:r>
          </w:p>
        </w:tc>
        <w:tc>
          <w:tcPr>
            <w:tcW w:w="1751" w:type="dxa"/>
          </w:tcPr>
          <w:p w14:paraId="7B9F58CE"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B01J 8/20,22</w:t>
            </w:r>
          </w:p>
        </w:tc>
      </w:tr>
      <w:tr w:rsidR="00C95478" w:rsidRPr="00C95478" w14:paraId="42784842" w14:textId="77777777" w:rsidTr="00976BB2">
        <w:trPr>
          <w:trHeight w:val="60"/>
        </w:trPr>
        <w:tc>
          <w:tcPr>
            <w:tcW w:w="1843" w:type="dxa"/>
            <w:vMerge/>
          </w:tcPr>
          <w:p w14:paraId="58D07084" w14:textId="77777777" w:rsidR="00C95478" w:rsidRPr="00C95478" w:rsidRDefault="00C95478" w:rsidP="00C95478">
            <w:pPr>
              <w:jc w:val="center"/>
              <w:rPr>
                <w:rFonts w:ascii="Times New Roman" w:eastAsia="宋体" w:hAnsi="Times New Roman" w:cs="Times New Roman"/>
                <w:sz w:val="20"/>
                <w:szCs w:val="20"/>
              </w:rPr>
            </w:pPr>
          </w:p>
        </w:tc>
        <w:tc>
          <w:tcPr>
            <w:tcW w:w="4820" w:type="dxa"/>
          </w:tcPr>
          <w:p w14:paraId="4F796918"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Chemical or physical processes in general, conducted in the presence of fluids and solid particles; apparatus for such processes; according to the “fluidized-bed” technique</w:t>
            </w:r>
          </w:p>
        </w:tc>
        <w:tc>
          <w:tcPr>
            <w:tcW w:w="1751" w:type="dxa"/>
          </w:tcPr>
          <w:p w14:paraId="7FC1A232"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B01J 8/24-30</w:t>
            </w:r>
          </w:p>
        </w:tc>
      </w:tr>
      <w:tr w:rsidR="00C95478" w:rsidRPr="00C95478" w14:paraId="49CD651B" w14:textId="77777777" w:rsidTr="00976BB2">
        <w:trPr>
          <w:trHeight w:val="90"/>
        </w:trPr>
        <w:tc>
          <w:tcPr>
            <w:tcW w:w="1843" w:type="dxa"/>
            <w:vMerge w:val="restart"/>
          </w:tcPr>
          <w:p w14:paraId="1B78DBA1"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Ignition</w:t>
            </w:r>
          </w:p>
        </w:tc>
        <w:tc>
          <w:tcPr>
            <w:tcW w:w="4820" w:type="dxa"/>
          </w:tcPr>
          <w:p w14:paraId="068E6631"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 characterized by fuel-air mixture compression ignition</w:t>
            </w:r>
          </w:p>
        </w:tc>
        <w:tc>
          <w:tcPr>
            <w:tcW w:w="1751" w:type="dxa"/>
          </w:tcPr>
          <w:p w14:paraId="1FF309D8"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F02B 1/12,14</w:t>
            </w:r>
          </w:p>
        </w:tc>
      </w:tr>
      <w:tr w:rsidR="00C95478" w:rsidRPr="00C95478" w14:paraId="6AF2A902" w14:textId="77777777" w:rsidTr="00976BB2">
        <w:trPr>
          <w:trHeight w:val="86"/>
        </w:trPr>
        <w:tc>
          <w:tcPr>
            <w:tcW w:w="1843" w:type="dxa"/>
            <w:vMerge/>
          </w:tcPr>
          <w:p w14:paraId="67AC9B24" w14:textId="77777777" w:rsidR="00C95478" w:rsidRPr="00C95478" w:rsidRDefault="00C95478" w:rsidP="00C95478">
            <w:pPr>
              <w:spacing w:line="360" w:lineRule="auto"/>
              <w:rPr>
                <w:rFonts w:ascii="Times New Roman" w:eastAsia="宋体" w:hAnsi="Times New Roman" w:cs="Times New Roman"/>
                <w:sz w:val="20"/>
                <w:szCs w:val="20"/>
              </w:rPr>
            </w:pPr>
          </w:p>
        </w:tc>
        <w:tc>
          <w:tcPr>
            <w:tcW w:w="4820" w:type="dxa"/>
          </w:tcPr>
          <w:p w14:paraId="63C8A837"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 characterized by air compression and subsequent fuel addition; with compression ignition</w:t>
            </w:r>
          </w:p>
        </w:tc>
        <w:tc>
          <w:tcPr>
            <w:tcW w:w="1751" w:type="dxa"/>
          </w:tcPr>
          <w:p w14:paraId="23EA34A7"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F02B 3/06,08,10</w:t>
            </w:r>
          </w:p>
        </w:tc>
      </w:tr>
      <w:tr w:rsidR="00C95478" w:rsidRPr="00C95478" w14:paraId="0C8B942D" w14:textId="77777777" w:rsidTr="00976BB2">
        <w:trPr>
          <w:trHeight w:val="86"/>
        </w:trPr>
        <w:tc>
          <w:tcPr>
            <w:tcW w:w="1843" w:type="dxa"/>
            <w:vMerge/>
          </w:tcPr>
          <w:p w14:paraId="7A4A905C" w14:textId="77777777" w:rsidR="00C95478" w:rsidRPr="00C95478" w:rsidRDefault="00C95478" w:rsidP="00C95478">
            <w:pPr>
              <w:spacing w:line="360" w:lineRule="auto"/>
              <w:rPr>
                <w:rFonts w:ascii="Times New Roman" w:eastAsia="宋体" w:hAnsi="Times New Roman" w:cs="Times New Roman"/>
                <w:sz w:val="20"/>
                <w:szCs w:val="20"/>
              </w:rPr>
            </w:pPr>
          </w:p>
        </w:tc>
        <w:tc>
          <w:tcPr>
            <w:tcW w:w="4820" w:type="dxa"/>
          </w:tcPr>
          <w:p w14:paraId="19910326"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 characterized by the fuel-air charge being ignited by compression ignition of an additional fuel</w:t>
            </w:r>
          </w:p>
        </w:tc>
        <w:tc>
          <w:tcPr>
            <w:tcW w:w="1751" w:type="dxa"/>
          </w:tcPr>
          <w:p w14:paraId="6B3287AB"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F02B 7</w:t>
            </w:r>
          </w:p>
        </w:tc>
      </w:tr>
      <w:tr w:rsidR="00C95478" w:rsidRPr="00C95478" w14:paraId="729E3DD8" w14:textId="77777777" w:rsidTr="00976BB2">
        <w:trPr>
          <w:trHeight w:val="86"/>
        </w:trPr>
        <w:tc>
          <w:tcPr>
            <w:tcW w:w="1843" w:type="dxa"/>
            <w:vMerge/>
          </w:tcPr>
          <w:p w14:paraId="61C028EF" w14:textId="77777777" w:rsidR="00C95478" w:rsidRPr="00C95478" w:rsidRDefault="00C95478" w:rsidP="00C95478">
            <w:pPr>
              <w:spacing w:line="360" w:lineRule="auto"/>
              <w:rPr>
                <w:rFonts w:ascii="Times New Roman" w:eastAsia="宋体" w:hAnsi="Times New Roman" w:cs="Times New Roman"/>
                <w:sz w:val="20"/>
                <w:szCs w:val="20"/>
              </w:rPr>
            </w:pPr>
          </w:p>
        </w:tc>
        <w:tc>
          <w:tcPr>
            <w:tcW w:w="4820" w:type="dxa"/>
          </w:tcPr>
          <w:p w14:paraId="23EF4792"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 characterized by both fuel-air mixture compression and air compression, or characterized by both positive ignition and compression ignition, e.g., in different cylinders</w:t>
            </w:r>
          </w:p>
        </w:tc>
        <w:tc>
          <w:tcPr>
            <w:tcW w:w="1751" w:type="dxa"/>
          </w:tcPr>
          <w:p w14:paraId="2D997159"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F02B 11</w:t>
            </w:r>
          </w:p>
        </w:tc>
      </w:tr>
      <w:tr w:rsidR="00C95478" w:rsidRPr="00C95478" w14:paraId="638EEFD4" w14:textId="77777777" w:rsidTr="00976BB2">
        <w:trPr>
          <w:trHeight w:val="86"/>
        </w:trPr>
        <w:tc>
          <w:tcPr>
            <w:tcW w:w="1843" w:type="dxa"/>
            <w:vMerge/>
          </w:tcPr>
          <w:p w14:paraId="3BB7717E" w14:textId="77777777" w:rsidR="00C95478" w:rsidRPr="00C95478" w:rsidRDefault="00C95478" w:rsidP="00C95478">
            <w:pPr>
              <w:spacing w:line="360" w:lineRule="auto"/>
              <w:rPr>
                <w:rFonts w:ascii="Times New Roman" w:eastAsia="宋体" w:hAnsi="Times New Roman" w:cs="Times New Roman"/>
                <w:sz w:val="20"/>
                <w:szCs w:val="20"/>
              </w:rPr>
            </w:pPr>
          </w:p>
        </w:tc>
        <w:tc>
          <w:tcPr>
            <w:tcW w:w="4820" w:type="dxa"/>
          </w:tcPr>
          <w:p w14:paraId="0789C984"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Engines characterized by the introduction of liquid fuel into cylinders by use of auxiliary fluid; Compression ignition engines using air or gas for blowing fuel into compressed air in cylinder</w:t>
            </w:r>
          </w:p>
        </w:tc>
        <w:tc>
          <w:tcPr>
            <w:tcW w:w="1751" w:type="dxa"/>
          </w:tcPr>
          <w:p w14:paraId="4C047F28"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F02B 13/02,04</w:t>
            </w:r>
          </w:p>
        </w:tc>
      </w:tr>
      <w:tr w:rsidR="00C95478" w:rsidRPr="00C95478" w14:paraId="75D4114C" w14:textId="77777777" w:rsidTr="00976BB2">
        <w:trPr>
          <w:trHeight w:val="86"/>
        </w:trPr>
        <w:tc>
          <w:tcPr>
            <w:tcW w:w="1843" w:type="dxa"/>
            <w:vMerge/>
          </w:tcPr>
          <w:p w14:paraId="7D939119" w14:textId="77777777" w:rsidR="00C95478" w:rsidRPr="00C95478" w:rsidRDefault="00C95478" w:rsidP="00C95478">
            <w:pPr>
              <w:spacing w:line="360" w:lineRule="auto"/>
              <w:rPr>
                <w:rFonts w:ascii="Times New Roman" w:eastAsia="宋体" w:hAnsi="Times New Roman" w:cs="Times New Roman"/>
                <w:sz w:val="20"/>
                <w:szCs w:val="20"/>
              </w:rPr>
            </w:pPr>
          </w:p>
        </w:tc>
        <w:tc>
          <w:tcPr>
            <w:tcW w:w="4820" w:type="dxa"/>
          </w:tcPr>
          <w:p w14:paraId="21325A4E"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t>Methods of operating air-compressing compression-</w:t>
            </w:r>
            <w:r w:rsidRPr="00C95478">
              <w:rPr>
                <w:rFonts w:ascii="Times New Roman" w:eastAsia="宋体" w:hAnsi="Times New Roman" w:cs="Times New Roman"/>
                <w:sz w:val="20"/>
                <w:szCs w:val="20"/>
              </w:rPr>
              <w:lastRenderedPageBreak/>
              <w:t>ignition engines involving introduction of small quantities of fuel in the form of a fine mist into the air in the engine's intake</w:t>
            </w:r>
          </w:p>
        </w:tc>
        <w:tc>
          <w:tcPr>
            <w:tcW w:w="1751" w:type="dxa"/>
          </w:tcPr>
          <w:p w14:paraId="23BF1D4E" w14:textId="77777777" w:rsidR="00C95478" w:rsidRPr="00C95478" w:rsidRDefault="00C95478" w:rsidP="00C95478">
            <w:pPr>
              <w:jc w:val="center"/>
              <w:rPr>
                <w:rFonts w:ascii="Times New Roman" w:eastAsia="宋体" w:hAnsi="Times New Roman" w:cs="Times New Roman"/>
                <w:sz w:val="20"/>
                <w:szCs w:val="20"/>
              </w:rPr>
            </w:pPr>
            <w:r w:rsidRPr="00C95478">
              <w:rPr>
                <w:rFonts w:ascii="Times New Roman" w:eastAsia="宋体" w:hAnsi="Times New Roman" w:cs="Times New Roman"/>
                <w:sz w:val="20"/>
                <w:szCs w:val="20"/>
              </w:rPr>
              <w:lastRenderedPageBreak/>
              <w:t>F02B 49</w:t>
            </w:r>
          </w:p>
        </w:tc>
      </w:tr>
    </w:tbl>
    <w:p w14:paraId="63A89A40" w14:textId="77777777" w:rsidR="00C95478" w:rsidRPr="00C95478" w:rsidRDefault="00C95478" w:rsidP="00C95478">
      <w:pPr>
        <w:spacing w:line="400" w:lineRule="exact"/>
        <w:rPr>
          <w:rFonts w:ascii="Times New Roman" w:eastAsia="宋体" w:hAnsi="Times New Roman" w:cs="Times New Roman"/>
          <w:sz w:val="24"/>
          <w:szCs w:val="24"/>
        </w:rPr>
      </w:pPr>
      <w:r w:rsidRPr="00C95478">
        <w:rPr>
          <w:rFonts w:ascii="Times New Roman" w:eastAsia="宋体" w:hAnsi="Times New Roman" w:cs="Times New Roman"/>
          <w:sz w:val="24"/>
          <w:szCs w:val="24"/>
        </w:rPr>
        <w:t xml:space="preserve">As shown in Table A1, fossil energy mainly involves coal, oil, and gas. Thus, the IPC code of fossil energy technology, we refer to the research of </w:t>
      </w:r>
      <w:r w:rsidRPr="00C95478">
        <w:rPr>
          <w:rFonts w:ascii="Times New Roman" w:eastAsia="宋体" w:hAnsi="Times New Roman" w:cs="Times New Roman"/>
          <w:sz w:val="24"/>
          <w:szCs w:val="24"/>
        </w:rPr>
        <w:fldChar w:fldCharType="begin" w:fldLock="1"/>
      </w:r>
      <w:r w:rsidRPr="00C95478">
        <w:rPr>
          <w:rFonts w:ascii="Times New Roman" w:eastAsia="宋体" w:hAnsi="Times New Roman" w:cs="Times New Roman"/>
          <w:sz w:val="24"/>
          <w:szCs w:val="24"/>
        </w:rPr>
        <w:instrText>ADDIN CSL_CITATION {"citationItems":[{"id":"ITEM-1","itemData":{"DOI":"10.1016/j.jclepro.2019.05.270","ISSN":"09596526","abstract":"Based on China's provincial panel data from 2001 to 2015, the drivers of energy technological innovation, e.g., energy price, public financial policy, knowledge stocks, energy structure, and environmental regulation, are analyzed by using the generalized method of moment (GMM) in this paper. Through the construction of one kind of geometric distribution lag model, which is also called partial adjustment model, we empirically analyze and compare the influencing factors of energy technological innovation from the perspectives of fossil energy and renewable energy. The specific conclusions obtained in this paper are: (1) The impact of the energy price on fossil energy technological innovation is greater than renewable energy, which means that the current energy price in China is much lower than its optimal level and the development of renewable energy technology needs the support of price mechanism. (2) The development of these two kinds of energy technology innovation heavily relies on governmental policy support. (3) The accumulation of energy technology innovations will be conducive to the vertical spillover effect of knowledge, and further encourage the development of energy technology. Based on the above findings, we then propose some relevant policy proposals to promote energy technological innovation in China.","author":[{"dropping-particle":"","family":"Yang","given":"Fang","non-dropping-particle":"","parse-names":false,"suffix":""},{"dropping-particle":"","family":"Cheng","given":"Yuanyuan","non-dropping-particle":"","parse-names":false,"suffix":""},{"dropping-particle":"","family":"Yao","given":"Xin","non-dropping-particle":"","parse-names":false,"suffix":""}],"container-title":"Journal of Cleaner Production","id":"ITEM-1","issued":{"date-parts":[["2019"]]},"page":"57-66","publisher":"Elsevier Ltd","title":"Influencing factors of energy technical innovation in China: Evidence from fossil energy and renewable energy","type":"article-journal","volume":"232"},"uris":["http://www.mendeley.com/documents/?uuid=cdf49cfb-647b-4664-8aac-3c0a169b7fe0"]}],"mendeley":{"formattedCitation":"(Yang et al., 2019)","manualFormatting":"Yang et al. (2019)","plainTextFormattedCitation":"(Yang et al., 2019)","previouslyFormattedCitation":"(Yang et al., 2019)"},"properties":{"noteIndex":0},"schema":"https://github.com/citation-style-language/schema/raw/master/csl-citation.json"}</w:instrText>
      </w:r>
      <w:r w:rsidRPr="00C95478">
        <w:rPr>
          <w:rFonts w:ascii="Times New Roman" w:eastAsia="宋体" w:hAnsi="Times New Roman" w:cs="Times New Roman"/>
          <w:sz w:val="24"/>
          <w:szCs w:val="24"/>
        </w:rPr>
        <w:fldChar w:fldCharType="separate"/>
      </w:r>
      <w:r w:rsidRPr="00C95478">
        <w:rPr>
          <w:rFonts w:ascii="Times New Roman" w:eastAsia="宋体" w:hAnsi="Times New Roman" w:cs="Times New Roman"/>
          <w:noProof/>
          <w:sz w:val="24"/>
          <w:szCs w:val="24"/>
        </w:rPr>
        <w:t>Yang et al. (2019)</w:t>
      </w:r>
      <w:r w:rsidRPr="00C95478">
        <w:rPr>
          <w:rFonts w:ascii="Times New Roman" w:eastAsia="宋体" w:hAnsi="Times New Roman" w:cs="Times New Roman"/>
          <w:sz w:val="24"/>
          <w:szCs w:val="24"/>
        </w:rPr>
        <w:fldChar w:fldCharType="end"/>
      </w:r>
      <w:r w:rsidRPr="00C95478">
        <w:rPr>
          <w:rFonts w:ascii="Times New Roman" w:eastAsia="宋体" w:hAnsi="Times New Roman" w:cs="Times New Roman"/>
          <w:sz w:val="24"/>
          <w:szCs w:val="24"/>
        </w:rPr>
        <w:t xml:space="preserve">, </w:t>
      </w:r>
      <w:r w:rsidRPr="00C95478">
        <w:rPr>
          <w:rFonts w:ascii="Times New Roman" w:eastAsia="宋体" w:hAnsi="Times New Roman" w:cs="Times New Roman"/>
          <w:sz w:val="24"/>
          <w:szCs w:val="24"/>
        </w:rPr>
        <w:fldChar w:fldCharType="begin" w:fldLock="1"/>
      </w:r>
      <w:r w:rsidRPr="00C95478">
        <w:rPr>
          <w:rFonts w:ascii="Times New Roman" w:eastAsia="宋体" w:hAnsi="Times New Roman" w:cs="Times New Roman"/>
          <w:sz w:val="24"/>
          <w:szCs w:val="24"/>
        </w:rPr>
        <w:instrText>ADDIN CSL_CITATION {"citationItems":[{"id":"ITEM-1","itemData":{"DOI":"10.1016/j.jclepro.2018.05.060","ISSN":"0959-6526","author":[{"dropping-particle":"","family":"Cho","given":"Joon Hyung","non-dropping-particle":"","parse-names":false,"suffix":""},{"dropping-particle":"","family":"Sohn","given":"So Young","non-dropping-particle":"","parse-names":false,"suffix":""}],"container-title":"Journal of Cleaner Production","id":"ITEM-1","issued":{"date-parts":[["2018"]]},"page":"290-299","publisher":"Elsevier Ltd","title":"A novel decomposition analysis of green patent applications for the evaluation of R&amp;D efforts to reduce CO2 emissions from fossil fuel energy consumption","type":"article-journal","volume":"193"},"uris":["http://www.mendeley.com/documents/?uuid=49b969b2-670d-4a37-8007-5f27b314b9e8"]}],"mendeley":{"formattedCitation":"(Cho and Sohn, 2018)","manualFormatting":"Cho and Sohn (2018)","plainTextFormattedCitation":"(Cho and Sohn, 2018)","previouslyFormattedCitation":"(Cho and Sohn, 2018)"},"properties":{"noteIndex":0},"schema":"https://github.com/citation-style-language/schema/raw/master/csl-citation.json"}</w:instrText>
      </w:r>
      <w:r w:rsidRPr="00C95478">
        <w:rPr>
          <w:rFonts w:ascii="Times New Roman" w:eastAsia="宋体" w:hAnsi="Times New Roman" w:cs="Times New Roman"/>
          <w:sz w:val="24"/>
          <w:szCs w:val="24"/>
        </w:rPr>
        <w:fldChar w:fldCharType="separate"/>
      </w:r>
      <w:r w:rsidRPr="00C95478">
        <w:rPr>
          <w:rFonts w:ascii="Times New Roman" w:eastAsia="宋体" w:hAnsi="Times New Roman" w:cs="Times New Roman"/>
          <w:noProof/>
          <w:sz w:val="24"/>
          <w:szCs w:val="24"/>
        </w:rPr>
        <w:t>Cho and Sohn (2018)</w:t>
      </w:r>
      <w:r w:rsidRPr="00C95478">
        <w:rPr>
          <w:rFonts w:ascii="Times New Roman" w:eastAsia="宋体" w:hAnsi="Times New Roman" w:cs="Times New Roman"/>
          <w:sz w:val="24"/>
          <w:szCs w:val="24"/>
        </w:rPr>
        <w:fldChar w:fldCharType="end"/>
      </w:r>
      <w:r w:rsidRPr="00C95478">
        <w:rPr>
          <w:rFonts w:ascii="Times New Roman" w:eastAsia="宋体" w:hAnsi="Times New Roman" w:cs="Times New Roman"/>
          <w:sz w:val="24"/>
          <w:szCs w:val="24"/>
        </w:rPr>
        <w:t xml:space="preserve">, and </w:t>
      </w:r>
      <w:r w:rsidRPr="00C95478">
        <w:rPr>
          <w:rFonts w:ascii="Times New Roman" w:eastAsia="宋体" w:hAnsi="Times New Roman" w:cs="Times New Roman"/>
          <w:sz w:val="24"/>
          <w:szCs w:val="24"/>
        </w:rPr>
        <w:fldChar w:fldCharType="begin" w:fldLock="1"/>
      </w:r>
      <w:r w:rsidRPr="00C95478">
        <w:rPr>
          <w:rFonts w:ascii="Times New Roman" w:eastAsia="宋体" w:hAnsi="Times New Roman" w:cs="Times New Roman"/>
          <w:sz w:val="24"/>
          <w:szCs w:val="24"/>
        </w:rPr>
        <w:instrText>ADDIN CSL_CITATION {"citationItems":[{"id":"ITEM-1","itemData":{"DOI":"10.1016/j.jeem.2015.03.004","ISSN":"0095-0696","author":[{"dropping-particle":"","family":"Noailly","given":"Joëlle","non-dropping-particle":"","parse-names":false,"suffix":""},{"dropping-particle":"","family":"Smeets","given":"Roger","non-dropping-particle":"","parse-names":false,"suffix":""}],"container-title":"Journal of Environmental Economics and Management","id":"ITEM-1","issued":{"date-parts":[["2015"]]},"page":"15-37","publisher":"Elsevier","title":"Directing technical change from fossil-fuel to renewable energy innovation : An application using firm-level","type":"article-journal","volume":"72"},"uris":["http://www.mendeley.com/documents/?uuid=81b9a270-3a47-4ea6-8108-1985c8991d02"]}],"mendeley":{"formattedCitation":"(Noailly and Smeets, 2015)","manualFormatting":"Noailly and Smeets (2015)","plainTextFormattedCitation":"(Noailly and Smeets, 2015)","previouslyFormattedCitation":"(Noailly and Smeets, 2015)"},"properties":{"noteIndex":0},"schema":"https://github.com/citation-style-language/schema/raw/master/csl-citation.json"}</w:instrText>
      </w:r>
      <w:r w:rsidRPr="00C95478">
        <w:rPr>
          <w:rFonts w:ascii="Times New Roman" w:eastAsia="宋体" w:hAnsi="Times New Roman" w:cs="Times New Roman"/>
          <w:sz w:val="24"/>
          <w:szCs w:val="24"/>
        </w:rPr>
        <w:fldChar w:fldCharType="separate"/>
      </w:r>
      <w:r w:rsidRPr="00C95478">
        <w:rPr>
          <w:rFonts w:ascii="Times New Roman" w:eastAsia="宋体" w:hAnsi="Times New Roman" w:cs="Times New Roman"/>
          <w:noProof/>
          <w:sz w:val="24"/>
          <w:szCs w:val="24"/>
        </w:rPr>
        <w:t>Noailly and Smeets (2015)</w:t>
      </w:r>
      <w:r w:rsidRPr="00C95478">
        <w:rPr>
          <w:rFonts w:ascii="Times New Roman" w:eastAsia="宋体" w:hAnsi="Times New Roman" w:cs="Times New Roman"/>
          <w:sz w:val="24"/>
          <w:szCs w:val="24"/>
        </w:rPr>
        <w:fldChar w:fldCharType="end"/>
      </w:r>
      <w:r w:rsidRPr="00C95478">
        <w:rPr>
          <w:rFonts w:ascii="Times New Roman" w:eastAsia="宋体" w:hAnsi="Times New Roman" w:cs="Times New Roman"/>
          <w:sz w:val="24"/>
          <w:szCs w:val="24"/>
        </w:rPr>
        <w:t>.</w:t>
      </w:r>
    </w:p>
    <w:sectPr w:rsidR="00C95478" w:rsidRPr="00C954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7217" w14:textId="77777777" w:rsidR="007133D9" w:rsidRDefault="007133D9" w:rsidP="00C95478">
      <w:r>
        <w:separator/>
      </w:r>
    </w:p>
  </w:endnote>
  <w:endnote w:type="continuationSeparator" w:id="0">
    <w:p w14:paraId="6D211BEE" w14:textId="77777777" w:rsidR="007133D9" w:rsidRDefault="007133D9" w:rsidP="00C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78B0" w14:textId="77777777" w:rsidR="007133D9" w:rsidRDefault="007133D9" w:rsidP="00C95478">
      <w:r>
        <w:separator/>
      </w:r>
    </w:p>
  </w:footnote>
  <w:footnote w:type="continuationSeparator" w:id="0">
    <w:p w14:paraId="2F9A87A8" w14:textId="77777777" w:rsidR="007133D9" w:rsidRDefault="007133D9" w:rsidP="00C9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17"/>
    <w:rsid w:val="00066E83"/>
    <w:rsid w:val="003D12BA"/>
    <w:rsid w:val="00411DA0"/>
    <w:rsid w:val="007133D9"/>
    <w:rsid w:val="00983787"/>
    <w:rsid w:val="00C95478"/>
    <w:rsid w:val="00F9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B5BE546-CF9A-4879-A35D-4B3D7708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5478"/>
    <w:rPr>
      <w:sz w:val="18"/>
      <w:szCs w:val="18"/>
    </w:rPr>
  </w:style>
  <w:style w:type="paragraph" w:styleId="a5">
    <w:name w:val="footer"/>
    <w:basedOn w:val="a"/>
    <w:link w:val="a6"/>
    <w:uiPriority w:val="99"/>
    <w:unhideWhenUsed/>
    <w:rsid w:val="00C95478"/>
    <w:pPr>
      <w:tabs>
        <w:tab w:val="center" w:pos="4153"/>
        <w:tab w:val="right" w:pos="8306"/>
      </w:tabs>
      <w:snapToGrid w:val="0"/>
      <w:jc w:val="left"/>
    </w:pPr>
    <w:rPr>
      <w:sz w:val="18"/>
      <w:szCs w:val="18"/>
    </w:rPr>
  </w:style>
  <w:style w:type="character" w:customStyle="1" w:styleId="a6">
    <w:name w:val="页脚 字符"/>
    <w:basedOn w:val="a0"/>
    <w:link w:val="a5"/>
    <w:uiPriority w:val="99"/>
    <w:rsid w:val="00C95478"/>
    <w:rPr>
      <w:sz w:val="18"/>
      <w:szCs w:val="18"/>
    </w:rPr>
  </w:style>
  <w:style w:type="table" w:styleId="a7">
    <w:name w:val="Table Grid"/>
    <w:basedOn w:val="a1"/>
    <w:uiPriority w:val="59"/>
    <w:rsid w:val="00C9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C95478"/>
    <w:pPr>
      <w:snapToGrid w:val="0"/>
      <w:jc w:val="left"/>
    </w:pPr>
    <w:rPr>
      <w:sz w:val="18"/>
      <w:szCs w:val="18"/>
    </w:rPr>
  </w:style>
  <w:style w:type="character" w:customStyle="1" w:styleId="a9">
    <w:name w:val="脚注文本 字符"/>
    <w:basedOn w:val="a0"/>
    <w:link w:val="a8"/>
    <w:uiPriority w:val="99"/>
    <w:semiHidden/>
    <w:rsid w:val="00C95478"/>
    <w:rPr>
      <w:sz w:val="18"/>
      <w:szCs w:val="18"/>
    </w:rPr>
  </w:style>
  <w:style w:type="character" w:styleId="aa">
    <w:name w:val="footnote reference"/>
    <w:basedOn w:val="a0"/>
    <w:unhideWhenUsed/>
    <w:rsid w:val="00C9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fang</dc:creator>
  <cp:keywords/>
  <dc:description/>
  <cp:lastModifiedBy>qu fang</cp:lastModifiedBy>
  <cp:revision>3</cp:revision>
  <dcterms:created xsi:type="dcterms:W3CDTF">2022-03-16T08:21:00Z</dcterms:created>
  <dcterms:modified xsi:type="dcterms:W3CDTF">2022-03-16T08:24:00Z</dcterms:modified>
</cp:coreProperties>
</file>