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C8A" w14:textId="18C39301" w:rsidR="00D31B04" w:rsidRDefault="00D31B04" w:rsidP="00D31B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95685957"/>
      <w:bookmarkEnd w:id="0"/>
      <w:r>
        <w:rPr>
          <w:rFonts w:ascii="Arial" w:hAnsi="Arial" w:cs="Arial"/>
          <w:b/>
          <w:bCs/>
          <w:sz w:val="24"/>
          <w:szCs w:val="24"/>
          <w:lang w:val="en-US"/>
        </w:rPr>
        <w:t>Supplemental materials</w:t>
      </w:r>
    </w:p>
    <w:p w14:paraId="21EB3C58" w14:textId="5E4135B4" w:rsidR="002B2536" w:rsidRDefault="002B2536" w:rsidP="00D31B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62AA70B" wp14:editId="4DCD7653">
            <wp:extent cx="5274310" cy="46729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805A" w14:textId="3A3CE59D" w:rsidR="002B2536" w:rsidRDefault="002B2536" w:rsidP="002B253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5B2D">
        <w:rPr>
          <w:rFonts w:ascii="Arial" w:hAnsi="Arial" w:cs="Arial"/>
          <w:b/>
          <w:bCs/>
          <w:sz w:val="24"/>
          <w:szCs w:val="24"/>
          <w:lang w:val="en-US"/>
        </w:rPr>
        <w:t>Supplemental figure 1. Methylation changes of Y chromosomes in spermatozoa during the post-testicular maturation.</w:t>
      </w:r>
      <w:r w:rsidRPr="00E45B2D">
        <w:rPr>
          <w:rFonts w:ascii="Arial" w:hAnsi="Arial" w:cs="Arial"/>
          <w:sz w:val="24"/>
          <w:szCs w:val="24"/>
          <w:lang w:val="en-US"/>
        </w:rPr>
        <w:t xml:space="preserve"> Four genes that presented methylation changes have been identified by RRBS. </w:t>
      </w:r>
      <w:proofErr w:type="spellStart"/>
      <w:r w:rsidRPr="00E45B2D">
        <w:rPr>
          <w:rFonts w:ascii="Arial" w:hAnsi="Arial" w:cs="Arial"/>
          <w:sz w:val="24"/>
          <w:szCs w:val="24"/>
          <w:lang w:val="en-US"/>
        </w:rPr>
        <w:t>Spz</w:t>
      </w:r>
      <w:proofErr w:type="spellEnd"/>
      <w:r w:rsidRPr="00E45B2D">
        <w:rPr>
          <w:rFonts w:ascii="Arial" w:hAnsi="Arial" w:cs="Arial"/>
          <w:sz w:val="24"/>
          <w:szCs w:val="24"/>
          <w:lang w:val="en-US"/>
        </w:rPr>
        <w:t>: spermatozoa</w:t>
      </w:r>
    </w:p>
    <w:p w14:paraId="06B61548" w14:textId="77777777" w:rsidR="002B2536" w:rsidRDefault="002B2536" w:rsidP="00D31B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4EC01C" w14:textId="3710C1FA" w:rsidR="00D31B04" w:rsidRDefault="00D31B04" w:rsidP="00D31B0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2A1D5B8" wp14:editId="01125342">
            <wp:extent cx="2600325" cy="529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ACD4" w14:textId="63B79BE3" w:rsidR="002B2536" w:rsidRDefault="00D31B04" w:rsidP="00D31B04">
      <w:pPr>
        <w:spacing w:line="360" w:lineRule="auto"/>
        <w:jc w:val="both"/>
        <w:rPr>
          <w:noProof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Supplemental Figure </w:t>
      </w:r>
      <w:r w:rsidR="002B2536">
        <w:rPr>
          <w:rFonts w:ascii="Arial" w:hAnsi="Arial" w:cs="Arial"/>
          <w:b/>
          <w:bC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. Sperm DNA methylation alteration on repetitive regions. </w:t>
      </w:r>
      <w:r>
        <w:rPr>
          <w:rFonts w:ascii="Arial" w:hAnsi="Arial" w:cs="Arial"/>
          <w:sz w:val="24"/>
          <w:szCs w:val="24"/>
          <w:lang w:val="en-US"/>
        </w:rPr>
        <w:t xml:space="preserve">Histogram bar illustrating the proportions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CpGs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covered by RRBS in repetitive regions annotated as short interspersed nuclear element (SINE) (purple), satellite (blue), long terminal repeat (LTR) (red), and long interspersed nuclear element (LINE) (green).</w:t>
      </w:r>
      <w:r w:rsidR="002B2536" w:rsidRPr="002B2536">
        <w:rPr>
          <w:noProof/>
          <w:lang w:val="en-US"/>
        </w:rPr>
        <w:t xml:space="preserve"> </w:t>
      </w:r>
    </w:p>
    <w:p w14:paraId="012CD42F" w14:textId="0382B9EF" w:rsidR="00D31B04" w:rsidRDefault="00D31B04" w:rsidP="00D31B0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FD4B2AB" w14:textId="16030ADD" w:rsidR="00D31B04" w:rsidRDefault="00D31B04" w:rsidP="00D31B04">
      <w:pPr>
        <w:jc w:val="both"/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2590CAC3" wp14:editId="23A0F435">
            <wp:extent cx="5267325" cy="601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0851" w14:textId="3524B5CD" w:rsidR="00D31B04" w:rsidRDefault="00D31B04" w:rsidP="00D31B0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Supplemental Figure </w:t>
      </w:r>
      <w:r w:rsidR="00382E63">
        <w:rPr>
          <w:rFonts w:ascii="Arial" w:hAnsi="Arial" w:cs="Arial"/>
          <w:b/>
          <w:bCs/>
          <w:sz w:val="24"/>
          <w:szCs w:val="24"/>
          <w:lang w:val="en-US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2E63">
        <w:rPr>
          <w:rFonts w:ascii="Arial" w:hAnsi="Arial" w:cs="Arial"/>
          <w:b/>
          <w:bCs/>
          <w:sz w:val="24"/>
          <w:szCs w:val="24"/>
          <w:lang w:val="en-US"/>
        </w:rPr>
        <w:t xml:space="preserve">Quantification of TET1 and DNMT3a expression in the testis, </w:t>
      </w:r>
      <w:r w:rsidRPr="00382E6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caput</w:t>
      </w:r>
      <w:r w:rsidRPr="00382E63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382E6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corpus</w:t>
      </w:r>
      <w:r w:rsidRPr="00382E63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382E6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cauda</w:t>
      </w:r>
      <w:r w:rsidRPr="00382E63">
        <w:rPr>
          <w:rFonts w:ascii="Arial" w:hAnsi="Arial" w:cs="Arial"/>
          <w:b/>
          <w:bCs/>
          <w:sz w:val="24"/>
          <w:szCs w:val="24"/>
          <w:lang w:val="en-US"/>
        </w:rPr>
        <w:t xml:space="preserve"> epididymis, spermatozoa, and epididymal fluid by Western-blot.</w:t>
      </w:r>
      <w:r>
        <w:rPr>
          <w:rFonts w:ascii="Arial" w:hAnsi="Arial" w:cs="Arial"/>
          <w:sz w:val="24"/>
          <w:szCs w:val="24"/>
          <w:lang w:val="en-US"/>
        </w:rPr>
        <w:t xml:space="preserve"> Results are representative of three independent experiments. HDAC1 and β-Actin was used as an internal loading control. In addition, histone H3 was used to validate non-cellular contamination in the epididymal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fluid.Cauda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epididymis was perfused (P-Cauda) to remove spermatozoa and epididymal fluid from the sample. TET1 and DNMT3a expression levels were normalized to HDAC1 and β-Actin (mean ± SEM).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spermatozoa sample. </w:t>
      </w:r>
    </w:p>
    <w:p w14:paraId="0D66C144" w14:textId="77777777" w:rsidR="00D31B04" w:rsidRDefault="00D31B04" w:rsidP="00D31B0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3A110184" w14:textId="1A85521F" w:rsidR="00D31B04" w:rsidRDefault="00D31B04" w:rsidP="00D31B0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EBF694A" wp14:editId="1EAE29C6">
            <wp:extent cx="5274310" cy="52743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02CD" w14:textId="507930D2" w:rsidR="00D31B04" w:rsidRDefault="00D31B04" w:rsidP="00D31B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82E63">
        <w:rPr>
          <w:rFonts w:ascii="Arial" w:hAnsi="Arial" w:cs="Arial"/>
          <w:b/>
          <w:bCs/>
          <w:sz w:val="24"/>
          <w:szCs w:val="24"/>
          <w:lang w:val="en-US"/>
        </w:rPr>
        <w:t xml:space="preserve">Supplemental figure </w:t>
      </w:r>
      <w:r w:rsidR="00382E63" w:rsidRPr="00382E63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382E63">
        <w:rPr>
          <w:rFonts w:ascii="Arial" w:hAnsi="Arial" w:cs="Arial"/>
          <w:b/>
          <w:bCs/>
          <w:sz w:val="24"/>
          <w:szCs w:val="24"/>
          <w:lang w:val="en-US"/>
        </w:rPr>
        <w:t>. Overlap analysis of differentially methylated sites among caput, corpus, and cauda spermatozoa.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Spz</w:t>
      </w:r>
      <w:proofErr w:type="spellEnd"/>
      <w:r>
        <w:rPr>
          <w:rFonts w:ascii="Arial" w:hAnsi="Arial" w:cs="Arial"/>
          <w:sz w:val="24"/>
          <w:szCs w:val="24"/>
          <w:lang w:val="en-US"/>
        </w:rPr>
        <w:t>: spermatozoa</w:t>
      </w:r>
    </w:p>
    <w:p w14:paraId="140107CC" w14:textId="3C56FB12" w:rsidR="004C1761" w:rsidRPr="002B2536" w:rsidRDefault="004C1761">
      <w:pPr>
        <w:rPr>
          <w:lang w:val="en-US"/>
        </w:rPr>
      </w:pPr>
    </w:p>
    <w:p w14:paraId="16B3D4ED" w14:textId="01614641" w:rsidR="004C1761" w:rsidRPr="004C1761" w:rsidRDefault="002102F6" w:rsidP="004C1761">
      <w:pPr>
        <w:jc w:val="both"/>
        <w:rPr>
          <w:lang w:val="en-US"/>
        </w:rPr>
      </w:pPr>
      <w:r w:rsidRPr="0080335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BD0E370" wp14:editId="02C1D605">
            <wp:extent cx="5274310" cy="421944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8C29" w14:textId="358BBF5B" w:rsidR="002102F6" w:rsidRPr="00803357" w:rsidRDefault="002102F6" w:rsidP="00210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96379027"/>
      <w:r w:rsidRPr="00382E63">
        <w:rPr>
          <w:rFonts w:ascii="Arial" w:hAnsi="Arial" w:cs="Arial"/>
          <w:b/>
          <w:bCs/>
          <w:sz w:val="24"/>
          <w:szCs w:val="24"/>
          <w:lang w:val="en-US"/>
        </w:rPr>
        <w:t xml:space="preserve">Supplemental figure </w:t>
      </w: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bookmarkEnd w:id="1"/>
      <w:r w:rsidRPr="00803357">
        <w:rPr>
          <w:rFonts w:ascii="Arial" w:hAnsi="Arial" w:cs="Arial"/>
          <w:b/>
          <w:sz w:val="24"/>
          <w:szCs w:val="24"/>
          <w:lang w:val="en-US"/>
        </w:rPr>
        <w:t>. Methylation profiles of D1Pas1, Cald1 and Zbtb45 in annexin-V positive and annexin-V negative spermatozoa.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 </w:t>
      </w:r>
      <w:r w:rsidRPr="00803357">
        <w:rPr>
          <w:rFonts w:ascii="Arial" w:hAnsi="Arial" w:cs="Arial"/>
          <w:b/>
          <w:sz w:val="24"/>
          <w:szCs w:val="24"/>
          <w:lang w:val="en-US"/>
        </w:rPr>
        <w:t>(A)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 Annexin-V positive and negative spermatozoa were isolated by FACS. Spermatozoa collected from the cauda </w:t>
      </w:r>
      <w:proofErr w:type="spellStart"/>
      <w:r w:rsidRPr="00803357">
        <w:rPr>
          <w:rFonts w:ascii="Arial" w:hAnsi="Arial" w:cs="Arial"/>
          <w:sz w:val="24"/>
          <w:szCs w:val="24"/>
          <w:lang w:val="en-US"/>
        </w:rPr>
        <w:t>epididymidis</w:t>
      </w:r>
      <w:proofErr w:type="spellEnd"/>
      <w:r w:rsidRPr="00803357">
        <w:rPr>
          <w:rFonts w:ascii="Arial" w:hAnsi="Arial" w:cs="Arial"/>
          <w:sz w:val="24"/>
          <w:szCs w:val="24"/>
          <w:lang w:val="en-US"/>
        </w:rPr>
        <w:t xml:space="preserve">, where few defective/apoptotic spermatozoa are found, served as a negative control for annexin-V detection. </w:t>
      </w:r>
      <w:r w:rsidRPr="00803357">
        <w:rPr>
          <w:rFonts w:ascii="Arial" w:hAnsi="Arial" w:cs="Arial"/>
          <w:b/>
          <w:sz w:val="24"/>
          <w:szCs w:val="24"/>
          <w:lang w:val="en-US"/>
        </w:rPr>
        <w:t xml:space="preserve">(B) 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The purity of annexin-V positive and negative spermatozoa was assessed by fluorescence microscopy. </w:t>
      </w:r>
      <w:r w:rsidRPr="00803357">
        <w:rPr>
          <w:rFonts w:ascii="Arial" w:hAnsi="Arial" w:cs="Arial"/>
          <w:b/>
          <w:sz w:val="24"/>
          <w:szCs w:val="24"/>
          <w:lang w:val="en-US"/>
        </w:rPr>
        <w:t>(C)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 DNA loci that exhibited significant methylation changes during post-testicular maturation were analyzed by pyrosequencing. For each locus, four samples of </w:t>
      </w:r>
      <w:r w:rsidRPr="00803357">
        <w:rPr>
          <w:rFonts w:ascii="Arial" w:hAnsi="Arial" w:cs="Arial"/>
          <w:i/>
          <w:sz w:val="24"/>
          <w:szCs w:val="24"/>
          <w:lang w:val="en-US"/>
        </w:rPr>
        <w:t>caput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 annexin-V positive and annexin-V negative spermatozoa, </w:t>
      </w:r>
      <w:r w:rsidRPr="00803357">
        <w:rPr>
          <w:rFonts w:ascii="Arial" w:hAnsi="Arial" w:cs="Arial"/>
          <w:i/>
          <w:sz w:val="24"/>
          <w:szCs w:val="24"/>
          <w:lang w:val="en-US"/>
        </w:rPr>
        <w:t xml:space="preserve">cauda 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spermatozoa, and </w:t>
      </w:r>
      <w:r w:rsidRPr="00803357">
        <w:rPr>
          <w:rFonts w:ascii="Arial" w:hAnsi="Arial" w:cs="Arial"/>
          <w:i/>
          <w:sz w:val="24"/>
          <w:szCs w:val="24"/>
          <w:lang w:val="en-US"/>
        </w:rPr>
        <w:t>cauda</w:t>
      </w:r>
      <w:r w:rsidRPr="00803357">
        <w:rPr>
          <w:rFonts w:ascii="Arial" w:hAnsi="Arial" w:cs="Arial"/>
          <w:sz w:val="24"/>
          <w:szCs w:val="24"/>
          <w:lang w:val="en-US"/>
        </w:rPr>
        <w:t xml:space="preserve"> spermatozoa incubated with annexin-V binding buffer (BB)(control condition) were used. H19-IGF2 served to validate the absence of somatic cell contamination. </w:t>
      </w:r>
      <w:proofErr w:type="spellStart"/>
      <w:r w:rsidRPr="00803357">
        <w:rPr>
          <w:rFonts w:ascii="Arial" w:hAnsi="Arial" w:cs="Arial"/>
          <w:sz w:val="24"/>
          <w:szCs w:val="24"/>
          <w:lang w:val="en-US"/>
        </w:rPr>
        <w:t>Spz</w:t>
      </w:r>
      <w:proofErr w:type="spellEnd"/>
      <w:r w:rsidRPr="00803357">
        <w:rPr>
          <w:rFonts w:ascii="Arial" w:hAnsi="Arial" w:cs="Arial"/>
          <w:sz w:val="24"/>
          <w:szCs w:val="24"/>
          <w:lang w:val="en-US"/>
        </w:rPr>
        <w:t xml:space="preserve">: spermatozoa; ANX5-: annexin-V negative; ANX5+: Annexin-V positive; BB: annexin-V binding buffer. Scale bar: 10 </w:t>
      </w:r>
      <w:r w:rsidRPr="00803357">
        <w:rPr>
          <w:rFonts w:ascii="Arial" w:hAnsi="Arial" w:cs="Arial"/>
          <w:sz w:val="24"/>
          <w:szCs w:val="24"/>
          <w:lang w:val="el-GR"/>
        </w:rPr>
        <w:t>μ</w:t>
      </w:r>
      <w:r w:rsidRPr="00803357">
        <w:rPr>
          <w:rFonts w:ascii="Arial" w:hAnsi="Arial" w:cs="Arial"/>
          <w:sz w:val="24"/>
          <w:szCs w:val="24"/>
          <w:lang w:val="en-US"/>
        </w:rPr>
        <w:t>m. * and ** indicate respective p-values of p &lt; 0.05 and p &lt; 0.005</w:t>
      </w:r>
    </w:p>
    <w:p w14:paraId="723D5235" w14:textId="790466EE" w:rsidR="006C3D90" w:rsidRPr="00E45B2D" w:rsidRDefault="006C3D90">
      <w:pPr>
        <w:spacing w:after="0" w:line="240" w:lineRule="auto"/>
        <w:rPr>
          <w:lang w:val="en-GB"/>
        </w:rPr>
      </w:pPr>
      <w:r w:rsidRPr="00E45B2D">
        <w:rPr>
          <w:lang w:val="en-GB"/>
        </w:rPr>
        <w:br w:type="page"/>
      </w:r>
    </w:p>
    <w:p w14:paraId="38EDB7FD" w14:textId="4D80CB33" w:rsidR="004C1761" w:rsidRDefault="006C3D90">
      <w:r>
        <w:rPr>
          <w:noProof/>
        </w:rPr>
        <w:lastRenderedPageBreak/>
        <w:drawing>
          <wp:inline distT="0" distB="0" distL="0" distR="0" wp14:anchorId="61005052" wp14:editId="21EC12CC">
            <wp:extent cx="5274310" cy="150495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 subpopula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9D01" w14:textId="109B2672" w:rsidR="006C3D90" w:rsidRPr="006C3D90" w:rsidRDefault="006C3D90" w:rsidP="006C3D90">
      <w:pPr>
        <w:jc w:val="both"/>
        <w:rPr>
          <w:lang w:val="en-CA"/>
        </w:rPr>
      </w:pPr>
      <w:r w:rsidRPr="00382E63">
        <w:rPr>
          <w:rFonts w:ascii="Arial" w:hAnsi="Arial" w:cs="Arial"/>
          <w:b/>
          <w:bCs/>
          <w:sz w:val="24"/>
          <w:szCs w:val="24"/>
          <w:lang w:val="en-US"/>
        </w:rPr>
        <w:t xml:space="preserve">Supplemental figure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6. FACS analysis of caput sperm subpopulations from different mice. </w:t>
      </w:r>
      <w:r w:rsidRPr="006C3D90">
        <w:rPr>
          <w:rFonts w:ascii="Arial" w:hAnsi="Arial" w:cs="Arial"/>
          <w:bCs/>
          <w:sz w:val="24"/>
          <w:szCs w:val="24"/>
          <w:lang w:val="en-US"/>
        </w:rPr>
        <w:t xml:space="preserve">Three typical distributions of caput sperm subpopulations were analyzed depending on </w:t>
      </w:r>
      <w:proofErr w:type="spellStart"/>
      <w:r w:rsidRPr="006C3D90">
        <w:rPr>
          <w:rFonts w:ascii="Arial" w:hAnsi="Arial" w:cs="Arial"/>
          <w:bCs/>
          <w:sz w:val="24"/>
          <w:szCs w:val="24"/>
          <w:lang w:val="en-US"/>
        </w:rPr>
        <w:t>DsRed</w:t>
      </w:r>
      <w:proofErr w:type="spellEnd"/>
      <w:r w:rsidRPr="006C3D90">
        <w:rPr>
          <w:rFonts w:ascii="Arial" w:hAnsi="Arial" w:cs="Arial"/>
          <w:bCs/>
          <w:sz w:val="24"/>
          <w:szCs w:val="24"/>
          <w:lang w:val="en-US"/>
        </w:rPr>
        <w:t xml:space="preserve"> intensity level.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S: subpopulation;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spz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: spermatozoa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sectPr w:rsidR="006C3D90" w:rsidRPr="006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E0NTE1MDYwN7NU0lEKTi0uzszPAykwrAUAoNY9ACwAAAA="/>
  </w:docVars>
  <w:rsids>
    <w:rsidRoot w:val="00D31B04"/>
    <w:rsid w:val="002102F6"/>
    <w:rsid w:val="002B2536"/>
    <w:rsid w:val="00382E63"/>
    <w:rsid w:val="00494FFE"/>
    <w:rsid w:val="004C1761"/>
    <w:rsid w:val="006C3D90"/>
    <w:rsid w:val="009B10A0"/>
    <w:rsid w:val="00D31B04"/>
    <w:rsid w:val="00E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06A8"/>
  <w15:chartTrackingRefBased/>
  <w15:docId w15:val="{F175F267-779A-479A-A0A6-0EBE55F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04"/>
    <w:pPr>
      <w:spacing w:after="160" w:line="256" w:lineRule="auto"/>
    </w:pPr>
    <w:rPr>
      <w:kern w:val="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Chen</dc:creator>
  <cp:keywords/>
  <dc:description/>
  <cp:lastModifiedBy>Adaeze Catherine Awogu</cp:lastModifiedBy>
  <cp:revision>8</cp:revision>
  <dcterms:created xsi:type="dcterms:W3CDTF">2021-12-10T03:30:00Z</dcterms:created>
  <dcterms:modified xsi:type="dcterms:W3CDTF">2022-03-04T16:45:00Z</dcterms:modified>
</cp:coreProperties>
</file>