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4E0C160B" w:rsidR="00994A3D" w:rsidRDefault="00654E8F" w:rsidP="0001436A">
      <w:pPr>
        <w:pStyle w:val="1"/>
      </w:pPr>
      <w:r w:rsidRPr="00994A3D">
        <w:t>Supplementary Table</w:t>
      </w:r>
      <w:r w:rsidR="00486BA4">
        <w:t xml:space="preserve"> 1. </w:t>
      </w:r>
      <w:r w:rsidR="00486BA4" w:rsidRPr="00486BA4">
        <w:t>Comparisons of the patients with or without follow-up data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23"/>
        <w:gridCol w:w="1560"/>
        <w:gridCol w:w="1561"/>
        <w:gridCol w:w="692"/>
        <w:gridCol w:w="1561"/>
        <w:gridCol w:w="1561"/>
        <w:gridCol w:w="692"/>
        <w:gridCol w:w="1561"/>
        <w:gridCol w:w="1561"/>
        <w:gridCol w:w="692"/>
      </w:tblGrid>
      <w:tr w:rsidR="00486BA4" w:rsidRPr="00101821" w14:paraId="6D9A98D7" w14:textId="77777777" w:rsidTr="004C3D51">
        <w:trPr>
          <w:trHeight w:val="360"/>
        </w:trPr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194D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96DB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MN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4160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cIgAN/MN</w:t>
            </w:r>
          </w:p>
        </w:tc>
        <w:tc>
          <w:tcPr>
            <w:tcW w:w="140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D66A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IgAN</w:t>
            </w:r>
          </w:p>
        </w:tc>
      </w:tr>
      <w:tr w:rsidR="00486BA4" w:rsidRPr="00101821" w14:paraId="44A413D4" w14:textId="77777777" w:rsidTr="004C3D51">
        <w:trPr>
          <w:trHeight w:val="360"/>
        </w:trPr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66584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Characteristics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16B12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not follow-up (n=62)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55D84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follow-up (n=38)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171D7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FD61D2">
              <w:rPr>
                <w:rFonts w:eastAsia="DengXian" w:cs="Times New Roman"/>
                <w:i/>
                <w:iCs/>
                <w:color w:val="000000" w:themeColor="text1"/>
                <w:sz w:val="16"/>
                <w:szCs w:val="16"/>
              </w:rPr>
              <w:t xml:space="preserve">P </w:t>
            </w: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values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8F343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not follow-up (n=107)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26FC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follow-up (n=30)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95CA1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FD61D2">
              <w:rPr>
                <w:rFonts w:eastAsia="DengXian" w:cs="Times New Roman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 xml:space="preserve"> values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3401D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not follow-up (n=54)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F7825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follow-up (n=46)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0F496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FD61D2">
              <w:rPr>
                <w:rFonts w:eastAsia="DengXian" w:cs="Times New Roman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 xml:space="preserve"> values</w:t>
            </w:r>
          </w:p>
        </w:tc>
      </w:tr>
      <w:tr w:rsidR="00486BA4" w:rsidRPr="00101821" w14:paraId="5E60E951" w14:textId="77777777" w:rsidTr="004C3D51">
        <w:trPr>
          <w:trHeight w:val="360"/>
        </w:trPr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9716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age (y)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167C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53.50 (43.00, 64.00)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77AD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47.50 (38.00, 61.00)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FF83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0.082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325B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43.00 (35.00, 54.00)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D13B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48.50 (38.00, 59.00)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AE28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0.105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19B0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34.50 (28.00, 42.00)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30CE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35.50 (31.00, 44.00)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2DB3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0.304</w:t>
            </w:r>
          </w:p>
        </w:tc>
      </w:tr>
      <w:tr w:rsidR="00486BA4" w:rsidRPr="00101821" w14:paraId="1C7950C3" w14:textId="77777777" w:rsidTr="004C3D51">
        <w:trPr>
          <w:trHeight w:val="360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B898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 xml:space="preserve">female </w:t>
            </w:r>
            <w:proofErr w:type="gramStart"/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n(</w:t>
            </w:r>
            <w:proofErr w:type="gramEnd"/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%)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75D6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26 (41.94%)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6BAE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16 (42.11%)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E35A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0.987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D82D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52 (48.60%)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0013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11 (36.67%)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CEEA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0.247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C425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26 (48.15%)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90D1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21 (45.65%)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5F70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0.803</w:t>
            </w:r>
          </w:p>
        </w:tc>
      </w:tr>
      <w:tr w:rsidR="00486BA4" w:rsidRPr="00101821" w14:paraId="6A6D0864" w14:textId="77777777" w:rsidTr="004C3D51">
        <w:trPr>
          <w:trHeight w:val="360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1317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 xml:space="preserve">nephrotic syndrome </w:t>
            </w:r>
            <w:proofErr w:type="gramStart"/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n(</w:t>
            </w:r>
            <w:proofErr w:type="gramEnd"/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%)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59C8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47 (75.81%)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3462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25 (65.79%)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6E91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0.279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77C9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53 (49.53%)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1BF4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12 (40.00%)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59DA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0.355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BD7C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8 (14.81%)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2E38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2 (4.35%)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CAAC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0.082</w:t>
            </w:r>
          </w:p>
        </w:tc>
      </w:tr>
      <w:tr w:rsidR="00486BA4" w:rsidRPr="00101821" w14:paraId="6443B927" w14:textId="77777777" w:rsidTr="004C3D51">
        <w:trPr>
          <w:trHeight w:val="360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D159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proteinuria (g/24h)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2830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4.78 (3.98, 8.37)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7FCB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4.56 (2.25, 7.01)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7E17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0.460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0F32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4.55 (2.35, 6.17)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DF02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2.90 (1.75, 5.06)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3481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0.048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1E8A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1.34 (0.67, 3.00)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80A2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0.83 (0.54, 1.78)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7AEE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0.063</w:t>
            </w:r>
          </w:p>
        </w:tc>
      </w:tr>
      <w:tr w:rsidR="00486BA4" w:rsidRPr="00101821" w14:paraId="14FDF9E1" w14:textId="77777777" w:rsidTr="004C3D51">
        <w:trPr>
          <w:trHeight w:val="360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EBF5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albumin-to-creatinine ratio (mg/g)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C0DC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1.56 (0.48, 3.06)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B43B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1.22 (0.32, 3.07)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FC18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0.692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1B8E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0.34 (0.21, 0.93)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F393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0.72 (0.34, 2.14)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11D6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0.151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2ADE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0.52 (0.24, 1.13)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3E52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0.42 (0.18, 0.71)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A80F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0.342</w:t>
            </w:r>
          </w:p>
        </w:tc>
      </w:tr>
      <w:tr w:rsidR="00486BA4" w:rsidRPr="00101821" w14:paraId="6D29D1F5" w14:textId="77777777" w:rsidTr="004C3D51">
        <w:trPr>
          <w:trHeight w:val="360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E994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serum albumin (g/L)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BF7D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24.70 (21.60, 29.50)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E777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27.20 (22.60, 31.10)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9DE5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0.138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0F9F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27.00 (21.50, 33.00)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E76F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29.45 (25.10, 35.10)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484B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0.055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3D36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37.60 (32.90, 41.80)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23E5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38.65 (36.50, 41.70)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FBE2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0.182</w:t>
            </w:r>
          </w:p>
        </w:tc>
      </w:tr>
      <w:tr w:rsidR="00486BA4" w:rsidRPr="00101821" w14:paraId="2B8DAC2D" w14:textId="77777777" w:rsidTr="004C3D51">
        <w:trPr>
          <w:trHeight w:val="360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A16E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 xml:space="preserve">hyperlipidemia </w:t>
            </w:r>
            <w:proofErr w:type="gramStart"/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n(</w:t>
            </w:r>
            <w:proofErr w:type="gramEnd"/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%)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FBDC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52 (86.67%)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0D59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29 (76.32%)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F4C9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0.187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9A9D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73 (81.11%)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3979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19 (70.37%)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B8E3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0.232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C5D1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19 (35.19%)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A53C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11 (24.44%)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E57C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0.247</w:t>
            </w:r>
          </w:p>
        </w:tc>
      </w:tr>
      <w:tr w:rsidR="00486BA4" w:rsidRPr="00101821" w14:paraId="730642E9" w14:textId="77777777" w:rsidTr="004C3D51">
        <w:trPr>
          <w:trHeight w:val="360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03ED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total cholesterol (mmol/L)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832C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7.08 (6.20, 8.80)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145C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6.62 (5.33, 8.14)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047C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0.091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D493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7.43 (6.01, 8.75)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E8D7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6.82 (4.81, 7.58)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46FE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0.134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2B4E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4.80 (4.12, 5.81)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2F8C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4.53 (4.03, 5.04)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CA07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0.136</w:t>
            </w:r>
          </w:p>
        </w:tc>
      </w:tr>
      <w:tr w:rsidR="00486BA4" w:rsidRPr="00101821" w14:paraId="295435B9" w14:textId="77777777" w:rsidTr="004C3D51">
        <w:trPr>
          <w:trHeight w:val="360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D2B7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triglycerides (mmol/L)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89E0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2.50 (1.48, 3.42)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3695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2.52 (1.62, 3.34)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D4AA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0.538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2BC3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1.98 (1.31, 2.94)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C5E9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2.30 (1.47, 2.82)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4EF6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0.430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32F9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1.50 (1.18, 2.15)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3AD2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1.43 (0.95, 2.00)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6540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0.407</w:t>
            </w:r>
          </w:p>
        </w:tc>
      </w:tr>
      <w:tr w:rsidR="00486BA4" w:rsidRPr="00101821" w14:paraId="4D645AB6" w14:textId="77777777" w:rsidTr="004C3D51">
        <w:trPr>
          <w:trHeight w:val="360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BC39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LDL-C (mmol/L)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8B29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4.27 (3.38, 5.78)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5D10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3.46 (2.79, 5.21)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1F5A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0.041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B928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4.50 (3.21, 5.67)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F7F1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3.36 (2.31, 4.65)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AC2C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0.019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E2BC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2.76 (2.32, 3.47)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1C77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2.69 (2.19, 3.18)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D6BA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0.458</w:t>
            </w:r>
          </w:p>
        </w:tc>
      </w:tr>
      <w:tr w:rsidR="00486BA4" w:rsidRPr="00101821" w14:paraId="0341FED5" w14:textId="77777777" w:rsidTr="004C3D51">
        <w:trPr>
          <w:trHeight w:val="360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DA5A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serum IgG (g/L)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6730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5.90 (4.04, 7.86)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9AFE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5.73 (4.73, 8.10)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D42B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0.371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63EA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6.88 (5.54, 8.14)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F03B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8.12 (5.56, 9.37)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FAAC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0.050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8043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9.09 (7.80, 10.80)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53D8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10.50 (9.77, 12.10)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6693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0.005</w:t>
            </w:r>
          </w:p>
        </w:tc>
      </w:tr>
      <w:tr w:rsidR="00486BA4" w:rsidRPr="00101821" w14:paraId="52E69B04" w14:textId="77777777" w:rsidTr="004C3D51">
        <w:trPr>
          <w:trHeight w:val="360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D44C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lastRenderedPageBreak/>
              <w:t>uric acid (</w:t>
            </w:r>
            <w:proofErr w:type="spellStart"/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μmol</w:t>
            </w:r>
            <w:proofErr w:type="spellEnd"/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/L)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33D0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362.18 (101.79)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98FE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378.68 (100.32)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075E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0.434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5261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341.05 (98.75)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13AD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381.90 (90.69)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B5C7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0.048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7CA4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339.26 (85.33)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8868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392.35 (88.63)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B5AF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0.003</w:t>
            </w:r>
          </w:p>
        </w:tc>
      </w:tr>
      <w:tr w:rsidR="00486BA4" w:rsidRPr="00101821" w14:paraId="1C942664" w14:textId="77777777" w:rsidTr="004C3D51">
        <w:trPr>
          <w:trHeight w:val="360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DB3E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serum creatinine (</w:t>
            </w:r>
            <w:proofErr w:type="spellStart"/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μmol</w:t>
            </w:r>
            <w:proofErr w:type="spellEnd"/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/L)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BDDA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72.45 (63.00, 86.00)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366C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78.85 (60.30, 93.00)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D289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0.534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8AA4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62.00 (53.30, 76.00)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8A3F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69.19 (56.60, 85.19)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7677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0.210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9C6D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77.30 (61.00, 91.90)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02B3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95.48 (76.60, 128.40)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65AB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0.003</w:t>
            </w:r>
          </w:p>
        </w:tc>
      </w:tr>
      <w:tr w:rsidR="00486BA4" w:rsidRPr="00101821" w14:paraId="1FA64A8E" w14:textId="77777777" w:rsidTr="004C3D51">
        <w:trPr>
          <w:trHeight w:val="420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98ED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eGFR (mL/min/1.73m</w:t>
            </w: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AAB1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95.00 (83.00, 105.00)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2609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97.50 (74.00, 108.00)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0A06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0.642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7175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108.00 (96.00, 120.00)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50D8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103.00 (89.00, 107.00)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6946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0.071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9777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99.00 (78.00, 115.00)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A5CA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75.00 (61.00, 92.00)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365C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0.002</w:t>
            </w:r>
          </w:p>
        </w:tc>
      </w:tr>
      <w:tr w:rsidR="00486BA4" w:rsidRPr="00101821" w14:paraId="0174D845" w14:textId="77777777" w:rsidTr="004C3D51">
        <w:trPr>
          <w:trHeight w:val="360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E8FA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 xml:space="preserve">hypertension </w:t>
            </w:r>
            <w:proofErr w:type="gramStart"/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n(</w:t>
            </w:r>
            <w:proofErr w:type="gramEnd"/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%)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8BEC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25 (40.32%)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B30D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13 (34.21%)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DD28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0.541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FC6F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41 (39.42%)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EAF1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12 (41.38%)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F75D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0.849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A67E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14 (25.93%)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056A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8 (17.39%)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A4F3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0.304</w:t>
            </w:r>
          </w:p>
        </w:tc>
      </w:tr>
      <w:tr w:rsidR="00486BA4" w:rsidRPr="00101821" w14:paraId="13842820" w14:textId="77777777" w:rsidTr="004C3D51">
        <w:trPr>
          <w:trHeight w:val="360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884F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systolic blood pressure (mmHg)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3635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130.00 (110.00, 140.00)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9035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126.00 (120.00, 140.00)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0BF5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0.730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9383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130.00 (118.00, 140.00)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FCCE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123.00 (110.00, 132.00)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3A1D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0.101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24C1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120.00 (115.00, 130.00)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DF1F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123.50 (111.00, 130.00)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99DA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0.909</w:t>
            </w:r>
          </w:p>
        </w:tc>
      </w:tr>
      <w:tr w:rsidR="00486BA4" w:rsidRPr="00101821" w14:paraId="40D9694C" w14:textId="77777777" w:rsidTr="004C3D51">
        <w:trPr>
          <w:trHeight w:val="360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04A1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diastolic blood pressure (mmHg)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6663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80.00 (75.00, 90.00)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ABE6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80.00 (75.00, 85.00)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586B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0.297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CDC0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80.00 (70.00, 90.00)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0029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75.00 (70.00, 80.00)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14B0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0.018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7E14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80.00 (70.00, 85.00)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8C73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78.00 (70.00, 82.00)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E0AE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0.235</w:t>
            </w:r>
          </w:p>
        </w:tc>
      </w:tr>
      <w:tr w:rsidR="00486BA4" w:rsidRPr="00101821" w14:paraId="7B65BD37" w14:textId="77777777" w:rsidTr="004C3D51">
        <w:trPr>
          <w:trHeight w:val="360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6CA3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 xml:space="preserve">gross hematuria </w:t>
            </w:r>
            <w:proofErr w:type="gramStart"/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n(</w:t>
            </w:r>
            <w:proofErr w:type="gramEnd"/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%)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95DC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 (0%)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0172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 (0%)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5B2A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318D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2 (1.87%)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B927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1 (3.33%)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D938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0.527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2131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17 (31.48%)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4BB7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10 (21.74%)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6913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0.274</w:t>
            </w:r>
          </w:p>
        </w:tc>
      </w:tr>
      <w:tr w:rsidR="00486BA4" w:rsidRPr="00101821" w14:paraId="4D8809A7" w14:textId="77777777" w:rsidTr="004C3D51">
        <w:trPr>
          <w:trHeight w:val="360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D37B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microscopic hematuria (RBCs/ul)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C9C3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38.25 (23.00, 68.90)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FA87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37.70 (18.10, 86.90)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1231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0.683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B31A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20.00 (4.50, 69.95)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A2FE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25.00 (13.50, 53.40)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CD1A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0.325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4EB0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81.70 (24.60, 272.00)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9386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101.00 (39.30, 228.45)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5080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0.483</w:t>
            </w:r>
          </w:p>
        </w:tc>
      </w:tr>
      <w:tr w:rsidR="00486BA4" w:rsidRPr="00101821" w14:paraId="2A0D4372" w14:textId="77777777" w:rsidTr="004C3D51">
        <w:trPr>
          <w:trHeight w:val="360"/>
        </w:trPr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2C9F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plasma IgA (g/L)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D19D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2.13 (1.58, 2.79)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45A2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2.10 (1.58, 2.48)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2A45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0.937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91C7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2.34 (1.94, 2.98)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4AC0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2.70 (1.68, 3.16)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57DA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0.607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3791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2.89 (2.19, 3.62)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6256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3.41 (2.49, 4.39)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3A9C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0.090</w:t>
            </w:r>
          </w:p>
        </w:tc>
      </w:tr>
      <w:tr w:rsidR="00486BA4" w:rsidRPr="00101821" w14:paraId="3BA8BBE6" w14:textId="77777777" w:rsidTr="004C3D51">
        <w:trPr>
          <w:trHeight w:val="360"/>
        </w:trPr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13EE9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plasma IgA1 (g/L)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49F6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2.01 (1.38, 2.66)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D29A0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2.00 (1.63, 3.27)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2AF00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0.725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05E9B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2.69 (1.81, 2.87)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A1E5A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2.56 (1.70, 3.16)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B2575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0.966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8CD47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2.61 (2.07, 3.33)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7D31F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2.83 (2.08, 3.81)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AF3D3" w14:textId="77777777" w:rsidR="00486BA4" w:rsidRPr="00101821" w:rsidRDefault="00486BA4" w:rsidP="004C3D51">
            <w:pPr>
              <w:jc w:val="center"/>
              <w:rPr>
                <w:rFonts w:eastAsia="DengXian" w:cs="Times New Roman"/>
                <w:color w:val="000000" w:themeColor="text1"/>
                <w:sz w:val="16"/>
                <w:szCs w:val="16"/>
              </w:rPr>
            </w:pPr>
            <w:r w:rsidRPr="00101821">
              <w:rPr>
                <w:rFonts w:eastAsia="DengXian" w:cs="Times New Roman"/>
                <w:color w:val="000000" w:themeColor="text1"/>
                <w:sz w:val="16"/>
                <w:szCs w:val="16"/>
              </w:rPr>
              <w:t>0.265</w:t>
            </w:r>
          </w:p>
        </w:tc>
      </w:tr>
    </w:tbl>
    <w:p w14:paraId="2E4F0C7F" w14:textId="77777777" w:rsidR="00486BA4" w:rsidRPr="00486BA4" w:rsidRDefault="00486BA4" w:rsidP="00486BA4"/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486BA4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181" w:right="1138" w:bottom="128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5DED" w14:textId="77777777" w:rsidR="00397DCD" w:rsidRDefault="00397DCD" w:rsidP="00117666">
      <w:pPr>
        <w:spacing w:after="0"/>
      </w:pPr>
      <w:r>
        <w:separator/>
      </w:r>
    </w:p>
  </w:endnote>
  <w:endnote w:type="continuationSeparator" w:id="0">
    <w:p w14:paraId="6E5691E4" w14:textId="77777777" w:rsidR="00397DCD" w:rsidRDefault="00397DCD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203E" w14:textId="77777777" w:rsidR="00397DCD" w:rsidRDefault="00397DCD" w:rsidP="00117666">
      <w:pPr>
        <w:spacing w:after="0"/>
      </w:pPr>
      <w:r>
        <w:separator/>
      </w:r>
    </w:p>
  </w:footnote>
  <w:footnote w:type="continuationSeparator" w:id="0">
    <w:p w14:paraId="70F9276B" w14:textId="77777777" w:rsidR="00397DCD" w:rsidRDefault="00397DCD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97DCD"/>
    <w:rsid w:val="003D2F2D"/>
    <w:rsid w:val="00401590"/>
    <w:rsid w:val="00447801"/>
    <w:rsid w:val="00452E9C"/>
    <w:rsid w:val="004735C8"/>
    <w:rsid w:val="00486BA4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jiawei he</cp:lastModifiedBy>
  <cp:revision>3</cp:revision>
  <cp:lastPrinted>2013-10-03T12:51:00Z</cp:lastPrinted>
  <dcterms:created xsi:type="dcterms:W3CDTF">2018-11-23T08:58:00Z</dcterms:created>
  <dcterms:modified xsi:type="dcterms:W3CDTF">2021-12-30T16:05:00Z</dcterms:modified>
</cp:coreProperties>
</file>