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0B5FB055" w14:textId="77777777" w:rsidR="00D2544D" w:rsidRDefault="00D2544D" w:rsidP="00D2544D">
      <w:pPr>
        <w:rPr>
          <w:rFonts w:cs="Times New Roman"/>
          <w:b/>
          <w:bCs/>
          <w:szCs w:val="24"/>
        </w:rPr>
      </w:pPr>
    </w:p>
    <w:p w14:paraId="61468DD6" w14:textId="0D081D7B" w:rsidR="00D2544D" w:rsidRPr="009475D4" w:rsidRDefault="00D2544D" w:rsidP="00D2544D">
      <w:pPr>
        <w:rPr>
          <w:rFonts w:cs="Times New Roman"/>
          <w:b/>
          <w:bCs/>
          <w:szCs w:val="24"/>
        </w:rPr>
      </w:pPr>
      <w:r w:rsidRPr="61786385">
        <w:rPr>
          <w:rFonts w:cs="Times New Roman"/>
          <w:b/>
          <w:bCs/>
        </w:rPr>
        <w:t>Supplementary Information 1 – SAF conversion pathways</w:t>
      </w:r>
    </w:p>
    <w:p w14:paraId="6ABC38BC" w14:textId="2418F95F" w:rsidR="00D2544D" w:rsidRPr="000F4A67" w:rsidRDefault="57AAD191" w:rsidP="61786385">
      <w:pPr>
        <w:rPr>
          <w:rStyle w:val="Strong"/>
          <w:b w:val="0"/>
          <w:bCs w:val="0"/>
          <w:color w:val="000000"/>
          <w:shd w:val="clear" w:color="auto" w:fill="FFFFFF"/>
        </w:rPr>
      </w:pPr>
      <w:proofErr w:type="spellStart"/>
      <w:r w:rsidRPr="61786385">
        <w:rPr>
          <w:rFonts w:eastAsia="Times New Roman" w:cs="Times New Roman"/>
          <w:color w:val="1C1D1E"/>
          <w:szCs w:val="24"/>
        </w:rPr>
        <w:t>Hydroprocessed</w:t>
      </w:r>
      <w:proofErr w:type="spellEnd"/>
      <w:r w:rsidRPr="61786385">
        <w:rPr>
          <w:rFonts w:eastAsia="Times New Roman" w:cs="Times New Roman"/>
          <w:color w:val="1C1D1E"/>
          <w:szCs w:val="24"/>
        </w:rPr>
        <w:t xml:space="preserve"> esters and fatty acids (</w:t>
      </w:r>
      <w:r w:rsidR="00D2544D" w:rsidRPr="000F4A67">
        <w:rPr>
          <w:rStyle w:val="Strong"/>
          <w:b w:val="0"/>
          <w:bCs w:val="0"/>
          <w:color w:val="000000"/>
          <w:shd w:val="clear" w:color="auto" w:fill="FFFFFF"/>
        </w:rPr>
        <w:t>HEFA</w:t>
      </w:r>
      <w:r w:rsidR="36FD442A" w:rsidRPr="000F4A67">
        <w:rPr>
          <w:rStyle w:val="Strong"/>
          <w:b w:val="0"/>
          <w:bCs w:val="0"/>
          <w:color w:val="000000"/>
          <w:shd w:val="clear" w:color="auto" w:fill="FFFFFF"/>
        </w:rPr>
        <w:t>)</w:t>
      </w:r>
      <w:r w:rsidR="00D2544D" w:rsidRPr="000F4A67">
        <w:rPr>
          <w:rStyle w:val="Strong"/>
          <w:b w:val="0"/>
          <w:bCs w:val="0"/>
          <w:color w:val="000000"/>
          <w:shd w:val="clear" w:color="auto" w:fill="FFFFFF"/>
        </w:rPr>
        <w:t xml:space="preserve"> process and cost data </w:t>
      </w:r>
      <w:r w:rsidR="00D2544D">
        <w:rPr>
          <w:rStyle w:val="Strong"/>
          <w:b w:val="0"/>
          <w:bCs w:val="0"/>
          <w:color w:val="000000"/>
          <w:shd w:val="clear" w:color="auto" w:fill="FFFFFF"/>
        </w:rPr>
        <w:t>were</w:t>
      </w:r>
      <w:r w:rsidR="00D2544D" w:rsidRPr="000F4A67">
        <w:rPr>
          <w:rStyle w:val="Strong"/>
          <w:b w:val="0"/>
          <w:bCs w:val="0"/>
          <w:color w:val="000000"/>
          <w:shd w:val="clear" w:color="auto" w:fill="FFFFFF"/>
        </w:rPr>
        <w:t xml:space="preserve"> adapted from </w:t>
      </w:r>
      <w:r w:rsidR="008C0033">
        <w:rPr>
          <w:rStyle w:val="Strong"/>
          <w:b w:val="0"/>
          <w:bCs w:val="0"/>
          <w:color w:val="000000"/>
          <w:shd w:val="clear" w:color="auto" w:fill="FFFFFF"/>
        </w:rPr>
        <w:fldChar w:fldCharType="begin" w:fldLock="1"/>
      </w:r>
      <w:r w:rsidR="00E414C3">
        <w:rPr>
          <w:rStyle w:val="Strong"/>
          <w:b w:val="0"/>
          <w:bCs w:val="0"/>
          <w:color w:val="000000"/>
          <w:shd w:val="clear" w:color="auto" w:fill="FFFFFF"/>
        </w:rPr>
        <w:instrText>ADDIN CSL_CITATION {"citationItems":[{"id":"ITEM-1","itemData":{"DOI":"10.1016/j.biombioe.2020.105942","ISSN":"18732909","abstract":"The aviation industry has been studying strategies to produce sustainable aviation fuels (SAF) for over ten years. Our objective is to conduct detailed techno-economic analyses (TEA) of six SAF production technologies and to develop a simplified cost estimation method. Triglyceride based Hydroprocessed esters and fatty acids (HEFA) was compared against five lignocellulose-based technologies using standardized criteria. TEA was conducted to determine minimum fuel selling price (MFSP). The base case annual product capacity was fixed at 60 million liters of total fuel, for which SAF MFSPs ranged from 0.88 to 3.86 $ L−1 of fuel. Triglyceride-based HEFA had the best economic performance. Although triglycerides are more expensive than lignocellulose, HEFA is still a very competitive technology due to its high fuel yield (86–91% of feedstock) and low MFSP. Lignocellulosic-based technologies have lower fuel yields (9–23% of feedstock) due to high oxygen content of initial feedstock, resulting in higher fuel cost per unit of fuel. In order to reach a market fuel price, SAF yields from lignocellulosic materials needs to achieve an estimated value of 60%. Such yields are only possible if carbon efficiencies are close to 100%. Therefore, efforts are needed to avoid the removal of oxygen as CO2. Based on these considerations, a new scheme is proposed for SAF production that could result in yields near those needed to achieve cost targets. This proposed integrated biomass/natural gas hybridized concepts to produce inexpensive SAFs should be thoroughly investigated in future work.","author":[{"dropping-particle":"","family":"Tanzil","given":"Abid H.","non-dropping-particle":"","parse-names":false,"suffix":""},{"dropping-particle":"","family":"Brandt","given":"Kristin","non-dropping-particle":"","parse-names":false,"suffix":""},{"dropping-particle":"","family":"Wolcott","given":"Michael","non-dropping-particle":"","parse-names":false,"suffix":""},{"dropping-particle":"","family":"Zhang","given":"Xiao","non-dropping-particle":"","parse-names":false,"suffix":""},{"dropping-particle":"","family":"Garcia-Perez","given":"Manuel","non-dropping-particle":"","parse-names":false,"suffix":""}],"container-title":"Biomass and Bioenergy","id":"ITEM-1","issued":{"date-parts":[["2021"]]},"title":"Strategic assessment of sustainable aviation fuel production technologies: Yield improvement and cost reduction opportunities","type":"article-journal","volume":"145"},"uris":["http://www.mendeley.com/documents/?uuid=5ace40bb-04e8-42d4-a1c8-a587883494f7"]},{"id":"ITEM-2","itemData":{"DOI":"https://doi.org/10.1002/bbb.1431","ISSN":"1932-104X","abstract":"Abstract This work presents a detailed analysis of the production design and economics of the cellulosic isobutanol conversion processes and compares cellulosic isobutanol with cellulosic ethanol and n-butanol in the areas of fuel properties and engine compatibility, fermentation technology, product purification process design and energy consumption, overall process economics, and life cycle assessment. Techno-economic analysis is used to understand the current stage of isobutanol process development and the impact of key parameters on the overall process economics in a consistent way (i.e. using the same financial assumptions, plant scale, and cost basis). The calculated minimum isobutanol selling price is $3.62/gasoline gallon equivalent ($/GGE) ? similar to $3.66/GGE from the n-butanol process and higher than $3.26/GGE from the cellulosic ethanol conversion process. At the conversion stage, the n-butanol process emits the most direct CO2, at 26.42 kg CO2/GGE. Isobutanol and ethanol plants have relatively similar CO2 emissions, at 21.91 kg CO2/GGE and 21.01 kg CO2/GGE, respectively. The consumptive water use of the biorefineries increases in the following order: ethanol (8.19 gal/GGE)?&lt;?isobutanol (8.98 gal/GGE)?&lt;?n-butanol (10.84 gal/GGE). Field-to-wheel life cycle greenhouse gas (GHG) emissions for the ethanol and n-butanol conversion processes are similar at 4.3 and 4.5 kg CO2-eq/GGE, respectively. The life cycle GHG emissions result for the isobutanol conversion process is 5.0 kg CO2-eq/GGE, approximately 17% higher than that of ethanol. The life cycle fossil fuel consumption is 39 MJ/GGE for n-butanol, 43 MJ/GGE for ethanol and 51 MJ/GGE for isobutanol. The energy return on investment for each biofuel is also determined and compared: isobutanol (2.2:1)?&lt;?ethanol (2.7:1)?&lt;?n-butanol (2.8:1). ? 2013 Society of Chemical Industry and John Wiley &amp; Sons, Ltd","author":[{"dropping-particle":"","family":"Tao","given":"Ling","non-dropping-particle":"","parse-names":false,"suffix":""},{"dropping-particle":"","family":"Tan","given":"Eric C D","non-dropping-particle":"","parse-names":false,"suffix":""},{"dropping-particle":"","family":"McCormick","given":"Robert","non-dropping-particle":"","parse-names":false,"suffix":""},{"dropping-particle":"","family":"Zhang","given":"Min","non-dropping-particle":"","parse-names":false,"suffix":""},{"dropping-particle":"","family":"Aden","given":"Andy","non-dropping-particle":"","parse-names":false,"suffix":""},{"dropping-particle":"","family":"He","given":"Xin","non-dropping-particle":"","parse-names":false,"suffix":""},{"dropping-particle":"","family":"Zigler","given":"Bradley T","non-dropping-particle":"","parse-names":false,"suffix":""}],"container-title":"Biofuels, Bioproducts and Biorefining","id":"ITEM-2","issue":"1","issued":{"date-parts":[["2014","1","1"]]},"note":"https://doi.org/10.1002/bbb.1431","page":"30-48","publisher":"John Wiley &amp; Sons, Ltd","title":"Techno-economic analysis and life-cycle assessment of cellulosic isobutanol and comparison with cellulosic ethanol and n-butanol","type":"article-journal","volume":"8"},"uris":["http://www.mendeley.com/documents/?uuid=4ebf2f01-695f-4e84-a3e7-3bf949fb552a"]},{"id":"ITEM-3","itemData":{"author":[{"dropping-particle":"","family":"Davis","given":"R","non-dropping-particle":"","parse-names":false,"suffix":""},{"dropping-particle":"","family":"Tao","given":"L","non-dropping-particle":"","parse-names":false,"suffix":""},{"dropping-particle":"","family":"Scarlata","given":"C","non-dropping-particle":"","parse-names":false,"suffix":""},{"dropping-particle":"","family":"Tan","given":"E C D","non-dropping-particle":"","parse-names":false,"suffix":""},{"dropping-particle":"","family":"Ross","given":"J","non-dropping-particle":"","parse-names":false,"suffix":""},{"dropping-particle":"","family":"Lukas","given":"J","non-dropping-particle":"","parse-names":false,"suffix":""},{"dropping-particle":"","family":"Sexton","given":"D","non-dropping-particle":"","parse-names":false,"suffix":""}],"container-title":"National Renewable Energy Laboratory","id":"ITEM-3","issued":{"date-parts":[["2015"]]},"number-of-pages":"133","publisher-place":"Golden, CO (United States)","title":"Process design and economics for the conversion of lignocellulosic biomass to hydrocarbons: dilute-acid and enzymatic deconstruction of biomass to sugars and catalytic conversion of sugar to hydrocarbons","type":"report"},"uris":["http://www.mendeley.com/documents/?uuid=04ae9eee-4210-4213-91e1-787c586f9df6"]},{"id":"ITEM-4","itemData":{"DOI":"https://doi.org/10.1016/j.biortech.2017.09.183","ISSN":"0960-8524","abstract":"This study undertakes technoeconomic analysis of commercial production of hydro-processed renewable jet (HRJ) fuel from camelina oil in the Canadian Prairies. An engineering economic model designed in SuperPro Designer® investigated capital investment, scale, and profitability of producing HRJ and co-products (biodiesel, naphtha, LPG, and propane) based on biorefinery plant sizes of 112.5–675 million L annum−1. Under base case scenario, the minimum selling price (MSP) of HRJ was $1.06 L−1 for a biorefinery plant with size of 225 million L. However, it could range from $0.40 to $1.71 L−1 given variations in plant capacity, feedstock cost, and co-product credits. MSP is highly sensitive to camelina feedstock cost and co-product credits, with little sensitivity to capital cost, discount rate, plant capacity, and hydrogen cost. Marginal and average cost curves suggest the region could support an HRJ plant capacity of up to 675 million L annum−1 (capital investment of $167 million).","author":[{"dropping-particle":"","family":"Li","given":"Xue","non-dropping-particle":"","parse-names":false,"suffix":""},{"dropping-particle":"","family":"Mupondwa","given":"Edmund","non-dropping-particle":"","parse-names":false,"suffix":""},{"dropping-particle":"","family":"Tabil","given":"Lope","non-dropping-particle":"","parse-names":false,"suffix":""}],"container-title":"Bioresource Technology","id":"ITEM-4","issued":{"date-parts":[["2018"]]},"page":"196-205","title":"Technoeconomic analysis of biojet fuel production from camelina at commercial scale: Case of Canadian Prairies","type":"article-journal","volume":"249"},"uris":["http://www.mendeley.com/documents/?uuid=85f82572-3080-4f20-a6ff-a8c30a7ca5d2"]},{"id":"ITEM-5","itemData":{"author":[{"dropping-particle":"","family":"Pearlson","given":"Matthew N","non-dropping-particle":"","parse-names":false,"suffix":""}],"id":"ITEM-5","issued":{"date-parts":[["2011"]]},"number-of-pages":"106","publisher":"Massachusetts Institute of Technology","title":"A Techno-Economic and Environmental Assessment of Hydroprocessed Renewable Distillate Fuels","type":"thesis"},"uris":["http://www.mendeley.com/documents/?uuid=d2512dd7-c793-4ea7-8462-c40a0ba593c5"]},{"id":"ITEM-6","itemData":{"DOI":"10.2172/1013269","abstract":"This report describes one potential biochemical ethanol conversion process, conceptually based upon core conversion and process integration research at NREL. The overarching process design converts corn stover to ethanol by dilute-acid pretreatment, enzymatic saccharification, and co-fermentation. Building on design reports published in 2002 and 1999, NREL, together with the subcontractor HarrisGroup Inc., performed a complete review of the process design and economic model for the biomass-to-ethanol process. This update reflects NREL's current vision of the biochemical ethanol process and includes the latest research in the conversion areas (pretreatment, conditioning, saccharification, and fermentation), optimizations in product recovery, and our latest understanding of the ethanolplant's back end (wastewater and utilities). The conceptual design presented here reports ethanol production economics as determined by 2012 conversion targets and 'nth-plant' project costs and financing. For the biorefinery described here, processing 2,205 dry ton/day at 76% theoretical ethanol yield (79 gal/dry ton), the ethanol selling price is $2.15/gal in 2007$.","author":[{"dropping-particle":"","family":"Humbird","given":"D","non-dropping-particle":"","parse-names":false,"suffix":""},{"dropping-particle":"","family":"Davis","given":"R","non-dropping-particle":"","parse-names":false,"suffix":""},{"dropping-particle":"","family":"Tao","given":"L","non-dropping-particle":"","parse-names":false,"suffix":""},{"dropping-particle":"","family":"Kinchin","given":"C","non-dropping-particle":"","parse-names":false,"suffix":""},{"dropping-particle":"","family":"Hsu","given":"D","non-dropping-particle":"","parse-names":false,"suffix":""},{"dropping-particle":"","family":"Aden","given":"A","non-dropping-particle":"","parse-names":false,"suffix":""},{"dropping-particle":"","family":"Schoen","given":"P","non-dropping-particle":"","parse-names":false,"suffix":""},{"dropping-particle":"","family":"Lukas","given":"J</w:instrText>
      </w:r>
      <w:r w:rsidR="00E414C3" w:rsidRPr="00FA3ED6">
        <w:rPr>
          <w:rStyle w:val="Strong"/>
          <w:b w:val="0"/>
          <w:bCs w:val="0"/>
          <w:color w:val="000000"/>
          <w:shd w:val="clear" w:color="auto" w:fill="FFFFFF"/>
          <w:lang w:val="es-CO"/>
        </w:rPr>
        <w:instrText>","non-dropping-particle":"","parse-names":false,"suffix":""},{"dropping-particle":"","family":"Olthof","given":"B","non-dropping-particle":"","parse-names":false,"suffix":""},{"dropping-particle":"","family":"Worley","given":"M","non-dropping-particle":"","parse-names":false,"suffix":""},{"dropping-particle":"","family":"Sexton","given":"D","non-dropping-particle":"","parse-names":false,"suffix":""},{"dropping-particle":"","family":"Dudgeon","given":"D","non-dropping-particle":"","parse-names":false,"suffix":""}],"id":"ITEM-6","issued":{"date-parts":[["2011"]]},"language":"English","number-of-pages":"147","publisher-place":"Golden, CO, United States","title":"Process Design and Economics for Biochemical Conversion of Lignocellulosic Biomass to Ethanol: Dilute-Acid Pretreatment and Enzymatic Hydrolysis of Corn Stover","type":"report"},"uris":["http://www.mendeley.com/documents/?uuid=1b401b1d-701d-4a0b-ade2-73336f612f5d"]}],"mendeley":{"formattedCitation":"(Humbird et al., 2011; Pearlson, 2011; Tao et al., 2014; Davis et al., 2015; Li et al., 2018; Tanzil et al., 2021)","plainTextFormattedCitation":"(Humbird et al., 2011; Pearlson, 2011; Tao et al., 2014; Davis et al., 2015; Li et al., 2018; Tanzil et al., 2021)","previouslyFormattedCitation":"(Humbird et al., 2011; Pearlson, 2011; Tao et al., 2014; Davis et al., 2015; Li et al., 2018; Tanzil et al., 2021)"},"properties":{"noteIndex":0},"schema":"https://github.com/citation-style-language/schema/raw/master/csl-citation.json"}</w:instrText>
      </w:r>
      <w:r w:rsidR="008C0033">
        <w:rPr>
          <w:rStyle w:val="Strong"/>
          <w:b w:val="0"/>
          <w:bCs w:val="0"/>
          <w:color w:val="000000"/>
          <w:shd w:val="clear" w:color="auto" w:fill="FFFFFF"/>
        </w:rPr>
        <w:fldChar w:fldCharType="separate"/>
      </w:r>
      <w:r w:rsidR="00F71D00" w:rsidRPr="00FA3ED6">
        <w:rPr>
          <w:rStyle w:val="Strong"/>
          <w:b w:val="0"/>
          <w:bCs w:val="0"/>
          <w:noProof/>
          <w:color w:val="000000"/>
          <w:shd w:val="clear" w:color="auto" w:fill="FFFFFF"/>
          <w:lang w:val="es-CO"/>
        </w:rPr>
        <w:t>(Humbird et al., 2011; Pearlson, 2011; Tao et al., 2014; Davis et al., 2015; Li et al., 2018; Tanzil et al., 2021)</w:t>
      </w:r>
      <w:r w:rsidR="008C0033">
        <w:rPr>
          <w:rStyle w:val="Strong"/>
          <w:b w:val="0"/>
          <w:bCs w:val="0"/>
          <w:color w:val="000000"/>
          <w:shd w:val="clear" w:color="auto" w:fill="FFFFFF"/>
        </w:rPr>
        <w:fldChar w:fldCharType="end"/>
      </w:r>
      <w:r w:rsidR="00D2544D" w:rsidRPr="00FA3ED6">
        <w:rPr>
          <w:rStyle w:val="Strong"/>
          <w:b w:val="0"/>
          <w:bCs w:val="0"/>
          <w:color w:val="000000"/>
          <w:shd w:val="clear" w:color="auto" w:fill="FFFFFF"/>
          <w:lang w:val="es-CO"/>
        </w:rPr>
        <w:t xml:space="preserve">. </w:t>
      </w:r>
      <w:r w:rsidR="00D2544D" w:rsidRPr="0040038C">
        <w:rPr>
          <w:rStyle w:val="Strong"/>
          <w:b w:val="0"/>
          <w:bCs w:val="0"/>
          <w:color w:val="000000"/>
          <w:shd w:val="clear" w:color="auto" w:fill="FFFFFF"/>
        </w:rPr>
        <w:t>For</w:t>
      </w:r>
      <w:r w:rsidR="00D2544D" w:rsidRPr="000F4A67">
        <w:rPr>
          <w:rStyle w:val="Strong"/>
          <w:b w:val="0"/>
          <w:bCs w:val="0"/>
          <w:color w:val="000000"/>
          <w:shd w:val="clear" w:color="auto" w:fill="FFFFFF"/>
        </w:rPr>
        <w:t xml:space="preserve"> this work, three feedstocks were utili</w:t>
      </w:r>
      <w:r w:rsidR="00D2544D">
        <w:rPr>
          <w:rStyle w:val="Strong"/>
          <w:b w:val="0"/>
          <w:bCs w:val="0"/>
          <w:color w:val="000000"/>
          <w:shd w:val="clear" w:color="auto" w:fill="FFFFFF"/>
        </w:rPr>
        <w:t>z</w:t>
      </w:r>
      <w:r w:rsidR="00D2544D" w:rsidRPr="000F4A67">
        <w:rPr>
          <w:rStyle w:val="Strong"/>
          <w:b w:val="0"/>
          <w:bCs w:val="0"/>
          <w:color w:val="000000"/>
          <w:shd w:val="clear" w:color="auto" w:fill="FFFFFF"/>
        </w:rPr>
        <w:t xml:space="preserve">ed: </w:t>
      </w:r>
      <w:r w:rsidR="00D2544D">
        <w:rPr>
          <w:rStyle w:val="Strong"/>
          <w:b w:val="0"/>
          <w:bCs w:val="0"/>
          <w:color w:val="000000"/>
          <w:shd w:val="clear" w:color="auto" w:fill="FFFFFF"/>
        </w:rPr>
        <w:t>fats, oils</w:t>
      </w:r>
      <w:r w:rsidR="00E75CCF">
        <w:rPr>
          <w:rStyle w:val="Strong"/>
          <w:b w:val="0"/>
          <w:bCs w:val="0"/>
          <w:color w:val="000000"/>
          <w:shd w:val="clear" w:color="auto" w:fill="FFFFFF"/>
        </w:rPr>
        <w:t>,</w:t>
      </w:r>
      <w:r w:rsidR="00D2544D">
        <w:rPr>
          <w:rStyle w:val="Strong"/>
          <w:b w:val="0"/>
          <w:bCs w:val="0"/>
          <w:color w:val="000000"/>
          <w:shd w:val="clear" w:color="auto" w:fill="FFFFFF"/>
        </w:rPr>
        <w:t xml:space="preserve"> and grease </w:t>
      </w:r>
      <w:r w:rsidR="00D2544D" w:rsidRPr="000F4A67">
        <w:rPr>
          <w:rStyle w:val="Strong"/>
          <w:b w:val="0"/>
          <w:bCs w:val="0"/>
          <w:color w:val="000000"/>
          <w:shd w:val="clear" w:color="auto" w:fill="FFFFFF"/>
        </w:rPr>
        <w:t>(FOGs) and two oilseed oils</w:t>
      </w:r>
      <w:r w:rsidR="00D2544D">
        <w:rPr>
          <w:rStyle w:val="Strong"/>
          <w:b w:val="0"/>
          <w:bCs w:val="0"/>
          <w:color w:val="000000"/>
          <w:shd w:val="clear" w:color="auto" w:fill="FFFFFF"/>
        </w:rPr>
        <w:t>:</w:t>
      </w:r>
      <w:r w:rsidR="00D2544D" w:rsidRPr="000F4A67">
        <w:rPr>
          <w:rStyle w:val="Strong"/>
          <w:b w:val="0"/>
          <w:bCs w:val="0"/>
          <w:color w:val="000000"/>
          <w:shd w:val="clear" w:color="auto" w:fill="FFFFFF"/>
        </w:rPr>
        <w:t xml:space="preserve"> edible vegetable oil </w:t>
      </w:r>
      <w:r w:rsidR="00D2544D">
        <w:rPr>
          <w:rStyle w:val="Strong"/>
          <w:b w:val="0"/>
          <w:bCs w:val="0"/>
          <w:color w:val="000000"/>
          <w:shd w:val="clear" w:color="auto" w:fill="FFFFFF"/>
        </w:rPr>
        <w:t>and</w:t>
      </w:r>
      <w:r w:rsidR="00D2544D" w:rsidRPr="000F4A67">
        <w:rPr>
          <w:rStyle w:val="Strong"/>
          <w:b w:val="0"/>
          <w:bCs w:val="0"/>
          <w:color w:val="000000"/>
          <w:shd w:val="clear" w:color="auto" w:fill="FFFFFF"/>
        </w:rPr>
        <w:t xml:space="preserve"> a second crop oilseed oil. The impact of feedstock is primarily</w:t>
      </w:r>
      <w:r w:rsidR="00D2544D">
        <w:rPr>
          <w:rStyle w:val="Strong"/>
          <w:b w:val="0"/>
          <w:bCs w:val="0"/>
          <w:color w:val="000000"/>
          <w:shd w:val="clear" w:color="auto" w:fill="FFFFFF"/>
        </w:rPr>
        <w:t xml:space="preserve"> from</w:t>
      </w:r>
      <w:r w:rsidR="00D2544D" w:rsidRPr="000F4A67">
        <w:rPr>
          <w:rStyle w:val="Strong"/>
          <w:b w:val="0"/>
          <w:bCs w:val="0"/>
          <w:color w:val="000000"/>
          <w:shd w:val="clear" w:color="auto" w:fill="FFFFFF"/>
        </w:rPr>
        <w:t xml:space="preserve"> </w:t>
      </w:r>
      <w:r w:rsidR="00D2544D">
        <w:rPr>
          <w:rStyle w:val="Strong"/>
          <w:b w:val="0"/>
          <w:bCs w:val="0"/>
          <w:color w:val="000000"/>
          <w:shd w:val="clear" w:color="auto" w:fill="FFFFFF"/>
        </w:rPr>
        <w:t>cost differences.</w:t>
      </w:r>
      <w:r w:rsidR="00D2544D" w:rsidRPr="000F4A67">
        <w:rPr>
          <w:rStyle w:val="Strong"/>
          <w:b w:val="0"/>
          <w:bCs w:val="0"/>
          <w:color w:val="000000"/>
          <w:shd w:val="clear" w:color="auto" w:fill="FFFFFF"/>
        </w:rPr>
        <w:t xml:space="preserve"> </w:t>
      </w:r>
      <w:r w:rsidR="00D2544D">
        <w:rPr>
          <w:rStyle w:val="Strong"/>
          <w:b w:val="0"/>
          <w:bCs w:val="0"/>
          <w:color w:val="000000"/>
          <w:shd w:val="clear" w:color="auto" w:fill="FFFFFF"/>
        </w:rPr>
        <w:t>H</w:t>
      </w:r>
      <w:r w:rsidR="00D2544D" w:rsidRPr="000F4A67">
        <w:rPr>
          <w:rStyle w:val="Strong"/>
          <w:b w:val="0"/>
          <w:bCs w:val="0"/>
          <w:color w:val="000000"/>
          <w:shd w:val="clear" w:color="auto" w:fill="FFFFFF"/>
        </w:rPr>
        <w:t>owever</w:t>
      </w:r>
      <w:r w:rsidR="00D2544D">
        <w:rPr>
          <w:rStyle w:val="Strong"/>
          <w:b w:val="0"/>
          <w:bCs w:val="0"/>
          <w:color w:val="000000"/>
          <w:shd w:val="clear" w:color="auto" w:fill="FFFFFF"/>
        </w:rPr>
        <w:t>,</w:t>
      </w:r>
      <w:r w:rsidR="00D2544D" w:rsidRPr="000F4A67">
        <w:rPr>
          <w:rStyle w:val="Strong"/>
          <w:b w:val="0"/>
          <w:bCs w:val="0"/>
          <w:color w:val="000000"/>
          <w:shd w:val="clear" w:color="auto" w:fill="FFFFFF"/>
        </w:rPr>
        <w:t xml:space="preserve"> losses during the cleaning process drop the fuel yield </w:t>
      </w:r>
      <w:r w:rsidR="00D2544D">
        <w:rPr>
          <w:rStyle w:val="Strong"/>
          <w:b w:val="0"/>
          <w:bCs w:val="0"/>
          <w:color w:val="000000"/>
          <w:shd w:val="clear" w:color="auto" w:fill="FFFFFF"/>
        </w:rPr>
        <w:t xml:space="preserve">for FOGs </w:t>
      </w:r>
      <w:r w:rsidR="3E5C61CD">
        <w:rPr>
          <w:rStyle w:val="Strong"/>
          <w:b w:val="0"/>
          <w:bCs w:val="0"/>
          <w:color w:val="000000"/>
          <w:shd w:val="clear" w:color="auto" w:fill="FFFFFF"/>
        </w:rPr>
        <w:t xml:space="preserve">by </w:t>
      </w:r>
      <w:r w:rsidR="00D2544D" w:rsidRPr="000F4A67">
        <w:rPr>
          <w:rStyle w:val="Strong"/>
          <w:b w:val="0"/>
          <w:bCs w:val="0"/>
          <w:color w:val="000000"/>
          <w:shd w:val="clear" w:color="auto" w:fill="FFFFFF"/>
        </w:rPr>
        <w:t>a small amount</w:t>
      </w:r>
      <w:r w:rsidR="5BA0ECD8" w:rsidRPr="000F4A67">
        <w:rPr>
          <w:rStyle w:val="Strong"/>
          <w:b w:val="0"/>
          <w:bCs w:val="0"/>
          <w:color w:val="000000"/>
          <w:shd w:val="clear" w:color="auto" w:fill="FFFFFF"/>
        </w:rPr>
        <w:t xml:space="preserve"> compared to oilseed oils</w:t>
      </w:r>
      <w:r w:rsidR="00D2544D" w:rsidRPr="000F4A67">
        <w:rPr>
          <w:rStyle w:val="Strong"/>
          <w:b w:val="0"/>
          <w:bCs w:val="0"/>
          <w:color w:val="000000"/>
          <w:shd w:val="clear" w:color="auto" w:fill="FFFFFF"/>
        </w:rPr>
        <w:t xml:space="preserve">. </w:t>
      </w:r>
      <w:r w:rsidR="00D2544D">
        <w:rPr>
          <w:rStyle w:val="Strong"/>
          <w:b w:val="0"/>
          <w:bCs w:val="0"/>
          <w:color w:val="000000"/>
          <w:shd w:val="clear" w:color="auto" w:fill="FFFFFF"/>
        </w:rPr>
        <w:t>T</w:t>
      </w:r>
      <w:r w:rsidR="00D2544D" w:rsidRPr="000F4A67">
        <w:rPr>
          <w:rStyle w:val="Strong"/>
          <w:b w:val="0"/>
          <w:bCs w:val="0"/>
          <w:color w:val="000000"/>
          <w:shd w:val="clear" w:color="auto" w:fill="FFFFFF"/>
        </w:rPr>
        <w:t>h</w:t>
      </w:r>
      <w:r w:rsidR="420962EB" w:rsidRPr="000F4A67">
        <w:rPr>
          <w:rStyle w:val="Strong"/>
          <w:b w:val="0"/>
          <w:bCs w:val="0"/>
          <w:color w:val="000000"/>
          <w:shd w:val="clear" w:color="auto" w:fill="FFFFFF"/>
        </w:rPr>
        <w:t>is</w:t>
      </w:r>
      <w:r w:rsidR="00D2544D" w:rsidRPr="000F4A67">
        <w:rPr>
          <w:rStyle w:val="Strong"/>
          <w:b w:val="0"/>
          <w:bCs w:val="0"/>
          <w:color w:val="000000"/>
          <w:shd w:val="clear" w:color="auto" w:fill="FFFFFF"/>
        </w:rPr>
        <w:t xml:space="preserve"> minor loss</w:t>
      </w:r>
      <w:r w:rsidR="00D2544D">
        <w:rPr>
          <w:rStyle w:val="Strong"/>
          <w:b w:val="0"/>
          <w:bCs w:val="0"/>
          <w:color w:val="000000"/>
          <w:shd w:val="clear" w:color="auto" w:fill="FFFFFF"/>
        </w:rPr>
        <w:t xml:space="preserve"> is included in the model</w:t>
      </w:r>
      <w:r w:rsidR="00D2544D" w:rsidRPr="000F4A67">
        <w:rPr>
          <w:rStyle w:val="Strong"/>
          <w:b w:val="0"/>
          <w:bCs w:val="0"/>
          <w:color w:val="000000"/>
          <w:shd w:val="clear" w:color="auto" w:fill="FFFFFF"/>
        </w:rPr>
        <w:t>.</w:t>
      </w:r>
      <w:r w:rsidR="00D2544D">
        <w:rPr>
          <w:rStyle w:val="Strong"/>
          <w:b w:val="0"/>
          <w:bCs w:val="0"/>
          <w:color w:val="000000"/>
          <w:shd w:val="clear" w:color="auto" w:fill="FFFFFF"/>
        </w:rPr>
        <w:t xml:space="preserve"> T</w:t>
      </w:r>
      <w:r w:rsidR="00D2544D" w:rsidRPr="000F4A67">
        <w:rPr>
          <w:rStyle w:val="Strong"/>
          <w:b w:val="0"/>
          <w:bCs w:val="0"/>
          <w:color w:val="000000"/>
          <w:shd w:val="clear" w:color="auto" w:fill="FFFFFF"/>
        </w:rPr>
        <w:t>he capital and operating costs</w:t>
      </w:r>
      <w:r w:rsidR="00D2544D">
        <w:rPr>
          <w:rStyle w:val="Strong"/>
          <w:b w:val="0"/>
          <w:bCs w:val="0"/>
          <w:color w:val="000000"/>
          <w:shd w:val="clear" w:color="auto" w:fill="FFFFFF"/>
        </w:rPr>
        <w:t xml:space="preserve"> for lipids cleaning </w:t>
      </w:r>
      <w:r w:rsidR="00D2544D" w:rsidRPr="000F4A67">
        <w:rPr>
          <w:rStyle w:val="Strong"/>
          <w:b w:val="0"/>
          <w:bCs w:val="0"/>
          <w:color w:val="000000"/>
          <w:shd w:val="clear" w:color="auto" w:fill="FFFFFF"/>
        </w:rPr>
        <w:t>are less than 10% of the respective totals</w:t>
      </w:r>
      <w:r w:rsidR="00D2544D">
        <w:rPr>
          <w:rStyle w:val="Strong"/>
          <w:b w:val="0"/>
          <w:bCs w:val="0"/>
          <w:color w:val="000000"/>
          <w:shd w:val="clear" w:color="auto" w:fill="FFFFFF"/>
        </w:rPr>
        <w:t xml:space="preserve">. It is </w:t>
      </w:r>
      <w:r w:rsidR="00D2544D" w:rsidRPr="000F4A67">
        <w:rPr>
          <w:rStyle w:val="Strong"/>
          <w:b w:val="0"/>
          <w:bCs w:val="0"/>
          <w:color w:val="000000"/>
          <w:shd w:val="clear" w:color="auto" w:fill="FFFFFF"/>
        </w:rPr>
        <w:t xml:space="preserve">unlikely that a separate facility for cleaning lipids would be financially lucrative </w:t>
      </w:r>
      <w:r w:rsidR="00D2544D" w:rsidRPr="61786385">
        <w:rPr>
          <w:rStyle w:val="Strong"/>
          <w:b w:val="0"/>
          <w:bCs w:val="0"/>
          <w:color w:val="000000" w:themeColor="text1"/>
        </w:rPr>
        <w:fldChar w:fldCharType="begin" w:fldLock="1"/>
      </w:r>
      <w:r w:rsidR="00041597">
        <w:rPr>
          <w:rStyle w:val="Strong"/>
          <w:b w:val="0"/>
          <w:bCs w:val="0"/>
          <w:color w:val="000000"/>
          <w:shd w:val="clear" w:color="auto" w:fill="FFFFFF"/>
        </w:rPr>
        <w:instrText>ADDIN CSL_CITATION {"citationItems":[{"id":"ITEM-1","itemData":{"DOI":"https://doi.org/10.1016/j.energy.2017.03.167","ISSN":"0360-5442","abstract":"Soybean is currently recognized as a high value crop, allowing the manufacture of a broad range of products. This contribution investigates the synergies resulting from coupling the production of biodiesel with soybean processing facilities, defining the core structure of a soy-based biorefinery. Simulations in Aspen Plus® were performed, employing a detailed modeling framework. A base case scenario was established, allowing a detailed economic assessment of the process, a profitability and risk analysis, as well as the identification of plant integration opportunities. Increased process integration leads to an 18% decrease of the biodiesel production costs, corresponding to a 9% reduction of the break-even price (from 875 to 798 $/t of biodiesel). This is accompanied by an overall decrease of hot and cold utilities consumption of 20%, with a heat exchanger network that performs closely to the energy recovery targets determined through pinch technology. The need for fresh water in biodiesel production is also completely eliminated and the generation of wastewater is mitigated by 9%. The risk analysis, carried out through Monte Carlo simulations, shows that the new plant configuration becomes more robust to variations in the key economic factors considered.","author":[{"dropping-particle":"","family":"Granjo","given":"José F O","non-dropping-particle":"","parse-names":false,"suffix":""},{"dropping-particle":"","family":"Duarte","given":"Belmiro P M","non-dropping-particle":"","parse-names":false,"suffix":""},{"dropping-particle":"","family":"Oliveira","given":"Nuno M C","non-dropping-particle":"","parse-names":false,"suffix":""}],"container-title":"Energy","id":"ITEM-1","issued":{"date-parts":[["2017"]]},"page":"273-291","title":"Integrated production of biodiesel in a soybean biorefinery: Modeling, simulation and economical assessment","type":"article-journal","volume":"129"},"uris":["http://www.mendeley.com/documents/?uuid=5e998b7a-ed12-48a5-a9d7-06b45c817103"]}],"mendeley":{"formattedCitation":"(Granjo et al., 2017)","plainTextFormattedCitation":"(Granjo et al., 2017)","previouslyFormattedCitation":"(Granjo et al., 2017)"},"properties":{"noteIndex":0},"schema":"https://github.com/citation-style-language/schema/raw/master/csl-citation.json"}</w:instrText>
      </w:r>
      <w:r w:rsidR="00D2544D" w:rsidRPr="61786385">
        <w:rPr>
          <w:rStyle w:val="Strong"/>
          <w:b w:val="0"/>
          <w:bCs w:val="0"/>
          <w:color w:val="000000"/>
          <w:shd w:val="clear" w:color="auto" w:fill="FFFFFF"/>
        </w:rPr>
        <w:fldChar w:fldCharType="separate"/>
      </w:r>
      <w:r w:rsidR="00E414C3" w:rsidRPr="00E414C3">
        <w:rPr>
          <w:rStyle w:val="Strong"/>
          <w:b w:val="0"/>
          <w:bCs w:val="0"/>
          <w:noProof/>
          <w:color w:val="000000"/>
          <w:shd w:val="clear" w:color="auto" w:fill="FFFFFF"/>
        </w:rPr>
        <w:t>(Granjo et al., 2017)</w:t>
      </w:r>
      <w:r w:rsidR="00D2544D" w:rsidRPr="61786385">
        <w:rPr>
          <w:rStyle w:val="Strong"/>
          <w:b w:val="0"/>
          <w:bCs w:val="0"/>
          <w:color w:val="000000" w:themeColor="text1"/>
        </w:rPr>
        <w:fldChar w:fldCharType="end"/>
      </w:r>
      <w:r w:rsidR="00D2544D" w:rsidRPr="0040038C">
        <w:rPr>
          <w:rStyle w:val="Strong"/>
          <w:b w:val="0"/>
          <w:bCs w:val="0"/>
          <w:color w:val="000000"/>
          <w:shd w:val="clear" w:color="auto" w:fill="FFFFFF"/>
        </w:rPr>
        <w:t>.</w:t>
      </w:r>
      <w:r w:rsidR="00D2544D" w:rsidRPr="000F4A67">
        <w:rPr>
          <w:rStyle w:val="Strong"/>
          <w:b w:val="0"/>
          <w:bCs w:val="0"/>
          <w:color w:val="000000"/>
          <w:shd w:val="clear" w:color="auto" w:fill="FFFFFF"/>
        </w:rPr>
        <w:t xml:space="preserve"> </w:t>
      </w:r>
      <w:r w:rsidR="00D2544D">
        <w:rPr>
          <w:rStyle w:val="Strong"/>
          <w:b w:val="0"/>
          <w:bCs w:val="0"/>
          <w:color w:val="000000"/>
          <w:shd w:val="clear" w:color="auto" w:fill="FFFFFF"/>
        </w:rPr>
        <w:t>R</w:t>
      </w:r>
      <w:r w:rsidR="00D2544D" w:rsidRPr="000F4A67">
        <w:rPr>
          <w:rStyle w:val="Strong"/>
          <w:b w:val="0"/>
          <w:bCs w:val="0"/>
          <w:color w:val="000000"/>
          <w:shd w:val="clear" w:color="auto" w:fill="FFFFFF"/>
        </w:rPr>
        <w:t>egardless of the feedstock selected,</w:t>
      </w:r>
      <w:r w:rsidR="00D2544D">
        <w:rPr>
          <w:rStyle w:val="Strong"/>
          <w:b w:val="0"/>
          <w:bCs w:val="0"/>
          <w:color w:val="000000"/>
          <w:shd w:val="clear" w:color="auto" w:fill="FFFFFF"/>
        </w:rPr>
        <w:t xml:space="preserve"> t</w:t>
      </w:r>
      <w:r w:rsidR="00D2544D" w:rsidRPr="000F4A67">
        <w:rPr>
          <w:rStyle w:val="Strong"/>
          <w:b w:val="0"/>
          <w:bCs w:val="0"/>
          <w:color w:val="000000"/>
          <w:shd w:val="clear" w:color="auto" w:fill="FFFFFF"/>
        </w:rPr>
        <w:t>he yield for the HEFA model</w:t>
      </w:r>
      <w:r w:rsidR="00D2544D">
        <w:rPr>
          <w:rStyle w:val="Strong"/>
          <w:b w:val="0"/>
          <w:bCs w:val="0"/>
          <w:color w:val="000000"/>
          <w:shd w:val="clear" w:color="auto" w:fill="FFFFFF"/>
        </w:rPr>
        <w:t xml:space="preserve"> </w:t>
      </w:r>
      <w:r w:rsidR="00D2544D" w:rsidRPr="000F4A67">
        <w:rPr>
          <w:rStyle w:val="Strong"/>
          <w:b w:val="0"/>
          <w:bCs w:val="0"/>
          <w:color w:val="000000"/>
          <w:shd w:val="clear" w:color="auto" w:fill="FFFFFF"/>
        </w:rPr>
        <w:t xml:space="preserve">is </w:t>
      </w:r>
      <w:proofErr w:type="spellStart"/>
      <w:r w:rsidR="00D2544D" w:rsidRPr="000F4A67">
        <w:rPr>
          <w:rStyle w:val="Strong"/>
          <w:b w:val="0"/>
          <w:bCs w:val="0"/>
          <w:color w:val="000000"/>
          <w:shd w:val="clear" w:color="auto" w:fill="FFFFFF"/>
        </w:rPr>
        <w:t>wt</w:t>
      </w:r>
      <w:proofErr w:type="spellEnd"/>
      <w:r w:rsidR="00D2544D" w:rsidRPr="000F4A67">
        <w:rPr>
          <w:rStyle w:val="Strong"/>
          <w:b w:val="0"/>
          <w:bCs w:val="0"/>
          <w:color w:val="000000"/>
          <w:shd w:val="clear" w:color="auto" w:fill="FFFFFF"/>
        </w:rPr>
        <w:t>/</w:t>
      </w:r>
      <w:proofErr w:type="spellStart"/>
      <w:r w:rsidR="00D2544D" w:rsidRPr="000F4A67">
        <w:rPr>
          <w:rStyle w:val="Strong"/>
          <w:b w:val="0"/>
          <w:bCs w:val="0"/>
          <w:color w:val="000000"/>
          <w:shd w:val="clear" w:color="auto" w:fill="FFFFFF"/>
        </w:rPr>
        <w:t>wt</w:t>
      </w:r>
      <w:proofErr w:type="spellEnd"/>
      <w:r w:rsidR="00D2544D" w:rsidRPr="000F4A67">
        <w:rPr>
          <w:rStyle w:val="Strong"/>
          <w:b w:val="0"/>
          <w:bCs w:val="0"/>
          <w:color w:val="000000"/>
          <w:shd w:val="clear" w:color="auto" w:fill="FFFFFF"/>
        </w:rPr>
        <w:t xml:space="preserve"> 0.83 for total distillate after the lipids have been cleaned, which is within the range presented </w:t>
      </w:r>
      <w:r w:rsidR="00D2544D" w:rsidRPr="0040038C">
        <w:rPr>
          <w:rStyle w:val="Strong"/>
          <w:b w:val="0"/>
          <w:bCs w:val="0"/>
          <w:color w:val="000000"/>
          <w:shd w:val="clear" w:color="auto" w:fill="FFFFFF"/>
        </w:rPr>
        <w:t xml:space="preserve">by </w:t>
      </w:r>
      <w:r w:rsidR="00602457">
        <w:rPr>
          <w:rStyle w:val="Strong"/>
          <w:b w:val="0"/>
          <w:bCs w:val="0"/>
          <w:color w:val="000000"/>
          <w:shd w:val="clear" w:color="auto" w:fill="FFFFFF"/>
        </w:rPr>
        <w:fldChar w:fldCharType="begin" w:fldLock="1"/>
      </w:r>
      <w:r w:rsidR="00602457">
        <w:rPr>
          <w:rStyle w:val="Strong"/>
          <w:b w:val="0"/>
          <w:bCs w:val="0"/>
          <w:color w:val="000000"/>
          <w:shd w:val="clear" w:color="auto" w:fill="FFFFFF"/>
        </w:rPr>
        <w:instrText>ADDIN CSL_CITATION {"citationItems":[{"id":"ITEM-1","itemData":{"DOI":"https://doi.org/10.1002/bbb.1613","ISSN":"1932-104X","author":[{"dropping-particle":"","family":"Jong","given":"Sierk","non-dropping-particle":"De","parse-names":false,"suffix":""},{"dropping-particle":"","family":"Hoefnagels","given":"Ric","non-dropping-particle":"","parse-names":false,"suffix":""},{"dropping-particle":"","family":"Faaij","given":"André","non-dropping-particle":"","parse-names":false,"suffix":""},{"dropping-particle":"","family":"Slade","given":"Raphael","non-dropping-particle":"","parse-names":false,"suffix":""},{"dropping-particle":"","family":"Mawhood","given":"Rebecca","non-dropping-particle":"","parse-names":false,"suffix":""},{"dropping-particle":"","family":"Junginger","given":"Martin","non-dropping-particle":"","parse-names":false,"suffix":""}],"container-title":"Biofuels, Bioproducts and Biorefining","id":"ITEM-1","issue":"6","issued":{"date-parts":[["2015"]]},"page":"778-800","publisher":"Wiley Online Library","title":"The feasibility of short‐term production strategies for renewable jet fuels–a comprehensive techno‐economic comparison","type":"article-journal","volume":"9"},"uris":["http://www.mendeley.com/documents/?uuid=c3913cfc-b796-491d-9986-42ad54678a3e"]}],"mendeley":{"formattedCitation":"(De Jong et al., 2015)","manualFormatting":"De Jong et al., 2015","plainTextFormattedCitation":"(De Jong et al., 2015)","previouslyFormattedCitation":"(De Jong et al., 2015)"},"properties":{"noteIndex":0},"schema":"https://github.com/citation-style-language/schema/raw/master/csl-citation.json"}</w:instrText>
      </w:r>
      <w:r w:rsidR="00602457">
        <w:rPr>
          <w:rStyle w:val="Strong"/>
          <w:b w:val="0"/>
          <w:bCs w:val="0"/>
          <w:color w:val="000000"/>
          <w:shd w:val="clear" w:color="auto" w:fill="FFFFFF"/>
        </w:rPr>
        <w:fldChar w:fldCharType="separate"/>
      </w:r>
      <w:r w:rsidR="00602457" w:rsidRPr="00602457">
        <w:rPr>
          <w:rStyle w:val="Strong"/>
          <w:b w:val="0"/>
          <w:bCs w:val="0"/>
          <w:noProof/>
          <w:color w:val="000000"/>
          <w:shd w:val="clear" w:color="auto" w:fill="FFFFFF"/>
        </w:rPr>
        <w:t>De Jong et al., 2015</w:t>
      </w:r>
      <w:r w:rsidR="00602457">
        <w:rPr>
          <w:rStyle w:val="Strong"/>
          <w:b w:val="0"/>
          <w:bCs w:val="0"/>
          <w:color w:val="000000"/>
          <w:shd w:val="clear" w:color="auto" w:fill="FFFFFF"/>
        </w:rPr>
        <w:fldChar w:fldCharType="end"/>
      </w:r>
      <w:r w:rsidR="003635C0">
        <w:rPr>
          <w:rStyle w:val="Strong"/>
          <w:b w:val="0"/>
          <w:bCs w:val="0"/>
          <w:color w:val="000000"/>
          <w:shd w:val="clear" w:color="auto" w:fill="FFFFFF"/>
        </w:rPr>
        <w:t xml:space="preserve"> and </w:t>
      </w:r>
      <w:r w:rsidR="003635C0">
        <w:rPr>
          <w:rStyle w:val="Strong"/>
          <w:b w:val="0"/>
          <w:bCs w:val="0"/>
          <w:color w:val="000000"/>
          <w:shd w:val="clear" w:color="auto" w:fill="FFFFFF"/>
        </w:rPr>
        <w:fldChar w:fldCharType="begin" w:fldLock="1"/>
      </w:r>
      <w:r w:rsidR="00602457">
        <w:rPr>
          <w:rStyle w:val="Strong"/>
          <w:b w:val="0"/>
          <w:bCs w:val="0"/>
          <w:color w:val="000000"/>
          <w:shd w:val="clear" w:color="auto" w:fill="FFFFFF"/>
        </w:rPr>
        <w:instrText>ADDIN CSL_CITATION {"citationItems":[{"id":"ITEM-1","itemData":{"DOI":"https://doi.org/10.1016/j.biortech.2016.12.032","ISSN":"0960-8524","abstract":"This study quantifies and compares the costs of production for six alternative jet fuel pathways using consistent financial and technical assumptions. Uncertainty was propagated through the analysis using Monte Carlo simulations. The six processes assessed were HEFA, advanced fermentation, Fischer-Tropsch, aqueous phase processing, hydrothermal liquefaction, and fast pyrolysis. The results indicate that none of the six processes would be profitable in the absence of government incentives, with HEFA using yellow grease, HEFA using tallow, and FT revealing the lowest mean jet fuel prices at $0.91/liter ($0.66/liter–$1.24/liter), $1.06/liter ($0.79/liter–$1.42/liter), and $1.15/liter ($0.95/liter–$1.39/liter), respectively. This study also quantifies plant performance in the United States with a Renewable Fuel Standard policy analysis. Results indicate that some pathways could achieve positive NPV with relatively high likelihood under existing policy supports, with HEFA and FPH revealing the highest probability of positive NPV at 94.9% and 99.7%, respectively, in the best-case scenario.","author":[{"dropping-particle":"","family":"Bann","given":"Seamus J","non-dropping-particle":"","parse-names":false,"suffix":""},{"dropping-particle":"","family":"Malina","given":"Robert","non-dropping-particle":"","parse-names":false,"suffix":""},{"dropping-particle":"","family":"Staples","given":"Mark D","non-dropping-particle":"","parse-names":false,"suffix":""},{"dropping-particle":"","family":"Suresh","given":"Pooja","non-dropping-particle":"","parse-names":false,"suffix":""},{"dropping-particle":"","family":"Pearlson","given":"Matthew","non-dropping-particle":"","parse-names":false,"suffix":""},{"dropping-particle":"","family":"Tyner","given":"Wallace E","non-dropping-particle":"","parse-names":false,"suffix":""},{"dropping-particle":"","family":"Hileman","given":"James I","non-dropping-particle":"","parse-names":false,"suffix":""},{"dropping-particle":"","family":"Barrett","given":"Steven","non-dropping-particle":"","parse-names":false,"suffix":""}],"container-title":"Bioresource Technology","id":"ITEM-1","issued":{"date-parts":[["2017"]]},"page":"179-187","title":"The costs of production of alternative jet fuel: A harmonized stochastic assessment","type":"article-journal","volume":"227"},"uris":["http://www.mendeley.com/documents/?uuid=112ab54b-0da9-4d23-8c22-3f2ccec3dfd1"]}],"mendeley":{"formattedCitation":"(Bann et al., 2017)","manualFormatting":"Bann et al., 2017","plainTextFormattedCitation":"(Bann et al., 2017)","previouslyFormattedCitation":"(Bann et al., 2017)"},"properties":{"noteIndex":0},"schema":"https://github.com/citation-style-language/schema/raw/master/csl-citation.json"}</w:instrText>
      </w:r>
      <w:r w:rsidR="003635C0">
        <w:rPr>
          <w:rStyle w:val="Strong"/>
          <w:b w:val="0"/>
          <w:bCs w:val="0"/>
          <w:color w:val="000000"/>
          <w:shd w:val="clear" w:color="auto" w:fill="FFFFFF"/>
        </w:rPr>
        <w:fldChar w:fldCharType="separate"/>
      </w:r>
      <w:r w:rsidR="003635C0" w:rsidRPr="003635C0">
        <w:rPr>
          <w:rStyle w:val="Strong"/>
          <w:b w:val="0"/>
          <w:bCs w:val="0"/>
          <w:noProof/>
          <w:color w:val="000000"/>
          <w:shd w:val="clear" w:color="auto" w:fill="FFFFFF"/>
        </w:rPr>
        <w:t>Bann et al., 2017</w:t>
      </w:r>
      <w:r w:rsidR="003635C0">
        <w:rPr>
          <w:rStyle w:val="Strong"/>
          <w:b w:val="0"/>
          <w:bCs w:val="0"/>
          <w:color w:val="000000"/>
          <w:shd w:val="clear" w:color="auto" w:fill="FFFFFF"/>
        </w:rPr>
        <w:fldChar w:fldCharType="end"/>
      </w:r>
      <w:r w:rsidR="00D2544D" w:rsidRPr="0040038C">
        <w:rPr>
          <w:rStyle w:val="Strong"/>
          <w:b w:val="0"/>
          <w:bCs w:val="0"/>
          <w:color w:val="000000"/>
          <w:shd w:val="clear" w:color="auto" w:fill="FFFFFF"/>
        </w:rPr>
        <w:t>.</w:t>
      </w:r>
      <w:r w:rsidR="00D2544D" w:rsidRPr="000F4A67">
        <w:rPr>
          <w:rStyle w:val="Strong"/>
          <w:b w:val="0"/>
          <w:bCs w:val="0"/>
          <w:color w:val="000000"/>
          <w:shd w:val="clear" w:color="auto" w:fill="FFFFFF"/>
        </w:rPr>
        <w:t xml:space="preserve"> The baseline distillate cut is listed in </w:t>
      </w:r>
      <w:r w:rsidR="00D2544D" w:rsidRPr="000F4A67">
        <w:rPr>
          <w:rStyle w:val="Strong"/>
          <w:b w:val="0"/>
          <w:bCs w:val="0"/>
          <w:color w:val="000000"/>
          <w:shd w:val="clear" w:color="auto" w:fill="FFFFFF"/>
        </w:rPr>
        <w:fldChar w:fldCharType="begin"/>
      </w:r>
      <w:r w:rsidR="00D2544D" w:rsidRPr="000F4A67">
        <w:rPr>
          <w:rStyle w:val="Strong"/>
          <w:b w:val="0"/>
          <w:bCs w:val="0"/>
          <w:color w:val="000000"/>
          <w:shd w:val="clear" w:color="auto" w:fill="FFFFFF"/>
        </w:rPr>
        <w:instrText xml:space="preserve"> REF _Ref75873439 \h  \* MERGEFORMAT </w:instrText>
      </w:r>
      <w:r w:rsidR="00D2544D" w:rsidRPr="000F4A67">
        <w:rPr>
          <w:rStyle w:val="Strong"/>
          <w:b w:val="0"/>
          <w:bCs w:val="0"/>
          <w:color w:val="000000"/>
          <w:shd w:val="clear" w:color="auto" w:fill="FFFFFF"/>
        </w:rPr>
      </w:r>
      <w:r w:rsidR="00D2544D" w:rsidRPr="000F4A67">
        <w:rPr>
          <w:rStyle w:val="Strong"/>
          <w:b w:val="0"/>
          <w:bCs w:val="0"/>
          <w:color w:val="000000"/>
          <w:shd w:val="clear" w:color="auto" w:fill="FFFFFF"/>
        </w:rPr>
        <w:fldChar w:fldCharType="separate"/>
      </w:r>
      <w:r w:rsidR="00D2544D" w:rsidRPr="61786385">
        <w:rPr>
          <w:rFonts w:cs="Times New Roman"/>
        </w:rPr>
        <w:t xml:space="preserve">Table </w:t>
      </w:r>
      <w:r w:rsidR="00D2544D" w:rsidRPr="61786385">
        <w:rPr>
          <w:rFonts w:cs="Times New Roman"/>
          <w:noProof/>
        </w:rPr>
        <w:t>1</w:t>
      </w:r>
      <w:r w:rsidR="00D2544D" w:rsidRPr="000F4A67">
        <w:rPr>
          <w:rStyle w:val="Strong"/>
          <w:b w:val="0"/>
          <w:bCs w:val="0"/>
          <w:color w:val="000000"/>
          <w:shd w:val="clear" w:color="auto" w:fill="FFFFFF"/>
        </w:rPr>
        <w:fldChar w:fldCharType="end"/>
      </w:r>
      <w:r w:rsidR="00D2544D" w:rsidRPr="000F4A67">
        <w:rPr>
          <w:rStyle w:val="Strong"/>
          <w:b w:val="0"/>
          <w:bCs w:val="0"/>
          <w:color w:val="000000"/>
          <w:shd w:val="clear" w:color="auto" w:fill="FFFFFF"/>
        </w:rPr>
        <w:t xml:space="preserve">. </w:t>
      </w:r>
    </w:p>
    <w:p w14:paraId="51D97703" w14:textId="69ED9D74" w:rsidR="00D2544D" w:rsidRPr="00942B9B" w:rsidRDefault="00D2544D" w:rsidP="61786385">
      <w:pPr>
        <w:rPr>
          <w:rFonts w:cs="Times New Roman"/>
        </w:rPr>
      </w:pPr>
      <w:r w:rsidRPr="61786385">
        <w:rPr>
          <w:rFonts w:cs="Times New Roman"/>
          <w:color w:val="000000"/>
          <w:shd w:val="clear" w:color="auto" w:fill="FFFFFF"/>
        </w:rPr>
        <w:t xml:space="preserve">The </w:t>
      </w:r>
      <w:r w:rsidR="164FB6C3" w:rsidRPr="61786385">
        <w:rPr>
          <w:rFonts w:cs="Times New Roman"/>
          <w:color w:val="000000"/>
          <w:shd w:val="clear" w:color="auto" w:fill="FFFFFF"/>
        </w:rPr>
        <w:t xml:space="preserve">Fischer </w:t>
      </w:r>
      <w:proofErr w:type="spellStart"/>
      <w:r w:rsidR="164FB6C3" w:rsidRPr="61786385">
        <w:rPr>
          <w:rFonts w:cs="Times New Roman"/>
          <w:color w:val="000000"/>
          <w:shd w:val="clear" w:color="auto" w:fill="FFFFFF"/>
        </w:rPr>
        <w:t>Tropsch</w:t>
      </w:r>
      <w:proofErr w:type="spellEnd"/>
      <w:r w:rsidR="164FB6C3" w:rsidRPr="61786385">
        <w:rPr>
          <w:rFonts w:cs="Times New Roman"/>
          <w:color w:val="000000"/>
          <w:shd w:val="clear" w:color="auto" w:fill="FFFFFF"/>
        </w:rPr>
        <w:t xml:space="preserve"> (</w:t>
      </w:r>
      <w:r w:rsidRPr="61786385">
        <w:rPr>
          <w:rFonts w:cs="Times New Roman"/>
          <w:color w:val="000000"/>
          <w:shd w:val="clear" w:color="auto" w:fill="FFFFFF"/>
        </w:rPr>
        <w:t>FT</w:t>
      </w:r>
      <w:r w:rsidR="4C54D1B7" w:rsidRPr="61786385">
        <w:rPr>
          <w:rFonts w:cs="Times New Roman"/>
          <w:color w:val="000000"/>
          <w:shd w:val="clear" w:color="auto" w:fill="FFFFFF"/>
        </w:rPr>
        <w:t>)</w:t>
      </w:r>
      <w:r w:rsidRPr="61786385">
        <w:rPr>
          <w:rFonts w:cs="Times New Roman"/>
          <w:color w:val="000000"/>
          <w:shd w:val="clear" w:color="auto" w:fill="FFFFFF"/>
        </w:rPr>
        <w:t xml:space="preserve"> conversion pathway includes five feedstock options. The </w:t>
      </w:r>
      <w:r w:rsidR="7330F2D6" w:rsidRPr="61786385">
        <w:rPr>
          <w:rFonts w:cs="Times New Roman"/>
          <w:color w:val="000000"/>
          <w:shd w:val="clear" w:color="auto" w:fill="FFFFFF"/>
        </w:rPr>
        <w:t>s</w:t>
      </w:r>
      <w:r w:rsidRPr="61786385">
        <w:rPr>
          <w:rFonts w:cs="Times New Roman"/>
          <w:color w:val="000000"/>
          <w:shd w:val="clear" w:color="auto" w:fill="FFFFFF"/>
        </w:rPr>
        <w:t xml:space="preserve">olid waste feedstocks, agricultural residues, forest residues or municipal solid waste (MSW), are first sorted, dried and </w:t>
      </w:r>
      <w:r w:rsidR="6A531F6D" w:rsidRPr="61786385">
        <w:rPr>
          <w:rFonts w:cs="Times New Roman"/>
          <w:color w:val="000000"/>
          <w:shd w:val="clear" w:color="auto" w:fill="FFFFFF"/>
        </w:rPr>
        <w:t>particle size reduction</w:t>
      </w:r>
      <w:r w:rsidRPr="61786385">
        <w:rPr>
          <w:rFonts w:cs="Times New Roman"/>
          <w:color w:val="000000"/>
          <w:shd w:val="clear" w:color="auto" w:fill="FFFFFF"/>
        </w:rPr>
        <w:t>. The feedstock price includes this pre-processing</w:t>
      </w:r>
      <w:r w:rsidR="00602457">
        <w:rPr>
          <w:rFonts w:cs="Times New Roman"/>
          <w:color w:val="000000"/>
          <w:shd w:val="clear" w:color="auto" w:fill="FFFFFF"/>
        </w:rPr>
        <w:t xml:space="preserve"> </w:t>
      </w:r>
      <w:r w:rsidRPr="61786385">
        <w:rPr>
          <w:rFonts w:cs="Times New Roman"/>
          <w:color w:val="000000" w:themeColor="text1"/>
        </w:rPr>
        <w:fldChar w:fldCharType="begin" w:fldLock="1"/>
      </w:r>
      <w:r w:rsidR="00D6576F" w:rsidRPr="61786385">
        <w:rPr>
          <w:rFonts w:cs="Times New Roman"/>
          <w:color w:val="000000"/>
          <w:shd w:val="clear" w:color="auto" w:fill="FFFFFF"/>
        </w:rPr>
        <w:instrText>ADDIN CSL_CITATION {"citationItems":[{"id":"ITEM-1","itemData":{"DOI":"10.7273/000001463","abstract":"This spreadsheet is a techno-economic analysis model for a greenfield FT feedstock pre-processing facility using ratio factors to estimate OSBL costs. Users can create financial scenarios using a series of drop-down menus and by entering regional, country, or location specific costs and financial assumptions. The impact of policy support is also an option for modelers.","author":[{"dropping-particle":"","family":"Brandt","given":"Kristin","non-dropping-particle":"","parse-names":false,"suffix":""},{"dropping-particle":"","family":"Wolcott","given":"Michael P","non-dropping-particle":"","parse-names":false,"suffix":""}],"id":"ITEM-1","issued":{"date-parts":[["2021"]]},"publisher":"Washington State University","title":"Fischer Tropsch feedstock pre-processing techno-economic analysis","type":"article"},"uris":["http://www.mendeley.com/documents/?uuid=99666389-923d-4c5c-9bd2-d5c810a7ece8"]}],"mendeley":{"formattedCitation":"(Brandt and Wolcott, 2021)","plainTextFormattedCitation":"(Brandt and Wolcott, 2021)","previouslyFormattedCitation":"(Brandt and Wolcott, 2021)"},"properties":{"noteIndex":0},"schema":"https://github.com/citation-style-language/schema/raw/master/csl-citation.json"}</w:instrText>
      </w:r>
      <w:r w:rsidRPr="61786385">
        <w:rPr>
          <w:rFonts w:cs="Times New Roman"/>
          <w:color w:val="000000"/>
          <w:shd w:val="clear" w:color="auto" w:fill="FFFFFF"/>
        </w:rPr>
        <w:fldChar w:fldCharType="separate"/>
      </w:r>
      <w:r w:rsidR="00330CBE" w:rsidRPr="61786385">
        <w:rPr>
          <w:rFonts w:cs="Times New Roman"/>
          <w:noProof/>
          <w:color w:val="000000"/>
          <w:shd w:val="clear" w:color="auto" w:fill="FFFFFF"/>
        </w:rPr>
        <w:t>(Brandt and Wolcott, 2021)</w:t>
      </w:r>
      <w:r w:rsidRPr="61786385">
        <w:rPr>
          <w:rFonts w:cs="Times New Roman"/>
          <w:color w:val="000000" w:themeColor="text1"/>
        </w:rPr>
        <w:fldChar w:fldCharType="end"/>
      </w:r>
      <w:r w:rsidRPr="61786385">
        <w:rPr>
          <w:rFonts w:cs="Times New Roman"/>
          <w:color w:val="000000"/>
          <w:shd w:val="clear" w:color="auto" w:fill="FFFFFF"/>
        </w:rPr>
        <w:t xml:space="preserve">. The yield values are feedstock specific for all FT feedstocks </w:t>
      </w:r>
      <w:r w:rsidRPr="61786385">
        <w:rPr>
          <w:rFonts w:cs="Times New Roman"/>
          <w:color w:val="000000" w:themeColor="text1"/>
        </w:rPr>
        <w:fldChar w:fldCharType="begin" w:fldLock="1"/>
      </w:r>
      <w:r w:rsidR="00330CBE" w:rsidRPr="61786385">
        <w:rPr>
          <w:rFonts w:cs="Times New Roman"/>
          <w:color w:val="000000"/>
          <w:shd w:val="clear" w:color="auto" w:fill="FFFFFF"/>
        </w:rPr>
        <w:instrText>ADDIN CSL_CITATION {"citationItems":[{"id":"ITEM-1","itemData":{"author":[{"dropping-particle":"","family":"Swanson","given":"Ryan M","non-dropping-particle":"","parse-names":false,"suffix":""},{"dropping-particle":"","family":"Platon","given":"A","non-dropping-particle":"","parse-names":false,"suffix":""},{"dropping-particle":"","family":"Satrio","given":"J A","non-dropping-particle":"","parse-names":false,"suffix":""},{"dropping-particle":"","family":"Brown","given":"R C","non-dropping-particle":"","parse-names":false,"suffix":""},{"dropping-particle":"","family":"Hsu","given":"David D","non-dropping-particle":"","parse-names":false,"suffix":""}],"id":"ITEM-1","issued":{"date-parts":[["2010"]]},"number-of-pages":"165","publisher":"National Renewable Energy Lab.(NREL), Golden, CO (United States)","publisher-place":"Golden, Colorado","title":"Techno-economic analysis of biofuels production based on gasification","type":"report"},"uris":["http://www.mendeley.com/documents/?uuid=cef16965-876f-465c-b661-0a9b33bc000e"]},{"id":"ITEM-2","itemData":{"DOI":"https://doi.org/10.1002/bbb.1613","ISSN":"1932-104X","author":[{"dropping-particle":"","family":"Jong","given":"Sierk","non-dropping-particle":"De","parse-names":false,"suffix":""},{"dropping-particle":"","family":"Hoefnagels","given":"Ric","non-dropping-particle":"","parse-names":false,"suffix":""},{"dropping-particle":"","family":"Faaij","given":"André","non-dropping-particle":"","parse-names":false,"suffix":""},{"dropping-particle":"","family":"Slade","given":"Raphael","non-dropping-particle":"","parse-names":false,"suffix":""},{"dropping-particle":"","family":"Mawhood","given":"Rebecca","non-dropping-particle":"","parse-names":false,"suffix":""},{"dropping-particle":"","family":"Junginger","given":"Martin","non-dropping-particle":"","parse-names":false,"suffix":""}],"container-title":"Biofuels, Bioproducts and Biorefining","id":"ITEM-2","issue":"6","issued":{"date-parts":[["2015"]]},"page":"778-800","publisher":"Wiley Online Library","title":"The feasibility of short‐term production strategies for renewable jet fuels–a comprehensive techno‐economic comparison","type":"article-journal","volume":"9"},"uris":["http://www.mendeley.com/documents/?uuid=c3913cfc-b796-491d-9986-42ad54678a3e"]},{"id":"ITEM-3","itemData":{"DOI":"https://doi.org/10.1016/j.compchemeng.2014.10.007","ISSN":"0098-1354","abstract":"This paper investigates the production of liquid transportation fuels from municipal solid waste (MSW). A comprehensive process synthesis superstructure is utilized that incorporates a novel mathematical model for MSW gasification. The production of liquid products proceeds through a synthesis gas intermediate that can be converted into Fischer–Tropsch hydrocarbons or methanol. The methanol can be converted into either gasoline or olefins, and the olefins may subsequently be converted into gasoline and distillate. Simultaneous heat, power, and water integration is included within the process synthesis framework to minimize utilities costs. A rigorous deterministic global optimization branch-and-bound strategy is utilized to minimize the overall cost of the waste-to-liquids (WTL) refinery and determine the optimal process topology. Several case studies are presented to illustrate the process synthesis framework and the nonconvex mixed-integer nonlinear optimization model presented in this paper. This is the first study that explores the possibility of liquid fuels production from municipal solid waste utilizing a process synthesis approach within a global optimization framework. The results suggest that the production of liquid fuels from MSW is competitive with petroleum-based processes. The effect that the delivered cost of municipal solid waste has on the overall cost of liquids production is also investigated parametrically.","author":[{"dropping-particle":"","family":"Niziolek","given":"Alexander M","non-dropping-particle":"","parse-names":false,"suffix":""},{"dropping-particle":"","family":"Onel","given":"Onur","non-dropping-particle":"","parse-names":false,"suffix":""},{"dropping-particle":"","family":"Hasan","given":"M M Faruque","non-dropping-particle":"","parse-names":false,"suffix":""},{"dropping-particle":"","family":"Floudas","given":"Christodoulos A","non-dropping-particle":"","parse-names":false,"suffix":""}],"container-title":"Computers &amp; Chemical Engineering","id":"ITEM-3","issued":{"date-parts":[["2015"]]},"page":"184-203","title":"Municipal solid waste to liquid transportation fuels – Part II: Process synthesis and global optimization strategies","type":"article-journal","volume":"74"},"uris":["http://www.mendeley.com/documents/?uuid=71d21ead-1045-441d-98bc-26d366a59022"]},{"id":"ITEM-4","itemData":{"DOI":"https://doi.org/10.1016/j.jclepro.2014.02.041","ISSN":"0959-6526","abstract":"This paper utilizes life cycle assessment (LCA) methodology to evaluate the conversion of U.S. municipal solid waste (MSW) to liquid transportation fuels via gasification and Fischer-Tropsch (FT). The model estimates the cumulative energy demand and global warming potential (GWP) associated with the conversion of 1 Mg (1 Mg = 1000 kg) of MSW delivered to the front gate of a refuse-derived fuel (RDF) facility into liquid transportation fuels. In addition, net energy production is reported to quantify system performance. The system is expanded to include substituted electricity and fuel. Under a set of default assumptions, the model estimates that 1 Mg of MSW entering the RDF facility yields 123 L of gasoline, 57 L of diesel, 79 kg of other FT products, and 193 kWh of gross electricity production. For each Mg of MSW, the conversion process consumes 4.4 GJ of primary energy while creating fuels and electricity with a cumulative energy content of 10.8 GJ. Across a range of waste compositions, the liquid fuels produced by gasification and FT processing resulted in a net GWP ranging from −267 to −144 kg CO2e per Mg MSW, including offsets for conventional electricity and fuel production. The energy requirement associated with syngas compression for FT processing was significant and resulted in high levels of process-related GWP. The model demonstrates that an increased biogenic MSW fraction, assumed to be carbon neutral, reduced the GWP. However, a greater GWP reduction could be obtained through reduced FT pressure requirements, increased gas reaction rates, or a less carbon intensive power mix.","author":[{"dropping-particle":"","family":"Pressley","given":"Phillip N","non-dropping-particle":"","parse-names":false,"suffix":""},{"dropping-particle":"","family":"Aziz","given":"Tarek N","non-dropping-particle":"","parse-names":false,"suffix":""},{"dropping-particle":"","family":"DeCarolis","given":"Joseph F","non-dropping-particle":"","parse-names":false,"suffix":""},{"dropping-particle":"","family":"Barlaz","given":"Morton A","non-dropping-particle":"","parse-names":false,"suffix":""},{"dropping-particle":"","family":"He","given":"Feng","non-dropping-particle":"","parse-names":false,"suffix":""},{"dropping-particle":"","family":"Li","given":"Fanxing","non-dropping-particle":"","parse-names":false,"suffix":""},{"dropping-particle":"","family":"Damgaard","given":"Anders","non-dropping-particle":"","parse-names":false,"suffix":""}],"container-title":"Journal of Cleaner Production","id":"ITEM-4","issued":{"date-parts":[["2014"]]},"page":"145-153","title":"Municipal solid waste conversion to transportation fuels: a life-cycle estimation of global warming potential and energy consumption","type":"article-journal","volume":"70"},"uris":["http://www.mendeley.com/documents/?uuid=53feb64c-d25c-4021-94ea-71a1f69a2e04"]},{"id":"ITEM-5","itemData":{"DOI":"https://doi.org/10.1002/bbb.2111","ISSN":"1932-104X","author":[{"dropping-particle":"","family":"Brandt","given":"Kristin L","non-dropping-particle":"","parse-names":false,"suffix":""},{"dropping-particle":"","family":"Wooley","given":"Robert J","non-dropping-particle":"","parse-names":false,"suffix":""},{"dropping-particle":"","family":"Geleynse","given":"Scott C","non-dropping-particle":"","parse-names":false,"suffix":""},{"dropping-particle":"","family":"Gao","given":"Johnway","non-dropping-particle":"","parse-names":false,"suffix":""},{"dropping-particle":"","family":"Zhu","given":"Junyong","non-dropping-particle":"","parse-names":false,"suffix":""},{"dropping-particle":"","family":"Cavalieri","given":"Ralph P","non-dropping-particle":"","parse-names":false,"suffix":""},{"dropping-particle":"","family":"Wolcott","given":"Michael P","non-dropping-particle":"","parse-names":false,"suffix":""}],"container-title":"Biofuels, Bioproducts and Biorefining","id":"ITEM-5","issued":{"date-parts":[["2020"]]},"page":"764-775","publisher":"Wiley Online Library","title":"Impact of co‐product selection on techno‐economic analyses of alternative jet fuel produced with forest harvest residuals","type":"article-journal","volume":"14"},"uris":["http://www.mendeley.com/documents/?uuid=7eb2ba74-45b6-4f3a-9908-622da8da4a5f"]},{"id":"ITEM-6","itemData":{"author":[{"dropping-particle":"","family":"U.S. Department of Energy","given":"","non-dropping-particle":"","parse-names":false,"suffix":""}],"id":"ITEM-6","issued":{"date-parts":[["2011"]]},"page":"2","publisher":"U.S. Department of Energy (DOE), Bioenergy Technologies Office","title":"Crop Residues and Agricultural Wastes","type":"article"},"uris":["http://www.mendeley.com/documents/?uuid=15b17555-bf34-4bf0-8419-d1381d215b8e"]},{"id":"ITEM-7","itemData":{"DOI":"10.7273/000001459","abstract":"This spreadsheet is a techno-economic analysis model for a greenfield FT facility using ratio factors to estimate OSBL costs. Users can create financial scenarios using a series of drop-down menus and by entering regional, country, or location specific costs and financial assumptions. The impact of policy support is also an option for modelers.","author":[{"dropping-particle":"","family":"Brandt","given":"Kristin","non-dropping-particle":"","parse-names":false,"suffix":""},{"dropping-particle":"","family":"Tanzil","given":"Abid H","non-dropping-particle":"","parse-names":false,"suffix":""},{"dropping-particle":"","family":"Martinez-Valencia","given":"Lina","non-dropping-particle":"","parse-names":false,"suffix":""},{"dropping-particle":"","family":"Garcia-Perez","given":"Manuel","non-dropping-particle":"","parse-names":false,"suffix":""},{"dropping-particle":"","family":"Wolcott","given":"Michael P","non-dropping-particle":"","parse-names":false,"suffix":""}],"id":"ITEM-7","issued":{"date-parts":[["2021"]]},"language":"eng","title":"Fischer Tropsch techno-economic analysis","type":"article"},"uris":["http://www.mendeley.com/documents/?uuid=5c3c5e93-0c21-4a0d-b149-decb052ecdcc"]},{"id":"ITEM-8","itemData":{"DOI":"10.7273/000001461","abstract":"This spreadsheet is a techno-economic analysis model for a greenfield ATJ facility using ratio factors to estimate OSBL costs. Users can create financial scenarios using a series of drop-down menus and by entering regional, country, or location specific costs and financial assumptions. The impact of policy support is also an option for modelers.","author":[{"dropping-particle":"","family":"Brandt","given":"Kristin","non-dropping-particle":"","parse-names":false,"suffix":""},{"dropping-particle":"","family":"Geleynse","given":"Scott","non-dropping-particle":"","parse-names":false,"suffix":""},{"dropping-particle":"","family":"Martinez-Valencia","given":"Lina","non-dropping-particle":"","parse-names":false,"suffix":""},{"dropping-particle":"","family":"Zhang","given":"Xiao","non-dropping-particle":"","parse-names":false,"suffix":""},{"dropping-particle":"","family":"Garcia-Perez","given":"Manuel","non-dropping-particle":"","parse-names":false,"suffix":""},{"dropping-particle":"","family":"Wolcott","given":"Michael P","non-dropping-particle":"","parse-names":false,"suffix":""}],"id":"ITEM-8","issued":{"date-parts":[["2021"]]},"language":"eng","title":"Alcohol to jet techno-economic analysis","type":"article"},"uris":["http://www.mendeley.com/documents/?uuid=ee9da9ed-4d7a-45e4-be77-bc9c856e1c47"]},{"id":"ITEM-9","itemData":{"DOI":"10.7273/000001460","abstract":"This spreadsheet is a techno-economic analysis model for a greenfield HEFA facility using ratio factors to estimate OSBL costs. Users can create financial scenarios using a series of drop-down menus and by entering regional, country, or location specific costs and financial assumptions. The impact of policy support is also an option for modelers.","author":[{"dropping-particle":"","family":"Brandt","given":"Kristin","non-dropping-particle":"","parse-names":false,"suffix":""},{"dropping-particle":"","family":"Tanzil","given":"Abid H","non-dropping-particle":"","parse-names":false,"suffix":""},{"dropping-particle":"","family":"Martinez-Valencia","given":"Lina","non-dropping-particle":"","parse-names":false,"suffix":""},{"dropping-particle":"","family":"Garcia-Perez","given":"Manuel","non-dropping-particle":"","parse-names":false,"suffix":""},{"dropping-particle":"","family":"Wolcott","given":"Michael P","non-dropping-particle":"","parse-names":false,"suffix":""}],"id":"ITEM-9","issued":{"date-parts":[["2021"]]},"language":"eng","title":"Hydroprocessed esters and fatty acids techno-economic analysis","type":"article"},"uris":["http://www.mendeley.com/documents/?uuid=d2c1f29d-60db-4093-b541-fc88686a598a"]}],"mendeley":{"formattedCitation":"(Swanson et al., 2010; U.S. Department of Energy, 2011; Pressley et al., 2014; De Jong et al., 2015; Niziolek et al., 2015; Brandt et al., 2020, 2021b, 2021a, 2021c)","plainTextFormattedCitation":"(Swanson et al., 2010; U.S. Department of Energy, 2011; Pressley et al., 2014; De Jong et al., 2015; Niziolek et al., 2015; Brandt et al., 2020, 2021b, 2021a, 2021c)","previouslyFormattedCitation":"(Swanson et al., 2010; U.S. Department of Energy, 2011; Pressley et al., 2014; De Jong et al., 2015; Niziolek et al., 2015; Brandt et al., 2020, 2021b, 2021a, 2021c)"},"properties":{"noteIndex":0},"schema":"https://github.com/citation-style-language/schema/raw/master/csl-citation.json"}</w:instrText>
      </w:r>
      <w:r w:rsidRPr="61786385">
        <w:rPr>
          <w:rFonts w:cs="Times New Roman"/>
          <w:color w:val="000000"/>
          <w:shd w:val="clear" w:color="auto" w:fill="FFFFFF"/>
        </w:rPr>
        <w:fldChar w:fldCharType="separate"/>
      </w:r>
      <w:r w:rsidR="0003363A" w:rsidRPr="61786385">
        <w:rPr>
          <w:rFonts w:cs="Times New Roman"/>
          <w:noProof/>
          <w:color w:val="000000"/>
          <w:shd w:val="clear" w:color="auto" w:fill="FFFFFF"/>
        </w:rPr>
        <w:t>(Swanson et al., 2010; U.S. Department of Energy, 2011; Pressley et al., 2014; De Jong et al., 2015; Niziolek et al., 2015; Brandt et al., 2020, 2021b, 2021a, 2021c)</w:t>
      </w:r>
      <w:r w:rsidRPr="61786385">
        <w:rPr>
          <w:rFonts w:cs="Times New Roman"/>
          <w:color w:val="000000" w:themeColor="text1"/>
        </w:rPr>
        <w:fldChar w:fldCharType="end"/>
      </w:r>
      <w:r w:rsidRPr="61786385">
        <w:rPr>
          <w:rFonts w:cs="Times New Roman"/>
          <w:color w:val="000000"/>
          <w:shd w:val="clear" w:color="auto" w:fill="FFFFFF"/>
        </w:rPr>
        <w:t xml:space="preserve">. Alternatively, waste carbon can be </w:t>
      </w:r>
      <w:r w:rsidR="79CF8BE6" w:rsidRPr="61786385">
        <w:rPr>
          <w:rFonts w:cs="Times New Roman"/>
          <w:color w:val="000000"/>
          <w:shd w:val="clear" w:color="auto" w:fill="FFFFFF"/>
        </w:rPr>
        <w:t xml:space="preserve">utilized, </w:t>
      </w:r>
      <w:r w:rsidRPr="61786385">
        <w:rPr>
          <w:rFonts w:cs="Times New Roman"/>
          <w:color w:val="000000"/>
          <w:shd w:val="clear" w:color="auto" w:fill="FFFFFF"/>
        </w:rPr>
        <w:t>with both flue gas and direct air capture (DAC) as</w:t>
      </w:r>
      <w:r w:rsidR="06A5CBD8" w:rsidRPr="61786385">
        <w:rPr>
          <w:rFonts w:cs="Times New Roman"/>
          <w:color w:val="000000"/>
          <w:shd w:val="clear" w:color="auto" w:fill="FFFFFF"/>
        </w:rPr>
        <w:t xml:space="preserve"> source</w:t>
      </w:r>
      <w:r w:rsidRPr="61786385">
        <w:rPr>
          <w:rFonts w:cs="Times New Roman"/>
          <w:color w:val="000000"/>
          <w:shd w:val="clear" w:color="auto" w:fill="FFFFFF"/>
        </w:rPr>
        <w:t xml:space="preserve"> options</w:t>
      </w:r>
      <w:r w:rsidR="00396E97" w:rsidRPr="61786385">
        <w:rPr>
          <w:rFonts w:cs="Times New Roman"/>
          <w:color w:val="000000"/>
          <w:shd w:val="clear" w:color="auto" w:fill="FFFFFF"/>
        </w:rPr>
        <w:t xml:space="preserve"> </w:t>
      </w:r>
      <w:r w:rsidRPr="61786385">
        <w:rPr>
          <w:rFonts w:cs="Times New Roman"/>
          <w:color w:val="000000" w:themeColor="text1"/>
        </w:rPr>
        <w:fldChar w:fldCharType="begin" w:fldLock="1"/>
      </w:r>
      <w:r w:rsidR="00396E97" w:rsidRPr="61786385">
        <w:rPr>
          <w:rFonts w:cs="Times New Roman"/>
          <w:color w:val="000000"/>
          <w:shd w:val="clear" w:color="auto" w:fill="FFFFFF"/>
        </w:rPr>
        <w:instrText>ADDIN CSL_CITATION {"citationItems":[{"id":"ITEM-1","itemData":{"DOI":"https://doi.org/10.1021/acs.est.0c07674","ISSN":"0013-936X","author":[{"dropping-particle":"","family":"Isaacs","given":"Stewart A","non-dropping-particle":"","parse-names":false,"suffix":""},{"dropping-particle":"","family":"Staples","given":"Mark D","non-dropping-particle":"","parse-names":false,"suffix":""},{"dropping-particle":"","family":"Allroggen","given":"Florian","non-dropping-particle":"","parse-names":false,"suffix":""},{"dropping-particle":"","family":"Mallapragada","given":"Dharik S","non-dropping-particle":"","parse-names":false,"suffix":""},{"dropping-particle":"","family":"Falter","given":"Christoph P","non-dropping-particle":"","parse-names":false,"suffix":""},{"dropping-particle":"","family":"Barrett","given":"Steven R H","non-dropping-particle":"","parse-names":false,"suffix":""}],"container-title":"Environmental Science &amp; Technology","id":"ITEM-1","issue":"12","issued":{"date-parts":[["2021"]]},"page":"8247-8257","publisher":"ACS Publications","title":"Environmental and Economic Performance of Hybrid Power-to-Liquid and Biomass-to-Liquid Fuel Production in the United States","type":"article-journal","volume":"55"},"uris":["http://www.mendeley.com/documents/?uuid=89418351-2956-419e-8c72-6b2d988cab26"]}],"mendeley":{"formattedCitation":"(Isaacs et al., 2021)","plainTextFormattedCitation":"(Isaacs et al., 2021)","previouslyFormattedCitation":"(Isaacs et al., 2021)"},"properties":{"noteIndex":0},"schema":"https://github.com/citation-style-language/schema/raw/master/csl-citation.json"}</w:instrText>
      </w:r>
      <w:r w:rsidRPr="61786385">
        <w:rPr>
          <w:rFonts w:cs="Times New Roman"/>
          <w:color w:val="000000"/>
          <w:shd w:val="clear" w:color="auto" w:fill="FFFFFF"/>
        </w:rPr>
        <w:fldChar w:fldCharType="separate"/>
      </w:r>
      <w:r w:rsidR="00D6576F" w:rsidRPr="61786385">
        <w:rPr>
          <w:rFonts w:cs="Times New Roman"/>
          <w:noProof/>
          <w:color w:val="000000"/>
          <w:shd w:val="clear" w:color="auto" w:fill="FFFFFF"/>
        </w:rPr>
        <w:t>(Isaacs et al., 2021)</w:t>
      </w:r>
      <w:r w:rsidRPr="61786385">
        <w:rPr>
          <w:rFonts w:cs="Times New Roman"/>
          <w:color w:val="000000" w:themeColor="text1"/>
        </w:rPr>
        <w:fldChar w:fldCharType="end"/>
      </w:r>
      <w:r w:rsidRPr="61786385">
        <w:rPr>
          <w:rFonts w:cs="Times New Roman"/>
          <w:color w:val="000000"/>
          <w:shd w:val="clear" w:color="auto" w:fill="FFFFFF"/>
        </w:rPr>
        <w:t xml:space="preserve">. The financial FT TEA model that was adapted was from </w:t>
      </w:r>
      <w:r w:rsidRPr="61786385">
        <w:rPr>
          <w:rFonts w:cs="Times New Roman"/>
          <w:color w:val="000000" w:themeColor="text1"/>
        </w:rPr>
        <w:fldChar w:fldCharType="begin" w:fldLock="1"/>
      </w:r>
      <w:r w:rsidR="00F1042C" w:rsidRPr="61786385">
        <w:rPr>
          <w:rFonts w:cs="Times New Roman"/>
          <w:color w:val="000000"/>
          <w:shd w:val="clear" w:color="auto" w:fill="FFFFFF"/>
        </w:rPr>
        <w:instrText>ADDIN CSL_CITATION {"citationItems":[{"id":"ITEM-1","itemData":{"author":[{"dropping-particle":"","family":"Swanson","given":"Ryan M","non-dropping-particle":"","parse-names":false,"suffix":""},{"dropping-particle":"","family":"Platon","given":"A","non-dropping-particle":"","parse-names":false,"suffix":""},{"dropping-particle":"","family":"Satrio","given":"J A","non-dropping-particle":"","parse-names":false,"suffix":""},{"dropping-particle":"","family":"Brown","given":"R C","non-dropping-particle":"","parse-names":false,"suffix":""},{"dropping-particle":"","family":"Hsu","given":"David D","non-dropping-particle":"","parse-names":false,"suffix":""}],"id":"ITEM-1","issued":{"date-parts":[["2010"]]},"number-of-pages":"165","publisher":"National Renewable Energy Lab.(NREL), Golden, CO (United States)","publisher-place":"Golden, Colorado","title":"Techno-economic analysis of biofuels production based on gasification","type":"report"},"uris":["http://www.mendeley.com/documents/?uuid=cef16965-876f-465c-b661-0a9b33bc000e"]},{"id":"ITEM-2","itemData":{"DOI":"https://doi.org/10.1016/j.compchemeng.2014.10.007","ISSN":"0098-1354","abstract":"This paper investigates the production of liquid transportation fuels from municipal solid waste (MSW). A comprehensive process synthesis superstructure is utilized that incorporates a novel mathematical model for MSW gasification. The production of liquid products proceeds through a synthesis gas intermediate that can be converted into Fischer–Tropsch hydrocarbons or methanol. The methanol can be converted into either gasoline or olefins, and the olefins may subsequently be converted into gasoline and distillate. Simultaneous heat, power, and water integration is included within the process synthesis framework to minimize utilities costs. A rigorous deterministic global optimization branch-and-bound strategy is utilized to minimize the overall cost of the waste-to-liquids (WTL) refinery and determine the optimal process topology. Several case studies are presented to illustrate the process synthesis framework and the nonconvex mixed-integer nonlinear optimization model presented in this paper. This is the first study that explores the possibility of liquid fuels production from municipal solid waste utilizing a process synthesis approach within a global optimization framework. The results suggest that the production of liquid fuels from MSW is competitive with petroleum-based processes. The effect that the delivered cost of municipal solid waste has on the overall cost of liquids production is also investigated parametrically.","author":[{"dropping-particle":"","family":"Niziolek","given":"Alexander M","non-dropping-particle":"","parse-names":false,"suffix":""},{"dropping-particle":"","family":"Onel","given":"Onur","non-dropping-particle":"","parse-names":false,"suffix":""},{"dropping-particle":"","family":"Hasan","given":"M M Faruque","non-dropping-particle":"","parse-names":false,"suffix":""},{"dropping-particle":"","family":"Floudas","given":"Christodoulos A","non-dropping-particle":"","parse-names":false,"suffix":""}],"container-title":"Computers &amp; Chemical Engineering","id":"ITEM-2","issued":{"date-parts":[["2015"]]},"page":"184-203","title":"Municipal solid waste to liquid transportation fuels – Part II: Process synthesis and global optimization strategies","type":"article-journal","volume":"74"},"uris":["http://www.mendeley.com/documents/?uuid=71d21ead-1045-441d-98bc-26d366a59022"]},{"id":"ITEM-3","itemData":{"DOI":"https://doi.org/10.1016/j.fuel.2016.12.003","ISSN":"0016-2361","abstract":"Greenhouse gas emissions in the transport sector can significantly be reduced by replacing fossil based fuels with green alternatives. Various alternative fuel concepts have been developed differing in used sustainable feedstock, synthesis technology and final fuel characteristics. Whether these fuels can succeed in the market will depend on the fuel net production costs, the expected cost reduction potentials and the political intention to mitigate climate change. Results of previous studies for the techno-economic assessment of alternative fuels are difficult to compare due to significant differences in the applied methodology, level of detail and key assumptions in terms of economic factors and market prices. In this work, a standardized methodology for techno-economic analysis of fuel production processes is presented and exemplarily applied on sustainable fuels from Fischer-Tropsch (FT) synthesis. The methodology was adapted from a best practice approach from chemical industry and consists of three main steps: (A) literature survey on feasible production designs, (B) flowsheet simulation and (C) techno-economic assessment with the in-house software tool TEPET (Techno-Economic Process Evaluation Tool). It is shown that the standardized approach enables qualitative and quantitative statements regarding the technical and economic feasibility of fuel synthesis concepts including the identification of the appropriate fuel production concept due to predefined framework conditions. Results from the case study on green FT fuels reveal that Biomass-to-Liquid (BtL) concepts have lowest production costs at high electricity costs, whereas the Power-to-Liquid (PtL) and Power and Biomass-to-Liquid (PBtL) concepts are superior at low electricity prices. Fuel production costs in the range of 1.2 and 2.8€2014/l were estimated.","author":[{"dropping-particle":"","family":"Albrecht","given":"Friedemann G","non-dropping-particle":"","parse-names":false,"suffix":""},{"dropping-particle":"","family":"König","given":"Daniel H","non-dropping-particle":"","parse-names":false,"suffix":""},{"dropping-particle":"","family":"Baucks","given":"Nadine","non-dropping-particle":"","parse-names":false,"suffix":""},{"dropping-particle":"","family":"Dietrich","given":"Ralph-Uwe","non-dropping-particle":"","parse-names":false,"suffix":""}],"container-title":"Fuel","id":"ITEM-3","issued":{"date-parts":[["2017"]]},"page":"511-526","title":"A standardized methodology for the techno-economic evaluation of alternative fuels – A case study","type":"article-journal","volume":"194"},"uris":["http://www.mendeley.com/documents/?uuid=e86ce99d-cbc8-408e-93fa-2d658542fa46"]}],"mendeley":{"formattedCitation":"(Swanson et al., 2010; Niziolek et al., 2015; Albrecht et al., 2017)","plainTextFormattedCitation":"(Swanson et al., 2010; Niziolek et al., 2015; Albrecht et al., 2017)","previouslyFormattedCitation":"(Swanson et al., 2010; Niziolek et al., 2015; Albrecht et al., 2017)"},"properties":{"noteIndex":0},"schema":"https://github.com/citation-style-language/schema/raw/master/csl-citation.json"}</w:instrText>
      </w:r>
      <w:r w:rsidRPr="61786385">
        <w:rPr>
          <w:rFonts w:cs="Times New Roman"/>
          <w:color w:val="000000"/>
          <w:shd w:val="clear" w:color="auto" w:fill="FFFFFF"/>
        </w:rPr>
        <w:fldChar w:fldCharType="separate"/>
      </w:r>
      <w:r w:rsidR="00396E97" w:rsidRPr="61786385">
        <w:rPr>
          <w:rFonts w:cs="Times New Roman"/>
          <w:noProof/>
          <w:color w:val="000000"/>
          <w:shd w:val="clear" w:color="auto" w:fill="FFFFFF"/>
          <w:lang w:val="es-CO"/>
        </w:rPr>
        <w:t>(Swanson et al., 2010; Niziolek et al., 2015; Albrecht et al., 2017)</w:t>
      </w:r>
      <w:r w:rsidRPr="61786385">
        <w:rPr>
          <w:rFonts w:cs="Times New Roman"/>
          <w:color w:val="000000" w:themeColor="text1"/>
        </w:rPr>
        <w:fldChar w:fldCharType="end"/>
      </w:r>
      <w:r w:rsidRPr="61786385">
        <w:rPr>
          <w:rFonts w:cs="Times New Roman"/>
          <w:lang w:val="es-CO"/>
        </w:rPr>
        <w:t xml:space="preserve">.  </w:t>
      </w:r>
      <w:r w:rsidRPr="61786385">
        <w:rPr>
          <w:rFonts w:cs="Times New Roman"/>
        </w:rPr>
        <w:t>Each feedstock creates syngas that is upgraded to the final fuel distillates (</w:t>
      </w:r>
      <w:r w:rsidRPr="61786385">
        <w:rPr>
          <w:rFonts w:cs="Times New Roman"/>
        </w:rPr>
        <w:fldChar w:fldCharType="begin"/>
      </w:r>
      <w:r w:rsidRPr="61786385">
        <w:rPr>
          <w:rFonts w:cs="Times New Roman"/>
        </w:rPr>
        <w:instrText xml:space="preserve"> REF _Ref75873439 \h  \* MERGEFORMAT </w:instrText>
      </w:r>
      <w:r w:rsidRPr="61786385">
        <w:rPr>
          <w:rFonts w:cs="Times New Roman"/>
        </w:rPr>
      </w:r>
      <w:r w:rsidRPr="61786385">
        <w:rPr>
          <w:rFonts w:cs="Times New Roman"/>
        </w:rPr>
        <w:fldChar w:fldCharType="separate"/>
      </w:r>
      <w:r w:rsidRPr="61786385">
        <w:rPr>
          <w:rFonts w:cs="Times New Roman"/>
        </w:rPr>
        <w:t xml:space="preserve">Table </w:t>
      </w:r>
      <w:r w:rsidRPr="61786385">
        <w:rPr>
          <w:rFonts w:cs="Times New Roman"/>
          <w:noProof/>
        </w:rPr>
        <w:t>1</w:t>
      </w:r>
      <w:r w:rsidRPr="61786385">
        <w:rPr>
          <w:rFonts w:cs="Times New Roman"/>
        </w:rPr>
        <w:fldChar w:fldCharType="end"/>
      </w:r>
      <w:r w:rsidRPr="61786385">
        <w:rPr>
          <w:rFonts w:cs="Times New Roman"/>
        </w:rPr>
        <w:t xml:space="preserve">). </w:t>
      </w:r>
    </w:p>
    <w:p w14:paraId="1EB78B74" w14:textId="15A8244B" w:rsidR="00D2544D" w:rsidRPr="000F4A67" w:rsidRDefault="00D2544D" w:rsidP="00D2544D">
      <w:pPr>
        <w:rPr>
          <w:rStyle w:val="Strong"/>
          <w:b w:val="0"/>
          <w:bCs w:val="0"/>
          <w:color w:val="000000"/>
          <w:shd w:val="clear" w:color="auto" w:fill="FFFFFF"/>
        </w:rPr>
      </w:pPr>
      <w:r w:rsidRPr="00942B9B">
        <w:rPr>
          <w:rStyle w:val="Strong"/>
          <w:b w:val="0"/>
          <w:bCs w:val="0"/>
          <w:color w:val="000000"/>
          <w:shd w:val="clear" w:color="auto" w:fill="FFFFFF"/>
        </w:rPr>
        <w:t xml:space="preserve">The alcohol to jet (ATJ) model starts with ethanol and was adapted from </w:t>
      </w:r>
      <w:r w:rsidRPr="61786385">
        <w:rPr>
          <w:rStyle w:val="Strong"/>
          <w:b w:val="0"/>
          <w:bCs w:val="0"/>
          <w:color w:val="000000" w:themeColor="text1"/>
        </w:rPr>
        <w:fldChar w:fldCharType="begin" w:fldLock="1"/>
      </w:r>
      <w:r w:rsidR="00211286">
        <w:rPr>
          <w:rStyle w:val="Strong"/>
          <w:b w:val="0"/>
          <w:bCs w:val="0"/>
          <w:color w:val="000000"/>
          <w:shd w:val="clear" w:color="auto" w:fill="FFFFFF"/>
        </w:rPr>
        <w:instrText>ADDIN CSL_CITATION {"citationItems":[{"id":"ITEM-1","itemData":{"DOI":"https://doi.org/10.1002/cssc.201801690","ISSN":"1864-5631","abstract":"Abstract The alcohol-to-jet (ATJ) process is a method for the conversion of alcohols to an alternative jet fuel blendstock based on catalytic steps historically utilized by the petroleum refining and petrochemical industry. This pathway provides a means for producing a sustainable alternative jet fuel (SAJF) from a wide variety of resources and offers a near-term opportunity for alcohol producers to enter the SAJF market and for the aviation sector to meet growing SAJF demand. Herein, the technical background is reviewed and selected variations of ATJ processes evaluated. Simulation and modeling were employed to assess some ATJ conversion schemes, with a particular focus on comparisons between the use of an ethanol or isobutanol intermediate. Although the utilization of isobutanol offers a 34?% lower conversion cost for the catalytic upgrading process, the cost of alcohol production is estimated to contribute more than 80?% of the total cost at the refinery. The cost of feedstock and alcohol production has a dominant effect on the overall process economics.","author":[{"dropping-particle":"","family":"Geleynse","given":"Scott","non-dropping-particle":"","parse-names":false,"suffix":""},{"dropping-particle":"","family":"Brandt","given":"Kristin","non-dropping-particle":"","parse-names":false,"suffix":""},{"dropping-particle":"","family":"Garcia-Perez","given":"Manuel","non-dropping-particle":"","parse-names":false,"suffix":""},{"dropping-particle":"","family":"Wolcott","given":"Michael","non-dropping-particle":"","parse-names":false,"suffix":""},{"dropping-particle":"","family":"Zhang","given":"Xiao","non-dropping-particle":"","parse-names":false,"suffix":""}],"container-title":"ChemSusChem","id":"ITEM-1","issue":"21","issued":{"date-parts":[["2018","11","9"]]},"note":"https://doi.org/10.1002/cssc.201801690","page":"3728-3741","publisher":"John Wiley &amp; Sons, Ltd","title":"The Alcohol-to-Jet Conversion Pathway for Drop-In Biofuels: Techno-Economic Evaluation","type":"article-journal","volume":"11"},"uris":["http://www.mendeley.com/documents/?uuid=7a91e2e0-6e29-4612-8694-0b98899aa906"]},{"id":"ITEM-2","itemData":{"DOI":"https://doi.org/10.1002/bbb.2111","ISSN":"1932-104X","author":[{"dropping-particle":"","family":"Brandt","given":"Kristin L","non-dropping-particle":"","parse-names":false,"suffix":""},{"dropping-particle":"","family":"Wooley","given":"Robert J","non-dropping-particle":"","parse-names":false,"suffix":""},{"dropping-particle":"","family":"Geleynse","given":"Scott C","non-dropping-particle":"","parse-names":false,"suffix":""},{"dropping-particle":"","family":"Gao","given":"Johnway","non-dropping-particle":"","parse-names":false,"suffix":""},{"dropping-particle":"","family":"Zhu","given":"Junyong","non-dropping-particle":"","parse-names":false,"suffix":""},{"dropping-particle":"","family":"Cavalieri","given":"Ralph P","non-dropping-particle":"","parse-names":false,"suffix":""},{"dropping-particle":"","family":"Wolcott","given":"Michael P","non-dropping-particle":"","parse-names":false,"suffix":""}],"container-title":"Biofuels, Bioproducts and Biorefining","id":"ITEM-2","issued":{"date-parts":[["2020"]]},"page":"764-775","publisher":"Wiley Online Library","title":"Impact of co‐product selection on techno‐economic analyses of alternative jet fuel produced with forest harvest residuals","type":"article-journal","volume":"14"},"uris":["http://www.mendeley.com/documents/?uuid=7eb2ba74-45b6-4f3a-9908-622da8da4a5f"]}],"mendeley":{"formattedCitation":"(Geleynse et al., 2018; Brandt et al., 2020)","plainTextFormattedCitation":"(Geleynse et al., 2018; Brandt et al., 2020)","previouslyFormattedCitation":"(Geleynse et al., 2018; Brandt et al., 2020)"},"properties":{"noteIndex":0},"schema":"https://github.com/citation-style-language/schema/raw/master/csl-citation.json"}</w:instrText>
      </w:r>
      <w:r w:rsidRPr="61786385">
        <w:rPr>
          <w:rStyle w:val="Strong"/>
          <w:b w:val="0"/>
          <w:bCs w:val="0"/>
          <w:color w:val="000000"/>
          <w:shd w:val="clear" w:color="auto" w:fill="FFFFFF"/>
        </w:rPr>
        <w:fldChar w:fldCharType="separate"/>
      </w:r>
      <w:r w:rsidR="007E5191" w:rsidRPr="007E5191">
        <w:rPr>
          <w:rStyle w:val="Strong"/>
          <w:b w:val="0"/>
          <w:bCs w:val="0"/>
          <w:noProof/>
          <w:color w:val="000000"/>
          <w:shd w:val="clear" w:color="auto" w:fill="FFFFFF"/>
        </w:rPr>
        <w:t>(Geleynse et al., 2018; Brandt et al., 2020)</w:t>
      </w:r>
      <w:r w:rsidRPr="61786385">
        <w:rPr>
          <w:rStyle w:val="Strong"/>
          <w:b w:val="0"/>
          <w:bCs w:val="0"/>
          <w:color w:val="000000" w:themeColor="text1"/>
        </w:rPr>
        <w:fldChar w:fldCharType="end"/>
      </w:r>
      <w:r w:rsidRPr="00942B9B">
        <w:rPr>
          <w:rStyle w:val="Strong"/>
          <w:b w:val="0"/>
          <w:bCs w:val="0"/>
          <w:color w:val="000000"/>
          <w:shd w:val="clear" w:color="auto" w:fill="FFFFFF"/>
        </w:rPr>
        <w:t xml:space="preserve">. The value selected for ethanol is 0.6 </w:t>
      </w:r>
      <w:proofErr w:type="spellStart"/>
      <w:r w:rsidRPr="00942B9B">
        <w:rPr>
          <w:rStyle w:val="Strong"/>
          <w:b w:val="0"/>
          <w:bCs w:val="0"/>
          <w:color w:val="000000"/>
          <w:shd w:val="clear" w:color="auto" w:fill="FFFFFF"/>
        </w:rPr>
        <w:t>wt</w:t>
      </w:r>
      <w:proofErr w:type="spellEnd"/>
      <w:r w:rsidRPr="00942B9B">
        <w:rPr>
          <w:rStyle w:val="Strong"/>
          <w:b w:val="0"/>
          <w:bCs w:val="0"/>
          <w:color w:val="000000"/>
          <w:shd w:val="clear" w:color="auto" w:fill="FFFFFF"/>
        </w:rPr>
        <w:t>/</w:t>
      </w:r>
      <w:proofErr w:type="spellStart"/>
      <w:r w:rsidRPr="00942B9B">
        <w:rPr>
          <w:rStyle w:val="Strong"/>
          <w:b w:val="0"/>
          <w:bCs w:val="0"/>
          <w:color w:val="000000"/>
          <w:shd w:val="clear" w:color="auto" w:fill="FFFFFF"/>
        </w:rPr>
        <w:t>wt</w:t>
      </w:r>
      <w:proofErr w:type="spellEnd"/>
      <w:r w:rsidRPr="00942B9B">
        <w:rPr>
          <w:rStyle w:val="Strong"/>
          <w:b w:val="0"/>
          <w:bCs w:val="0"/>
          <w:color w:val="000000"/>
          <w:shd w:val="clear" w:color="auto" w:fill="FFFFFF"/>
        </w:rPr>
        <w:t xml:space="preserve"> yield, which is between the values reported by </w:t>
      </w:r>
      <w:r w:rsidRPr="61786385">
        <w:rPr>
          <w:rStyle w:val="Strong"/>
          <w:b w:val="0"/>
          <w:bCs w:val="0"/>
          <w:color w:val="000000" w:themeColor="text1"/>
        </w:rPr>
        <w:fldChar w:fldCharType="begin" w:fldLock="1"/>
      </w:r>
      <w:r w:rsidR="00075DF9">
        <w:rPr>
          <w:rStyle w:val="Strong"/>
          <w:b w:val="0"/>
          <w:bCs w:val="0"/>
          <w:color w:val="000000"/>
          <w:shd w:val="clear" w:color="auto" w:fill="FFFFFF"/>
        </w:rPr>
        <w:instrText>ADDIN CSL_CITATION {"citationItems":[{"id":"ITEM-1","itemData":{"DOI":"https://doi.org/10.1002/bbb.1431","ISSN":"1932-104X","abstract":"Abstract This work presents a detailed analysis of the production design and economics of the cellulosic isobutanol conversion processes and compares cellulosic isobutanol with cellulosic ethanol and n-butanol in the areas of fuel properties and engine compatibility, fermentation technology, product purification process design and energy consumption, overall process economics, and life cycle assessment. Techno-economic analysis is used to understand the current stage of isobutanol process development and the impact of key parameters on the overall process economics in a consistent way (i.e. using the same financial assumptions, plant scale, and cost basis). The calculated minimum isobutanol selling price is $3.62/gasoline gallon equivalent ($/GGE) ? similar to $3.66/GGE from the n-butanol process and higher than $3.26/GGE from the cellulosic ethanol conversion process. At the conversion stage, the n-butanol process emits the most direct CO2, at 26.42 kg CO2/GGE. Isobutanol and ethanol plants have relatively similar CO2 emissions, at 21.91 kg CO2/GGE and 21.01 kg CO2/GGE, respectively. The consumptive water use of the biorefineries increases in the following order: ethanol (8.19 gal/GGE)?&lt;?isobutanol (8.98 gal/GGE)?&lt;?n-butanol (10.84 gal/GGE). Field-to-wheel life cycle greenhouse gas (GHG) emissions for the ethanol and n-butanol conversion processes are similar at 4.3 and 4.5 kg CO2-eq/GGE, respectively. The life cycle GHG emissions result for the isobutanol conversion process is 5.0 kg CO2-eq/GGE, approximately 17% higher than that of ethanol. The life cycle fossil fuel consumption is 39 MJ/GGE for n-butanol, 43 MJ/GGE for ethanol and 51 MJ/GGE for isobutanol. The energy return on investment for each biofuel is also determined and compared: isobutanol (2.2:1)?&lt;?ethanol (2.7:1)?&lt;?n-butanol (2.8:1). ? 2013 Society of Chemical Industry and John Wiley &amp; Sons, Ltd","author":[{"dropping-particle":"","family":"Tao","given":"Ling","non-dropping-particle":"","parse-names":false,"suffix":""},{"dropping-particle":"","family":"Tan","given":"Eric C D","non-dropping-particle":"","parse-names":false,"suffix":""},{"dropping-particle":"","family":"McCormick","given":"Robert","non-dropping-particle":"","parse-names":false,"suffix":""},{"dropping-particle":"","family":"Zhang","given":"Min","non-dropping-particle":"","parse-names":false,"suffix":""},{"dropping-particle":"","family":"Aden","given":"Andy","non-dropping-particle":"","parse-names":false,"suffix":""},{"dropping-particle":"","family":"He","given":"Xin","non-dropping-particle":"","parse-names":false,"suffix":""},{"dropping-particle":"","family":"Zigler","given":"Bradley T","non-dropping-particle":"","parse-names":false,"suffix":""}],"container-title":"Biofuels, Bioproducts and Biorefining","id":"ITEM-1","issue":"1","issued":{"date-parts":[["2014","1","1"]]},"note":"https://doi.org/10.1002/bbb.1431","page":"30-48","publisher":"John Wiley &amp; Sons, Ltd","title":"Techno-economic analysis and life-cycle assessment of cellulosic isobutanol and comparison with cellulosic ethanol and n-butanol","type":"article-journal","volume":"8"},"uris":["http://www.mendeley.com/documents/?uuid=4ebf2f01-695f-4e84-a3e7-3bf949fb552a"]},{"id":"ITEM-2","itemData":{"DOI":"https://doi.org/10.1002/bbb.1613","ISSN":"1932-104X","author":[{"dropping-particle":"","family":"Jong","given":"Sierk","non-dropping-particle":"De","parse-names":false,"suffix":""},{"dropping-particle":"","family":"Hoefnagels","given":"Ric","non-dropping-particle":"","parse-names":false,"suffix":""},{"dropping-particle":"","family":"Faaij","given":"André","non-dropping-particle":"","parse-names":false,"suffix":""},{"dropping-particle":"","family":"Slade","given":"Raphael","non-dropping-particle":"","parse-names":false,"suffix":""},{"dropping-particle":"","family":"Mawhood","given":"Rebecca","non-dropping-particle":"","parse-names":false,"suffix":""},{"dropping-particle":"","family":"Junginger","given":"Martin","non-dropping-particle":"","parse-names":false,"suffix":""}],"container-title":"Biofuels, Bioproducts and Biorefining","id":"ITEM-2","issue":"6","issued":{"date-parts":[["2015"]]},"page":"778-800","publisher":"Wiley Online Library","title":"The feasibility of short‐term production strategies for renewable jet fuels–a comprehensive techno‐economic comparison","type":"article-journal","volume":"9"},"uris":["http://www.mendeley.com/documents/?uuid=c3913cfc-b796-491d-9986-42ad54678a3e"]}],"mendeley":{"formattedCitation":"(Tao et al., 2014; De Jong et al., 2015)","plainTextFormattedCitation":"(Tao et al., 2014; De Jong et al., 2015)","previouslyFormattedCitation":"(Tao et al., 2014; De Jong et al., 2015)"},"properties":{"noteIndex":0},"schema":"https://github.com/citation-style-language/schema/raw/master/csl-citation.json"}</w:instrText>
      </w:r>
      <w:r w:rsidRPr="61786385">
        <w:rPr>
          <w:rStyle w:val="Strong"/>
          <w:b w:val="0"/>
          <w:bCs w:val="0"/>
          <w:color w:val="000000"/>
          <w:shd w:val="clear" w:color="auto" w:fill="FFFFFF"/>
        </w:rPr>
        <w:fldChar w:fldCharType="separate"/>
      </w:r>
      <w:r w:rsidR="00211286" w:rsidRPr="00211286">
        <w:rPr>
          <w:rStyle w:val="Strong"/>
          <w:b w:val="0"/>
          <w:bCs w:val="0"/>
          <w:noProof/>
          <w:color w:val="000000"/>
          <w:shd w:val="clear" w:color="auto" w:fill="FFFFFF"/>
          <w:lang w:val="es-CO"/>
        </w:rPr>
        <w:t>(Tao et al., 2014; De Jong et al., 2015)</w:t>
      </w:r>
      <w:r w:rsidRPr="61786385">
        <w:rPr>
          <w:rStyle w:val="Strong"/>
          <w:b w:val="0"/>
          <w:bCs w:val="0"/>
          <w:color w:val="000000" w:themeColor="text1"/>
        </w:rPr>
        <w:fldChar w:fldCharType="end"/>
      </w:r>
      <w:r w:rsidRPr="00211286">
        <w:rPr>
          <w:rStyle w:val="Strong"/>
          <w:b w:val="0"/>
          <w:bCs w:val="0"/>
          <w:color w:val="000000"/>
          <w:shd w:val="clear" w:color="auto" w:fill="FFFFFF"/>
          <w:lang w:val="es-CO"/>
        </w:rPr>
        <w:t xml:space="preserve">. </w:t>
      </w:r>
      <w:r w:rsidRPr="000F4A67">
        <w:rPr>
          <w:rStyle w:val="Strong"/>
          <w:b w:val="0"/>
          <w:bCs w:val="0"/>
          <w:color w:val="000000"/>
          <w:shd w:val="clear" w:color="auto" w:fill="FFFFFF"/>
        </w:rPr>
        <w:t xml:space="preserve">Operating parameters can be used to change the product slate, which will be done to maximize profits. For the ATJ process scenarios, the analysis assumed that 70% of the </w:t>
      </w:r>
      <w:r w:rsidR="4CD903D9" w:rsidRPr="000F4A67">
        <w:rPr>
          <w:rStyle w:val="Strong"/>
          <w:b w:val="0"/>
          <w:bCs w:val="0"/>
          <w:color w:val="000000"/>
          <w:shd w:val="clear" w:color="auto" w:fill="FFFFFF"/>
        </w:rPr>
        <w:t xml:space="preserve">resulting </w:t>
      </w:r>
      <w:r w:rsidRPr="000F4A67">
        <w:rPr>
          <w:rStyle w:val="Strong"/>
          <w:b w:val="0"/>
          <w:bCs w:val="0"/>
          <w:color w:val="000000"/>
          <w:shd w:val="clear" w:color="auto" w:fill="FFFFFF"/>
        </w:rPr>
        <w:t>fuel is SAF and the remaining fuel is gasoline (</w:t>
      </w:r>
      <w:r w:rsidRPr="000F4A67">
        <w:rPr>
          <w:rStyle w:val="Strong"/>
          <w:b w:val="0"/>
          <w:bCs w:val="0"/>
          <w:color w:val="000000"/>
          <w:shd w:val="clear" w:color="auto" w:fill="FFFFFF"/>
        </w:rPr>
        <w:fldChar w:fldCharType="begin"/>
      </w:r>
      <w:r w:rsidRPr="000F4A67">
        <w:rPr>
          <w:rStyle w:val="Strong"/>
          <w:b w:val="0"/>
          <w:bCs w:val="0"/>
          <w:color w:val="000000"/>
          <w:shd w:val="clear" w:color="auto" w:fill="FFFFFF"/>
        </w:rPr>
        <w:instrText xml:space="preserve"> REF _Ref75873439 \h  \* MERGEFORMAT </w:instrText>
      </w:r>
      <w:r w:rsidRPr="000F4A67">
        <w:rPr>
          <w:rStyle w:val="Strong"/>
          <w:b w:val="0"/>
          <w:bCs w:val="0"/>
          <w:color w:val="000000"/>
          <w:shd w:val="clear" w:color="auto" w:fill="FFFFFF"/>
        </w:rPr>
      </w:r>
      <w:r w:rsidRPr="000F4A67">
        <w:rPr>
          <w:rStyle w:val="Strong"/>
          <w:b w:val="0"/>
          <w:bCs w:val="0"/>
          <w:color w:val="000000"/>
          <w:shd w:val="clear" w:color="auto" w:fill="FFFFFF"/>
        </w:rPr>
        <w:fldChar w:fldCharType="separate"/>
      </w:r>
      <w:r w:rsidRPr="61786385">
        <w:rPr>
          <w:rFonts w:cs="Times New Roman"/>
        </w:rPr>
        <w:t xml:space="preserve">Table </w:t>
      </w:r>
      <w:r w:rsidRPr="61786385">
        <w:rPr>
          <w:rFonts w:cs="Times New Roman"/>
          <w:noProof/>
        </w:rPr>
        <w:t>1</w:t>
      </w:r>
      <w:r w:rsidRPr="000F4A67">
        <w:rPr>
          <w:rStyle w:val="Strong"/>
          <w:b w:val="0"/>
          <w:bCs w:val="0"/>
          <w:color w:val="000000"/>
          <w:shd w:val="clear" w:color="auto" w:fill="FFFFFF"/>
        </w:rPr>
        <w:fldChar w:fldCharType="end"/>
      </w:r>
      <w:r w:rsidRPr="000F4A67">
        <w:rPr>
          <w:rStyle w:val="Strong"/>
          <w:b w:val="0"/>
          <w:bCs w:val="0"/>
          <w:color w:val="000000"/>
          <w:shd w:val="clear" w:color="auto" w:fill="FFFFFF"/>
        </w:rPr>
        <w:t>).</w:t>
      </w:r>
    </w:p>
    <w:p w14:paraId="026DA10F" w14:textId="14F4C504" w:rsidR="00D2544D" w:rsidRPr="000F4A67" w:rsidRDefault="009209B0" w:rsidP="00D2544D">
      <w:pPr>
        <w:pStyle w:val="Caption"/>
        <w:rPr>
          <w:i/>
          <w:iCs/>
        </w:rPr>
      </w:pPr>
      <w:bookmarkStart w:id="0" w:name="_Ref75873439"/>
      <w:r>
        <w:t xml:space="preserve">Supplementary Material </w:t>
      </w:r>
      <w:r w:rsidR="00D2544D" w:rsidRPr="000F4A67">
        <w:t xml:space="preserve">Table </w:t>
      </w:r>
      <w:fldSimple w:instr=" SEQ Table \* ARABIC ">
        <w:r w:rsidR="00D2544D">
          <w:rPr>
            <w:noProof/>
          </w:rPr>
          <w:t>1</w:t>
        </w:r>
      </w:fldSimple>
      <w:bookmarkEnd w:id="0"/>
      <w:r w:rsidR="00D2544D" w:rsidRPr="000F4A67">
        <w:t>: Baseline product slate for studied pathways in mass percent.</w:t>
      </w:r>
    </w:p>
    <w:tbl>
      <w:tblPr>
        <w:tblStyle w:val="TableGrid"/>
        <w:tblW w:w="0" w:type="auto"/>
        <w:tblLook w:val="04A0" w:firstRow="1" w:lastRow="0" w:firstColumn="1" w:lastColumn="0" w:noHBand="0" w:noVBand="1"/>
      </w:tblPr>
      <w:tblGrid>
        <w:gridCol w:w="1558"/>
        <w:gridCol w:w="1558"/>
        <w:gridCol w:w="1559"/>
        <w:gridCol w:w="1558"/>
        <w:gridCol w:w="1558"/>
        <w:gridCol w:w="1559"/>
      </w:tblGrid>
      <w:tr w:rsidR="00D2544D" w:rsidRPr="000F4A67" w14:paraId="19D687E3" w14:textId="77777777" w:rsidTr="61786385">
        <w:tc>
          <w:tcPr>
            <w:tcW w:w="1558" w:type="dxa"/>
          </w:tcPr>
          <w:p w14:paraId="42C86D9A" w14:textId="77777777" w:rsidR="00D2544D" w:rsidRPr="000F4A67" w:rsidRDefault="00D2544D" w:rsidP="00257CE4">
            <w:pPr>
              <w:rPr>
                <w:rStyle w:val="Strong"/>
                <w:b w:val="0"/>
                <w:bCs w:val="0"/>
                <w:color w:val="000000"/>
                <w:shd w:val="clear" w:color="auto" w:fill="FFFFFF"/>
              </w:rPr>
            </w:pPr>
            <w:r w:rsidRPr="000F4A67">
              <w:rPr>
                <w:rStyle w:val="Strong"/>
                <w:b w:val="0"/>
                <w:color w:val="000000"/>
                <w:shd w:val="clear" w:color="auto" w:fill="FFFFFF"/>
              </w:rPr>
              <w:t>Process</w:t>
            </w:r>
          </w:p>
        </w:tc>
        <w:tc>
          <w:tcPr>
            <w:tcW w:w="1558" w:type="dxa"/>
          </w:tcPr>
          <w:p w14:paraId="1E218CC9" w14:textId="77777777" w:rsidR="00D2544D" w:rsidRPr="000F4A67" w:rsidRDefault="00D2544D" w:rsidP="00257CE4">
            <w:pPr>
              <w:jc w:val="center"/>
              <w:rPr>
                <w:rStyle w:val="Strong"/>
                <w:b w:val="0"/>
                <w:bCs w:val="0"/>
                <w:color w:val="000000"/>
                <w:shd w:val="clear" w:color="auto" w:fill="FFFFFF"/>
              </w:rPr>
            </w:pPr>
            <w:r w:rsidRPr="000F4A67">
              <w:rPr>
                <w:rStyle w:val="Strong"/>
                <w:b w:val="0"/>
                <w:color w:val="000000"/>
                <w:shd w:val="clear" w:color="auto" w:fill="FFFFFF"/>
              </w:rPr>
              <w:t>SAF (%)</w:t>
            </w:r>
          </w:p>
        </w:tc>
        <w:tc>
          <w:tcPr>
            <w:tcW w:w="1559" w:type="dxa"/>
          </w:tcPr>
          <w:p w14:paraId="0822AB5A" w14:textId="77777777" w:rsidR="00D2544D" w:rsidRPr="000F4A67" w:rsidRDefault="00D2544D" w:rsidP="00257CE4">
            <w:pPr>
              <w:jc w:val="center"/>
              <w:rPr>
                <w:rStyle w:val="Strong"/>
                <w:b w:val="0"/>
                <w:bCs w:val="0"/>
                <w:color w:val="000000"/>
                <w:shd w:val="clear" w:color="auto" w:fill="FFFFFF"/>
              </w:rPr>
            </w:pPr>
            <w:r w:rsidRPr="000F4A67">
              <w:rPr>
                <w:rStyle w:val="Strong"/>
                <w:b w:val="0"/>
                <w:color w:val="000000"/>
                <w:shd w:val="clear" w:color="auto" w:fill="FFFFFF"/>
              </w:rPr>
              <w:t>Diesel (%)</w:t>
            </w:r>
          </w:p>
        </w:tc>
        <w:tc>
          <w:tcPr>
            <w:tcW w:w="1558" w:type="dxa"/>
          </w:tcPr>
          <w:p w14:paraId="3514553E" w14:textId="77777777" w:rsidR="00D2544D" w:rsidRPr="000F4A67" w:rsidRDefault="00D2544D" w:rsidP="00257CE4">
            <w:pPr>
              <w:jc w:val="center"/>
              <w:rPr>
                <w:rStyle w:val="Strong"/>
                <w:b w:val="0"/>
                <w:bCs w:val="0"/>
                <w:color w:val="000000"/>
                <w:shd w:val="clear" w:color="auto" w:fill="FFFFFF"/>
              </w:rPr>
            </w:pPr>
            <w:r w:rsidRPr="000F4A67">
              <w:rPr>
                <w:rStyle w:val="Strong"/>
                <w:b w:val="0"/>
                <w:color w:val="000000"/>
                <w:shd w:val="clear" w:color="auto" w:fill="FFFFFF"/>
              </w:rPr>
              <w:t>Naphtha (%)</w:t>
            </w:r>
          </w:p>
        </w:tc>
        <w:tc>
          <w:tcPr>
            <w:tcW w:w="1558" w:type="dxa"/>
          </w:tcPr>
          <w:p w14:paraId="6816F22E" w14:textId="77777777" w:rsidR="00D2544D" w:rsidRPr="000F4A67" w:rsidRDefault="00D2544D" w:rsidP="00257CE4">
            <w:pPr>
              <w:jc w:val="center"/>
              <w:rPr>
                <w:rStyle w:val="Strong"/>
                <w:b w:val="0"/>
                <w:bCs w:val="0"/>
                <w:color w:val="000000"/>
                <w:shd w:val="clear" w:color="auto" w:fill="FFFFFF"/>
              </w:rPr>
            </w:pPr>
            <w:r w:rsidRPr="000F4A67">
              <w:rPr>
                <w:rStyle w:val="Strong"/>
                <w:b w:val="0"/>
                <w:color w:val="000000"/>
                <w:shd w:val="clear" w:color="auto" w:fill="FFFFFF"/>
              </w:rPr>
              <w:t>Gasoline (%)</w:t>
            </w:r>
          </w:p>
        </w:tc>
        <w:tc>
          <w:tcPr>
            <w:tcW w:w="1559" w:type="dxa"/>
          </w:tcPr>
          <w:p w14:paraId="5355B390" w14:textId="77777777" w:rsidR="00D2544D" w:rsidRPr="000F4A67" w:rsidRDefault="00D2544D" w:rsidP="00257CE4">
            <w:pPr>
              <w:jc w:val="center"/>
              <w:rPr>
                <w:rStyle w:val="Strong"/>
                <w:b w:val="0"/>
                <w:bCs w:val="0"/>
                <w:color w:val="000000"/>
                <w:shd w:val="clear" w:color="auto" w:fill="FFFFFF"/>
              </w:rPr>
            </w:pPr>
            <w:r w:rsidRPr="000F4A67">
              <w:rPr>
                <w:rStyle w:val="Strong"/>
                <w:b w:val="0"/>
                <w:color w:val="000000"/>
                <w:shd w:val="clear" w:color="auto" w:fill="FFFFFF"/>
              </w:rPr>
              <w:t>Propane (%)</w:t>
            </w:r>
          </w:p>
        </w:tc>
      </w:tr>
      <w:tr w:rsidR="00D2544D" w:rsidRPr="000F4A67" w14:paraId="34C41B46" w14:textId="77777777" w:rsidTr="61786385">
        <w:tc>
          <w:tcPr>
            <w:tcW w:w="1558" w:type="dxa"/>
          </w:tcPr>
          <w:p w14:paraId="5627CA82" w14:textId="77777777" w:rsidR="00D2544D" w:rsidRPr="000F4A67" w:rsidRDefault="00D2544D" w:rsidP="00257CE4">
            <w:pPr>
              <w:rPr>
                <w:rStyle w:val="Strong"/>
                <w:b w:val="0"/>
                <w:bCs w:val="0"/>
                <w:color w:val="000000"/>
                <w:shd w:val="clear" w:color="auto" w:fill="FFFFFF"/>
              </w:rPr>
            </w:pPr>
            <w:r w:rsidRPr="000F4A67">
              <w:rPr>
                <w:rStyle w:val="Strong"/>
                <w:b w:val="0"/>
                <w:color w:val="000000"/>
                <w:shd w:val="clear" w:color="auto" w:fill="FFFFFF"/>
              </w:rPr>
              <w:t>ATJ</w:t>
            </w:r>
          </w:p>
        </w:tc>
        <w:tc>
          <w:tcPr>
            <w:tcW w:w="1558" w:type="dxa"/>
          </w:tcPr>
          <w:p w14:paraId="4F90BC29" w14:textId="77777777" w:rsidR="00D2544D" w:rsidRPr="000F4A67" w:rsidRDefault="00D2544D" w:rsidP="00257CE4">
            <w:pPr>
              <w:jc w:val="center"/>
              <w:rPr>
                <w:rStyle w:val="Strong"/>
                <w:b w:val="0"/>
                <w:bCs w:val="0"/>
                <w:color w:val="000000"/>
                <w:shd w:val="clear" w:color="auto" w:fill="FFFFFF"/>
              </w:rPr>
            </w:pPr>
            <w:r w:rsidRPr="000F4A67">
              <w:rPr>
                <w:rStyle w:val="Strong"/>
                <w:b w:val="0"/>
                <w:color w:val="000000"/>
                <w:shd w:val="clear" w:color="auto" w:fill="FFFFFF"/>
              </w:rPr>
              <w:t>70</w:t>
            </w:r>
          </w:p>
        </w:tc>
        <w:tc>
          <w:tcPr>
            <w:tcW w:w="1559" w:type="dxa"/>
          </w:tcPr>
          <w:p w14:paraId="7E8F500D" w14:textId="21564752" w:rsidR="00D2544D" w:rsidRPr="000F4A67" w:rsidRDefault="2E60F778" w:rsidP="00257CE4">
            <w:pPr>
              <w:jc w:val="center"/>
              <w:rPr>
                <w:rStyle w:val="Strong"/>
                <w:b w:val="0"/>
                <w:bCs w:val="0"/>
                <w:color w:val="000000"/>
                <w:shd w:val="clear" w:color="auto" w:fill="FFFFFF"/>
              </w:rPr>
            </w:pPr>
            <w:r>
              <w:rPr>
                <w:rStyle w:val="Strong"/>
                <w:b w:val="0"/>
                <w:bCs w:val="0"/>
                <w:color w:val="000000"/>
                <w:shd w:val="clear" w:color="auto" w:fill="FFFFFF"/>
              </w:rPr>
              <w:t>N</w:t>
            </w:r>
            <w:r w:rsidRPr="006520F6">
              <w:rPr>
                <w:rStyle w:val="Strong"/>
                <w:b w:val="0"/>
                <w:bCs w:val="0"/>
                <w:color w:val="000000"/>
                <w:shd w:val="clear" w:color="auto" w:fill="FFFFFF"/>
              </w:rPr>
              <w:t>A</w:t>
            </w:r>
          </w:p>
        </w:tc>
        <w:tc>
          <w:tcPr>
            <w:tcW w:w="1558" w:type="dxa"/>
          </w:tcPr>
          <w:p w14:paraId="5AFEF6C9" w14:textId="03265041" w:rsidR="00D2544D" w:rsidRPr="000F4A67" w:rsidRDefault="2E60F778" w:rsidP="00257CE4">
            <w:pPr>
              <w:jc w:val="center"/>
              <w:rPr>
                <w:rStyle w:val="Strong"/>
                <w:b w:val="0"/>
                <w:bCs w:val="0"/>
                <w:color w:val="000000"/>
                <w:shd w:val="clear" w:color="auto" w:fill="FFFFFF"/>
              </w:rPr>
            </w:pPr>
            <w:r>
              <w:rPr>
                <w:rStyle w:val="Strong"/>
                <w:b w:val="0"/>
                <w:bCs w:val="0"/>
                <w:color w:val="000000"/>
                <w:shd w:val="clear" w:color="auto" w:fill="FFFFFF"/>
              </w:rPr>
              <w:t>N</w:t>
            </w:r>
            <w:r w:rsidRPr="006520F6">
              <w:rPr>
                <w:rStyle w:val="Strong"/>
                <w:b w:val="0"/>
                <w:bCs w:val="0"/>
                <w:color w:val="000000"/>
                <w:shd w:val="clear" w:color="auto" w:fill="FFFFFF"/>
              </w:rPr>
              <w:t>A</w:t>
            </w:r>
          </w:p>
        </w:tc>
        <w:tc>
          <w:tcPr>
            <w:tcW w:w="1558" w:type="dxa"/>
          </w:tcPr>
          <w:p w14:paraId="024E64CD" w14:textId="77777777" w:rsidR="00D2544D" w:rsidRPr="000F4A67" w:rsidRDefault="00D2544D" w:rsidP="00257CE4">
            <w:pPr>
              <w:jc w:val="center"/>
              <w:rPr>
                <w:rStyle w:val="Strong"/>
                <w:b w:val="0"/>
                <w:bCs w:val="0"/>
                <w:color w:val="000000"/>
                <w:shd w:val="clear" w:color="auto" w:fill="FFFFFF"/>
              </w:rPr>
            </w:pPr>
            <w:r w:rsidRPr="000F4A67">
              <w:rPr>
                <w:rStyle w:val="Strong"/>
                <w:b w:val="0"/>
                <w:color w:val="000000"/>
                <w:shd w:val="clear" w:color="auto" w:fill="FFFFFF"/>
              </w:rPr>
              <w:t>30</w:t>
            </w:r>
          </w:p>
        </w:tc>
        <w:tc>
          <w:tcPr>
            <w:tcW w:w="1559" w:type="dxa"/>
          </w:tcPr>
          <w:p w14:paraId="147DAF8B" w14:textId="3ACB8DE4" w:rsidR="00D2544D" w:rsidRPr="000F4A67" w:rsidRDefault="2E60F778" w:rsidP="00257CE4">
            <w:pPr>
              <w:jc w:val="center"/>
              <w:rPr>
                <w:rStyle w:val="Strong"/>
                <w:b w:val="0"/>
                <w:bCs w:val="0"/>
                <w:color w:val="000000"/>
                <w:shd w:val="clear" w:color="auto" w:fill="FFFFFF"/>
              </w:rPr>
            </w:pPr>
            <w:r>
              <w:rPr>
                <w:rStyle w:val="Strong"/>
                <w:b w:val="0"/>
                <w:bCs w:val="0"/>
                <w:color w:val="000000"/>
                <w:shd w:val="clear" w:color="auto" w:fill="FFFFFF"/>
              </w:rPr>
              <w:t>N</w:t>
            </w:r>
            <w:r w:rsidRPr="006520F6">
              <w:rPr>
                <w:rStyle w:val="Strong"/>
                <w:b w:val="0"/>
                <w:bCs w:val="0"/>
                <w:color w:val="000000"/>
                <w:shd w:val="clear" w:color="auto" w:fill="FFFFFF"/>
              </w:rPr>
              <w:t>A</w:t>
            </w:r>
          </w:p>
        </w:tc>
      </w:tr>
      <w:tr w:rsidR="00D2544D" w:rsidRPr="000F4A67" w14:paraId="55FA5DF1" w14:textId="77777777" w:rsidTr="61786385">
        <w:tc>
          <w:tcPr>
            <w:tcW w:w="1558" w:type="dxa"/>
          </w:tcPr>
          <w:p w14:paraId="62572A9D" w14:textId="77777777" w:rsidR="00D2544D" w:rsidRPr="000F4A67" w:rsidRDefault="00D2544D" w:rsidP="00257CE4">
            <w:pPr>
              <w:rPr>
                <w:rStyle w:val="Strong"/>
                <w:b w:val="0"/>
                <w:bCs w:val="0"/>
                <w:color w:val="000000"/>
                <w:shd w:val="clear" w:color="auto" w:fill="FFFFFF"/>
              </w:rPr>
            </w:pPr>
            <w:r w:rsidRPr="000F4A67">
              <w:rPr>
                <w:rStyle w:val="Strong"/>
                <w:b w:val="0"/>
                <w:color w:val="000000"/>
                <w:shd w:val="clear" w:color="auto" w:fill="FFFFFF"/>
              </w:rPr>
              <w:t>HEFA</w:t>
            </w:r>
          </w:p>
        </w:tc>
        <w:tc>
          <w:tcPr>
            <w:tcW w:w="1558" w:type="dxa"/>
          </w:tcPr>
          <w:p w14:paraId="450AAF3D" w14:textId="77777777" w:rsidR="00D2544D" w:rsidRPr="000F4A67" w:rsidRDefault="00D2544D" w:rsidP="00257CE4">
            <w:pPr>
              <w:jc w:val="center"/>
              <w:rPr>
                <w:rStyle w:val="Strong"/>
                <w:b w:val="0"/>
                <w:bCs w:val="0"/>
                <w:color w:val="000000"/>
                <w:shd w:val="clear" w:color="auto" w:fill="FFFFFF"/>
              </w:rPr>
            </w:pPr>
            <w:r w:rsidRPr="000F4A67">
              <w:rPr>
                <w:rStyle w:val="Strong"/>
                <w:b w:val="0"/>
                <w:color w:val="000000"/>
                <w:shd w:val="clear" w:color="auto" w:fill="FFFFFF"/>
              </w:rPr>
              <w:t>55</w:t>
            </w:r>
          </w:p>
        </w:tc>
        <w:tc>
          <w:tcPr>
            <w:tcW w:w="1559" w:type="dxa"/>
          </w:tcPr>
          <w:p w14:paraId="45F187B5" w14:textId="77777777" w:rsidR="00D2544D" w:rsidRPr="000F4A67" w:rsidRDefault="00D2544D" w:rsidP="00257CE4">
            <w:pPr>
              <w:jc w:val="center"/>
              <w:rPr>
                <w:rStyle w:val="Strong"/>
                <w:b w:val="0"/>
                <w:bCs w:val="0"/>
                <w:color w:val="000000"/>
                <w:shd w:val="clear" w:color="auto" w:fill="FFFFFF"/>
              </w:rPr>
            </w:pPr>
            <w:r w:rsidRPr="000F4A67">
              <w:rPr>
                <w:rStyle w:val="Strong"/>
                <w:b w:val="0"/>
                <w:color w:val="000000"/>
                <w:shd w:val="clear" w:color="auto" w:fill="FFFFFF"/>
              </w:rPr>
              <w:t>26</w:t>
            </w:r>
          </w:p>
        </w:tc>
        <w:tc>
          <w:tcPr>
            <w:tcW w:w="1558" w:type="dxa"/>
          </w:tcPr>
          <w:p w14:paraId="5DF00EB5" w14:textId="77777777" w:rsidR="00D2544D" w:rsidRPr="000F4A67" w:rsidRDefault="00D2544D" w:rsidP="00257CE4">
            <w:pPr>
              <w:jc w:val="center"/>
              <w:rPr>
                <w:rStyle w:val="Strong"/>
                <w:b w:val="0"/>
                <w:bCs w:val="0"/>
                <w:color w:val="000000"/>
                <w:shd w:val="clear" w:color="auto" w:fill="FFFFFF"/>
              </w:rPr>
            </w:pPr>
            <w:r w:rsidRPr="000F4A67">
              <w:rPr>
                <w:rStyle w:val="Strong"/>
                <w:b w:val="0"/>
                <w:color w:val="000000"/>
                <w:shd w:val="clear" w:color="auto" w:fill="FFFFFF"/>
              </w:rPr>
              <w:t>8</w:t>
            </w:r>
          </w:p>
        </w:tc>
        <w:tc>
          <w:tcPr>
            <w:tcW w:w="1558" w:type="dxa"/>
          </w:tcPr>
          <w:p w14:paraId="5D711B6E" w14:textId="17F76F3B" w:rsidR="00D2544D" w:rsidRPr="000F4A67" w:rsidRDefault="2E60F778" w:rsidP="00257CE4">
            <w:pPr>
              <w:jc w:val="center"/>
              <w:rPr>
                <w:rStyle w:val="Strong"/>
                <w:b w:val="0"/>
                <w:bCs w:val="0"/>
                <w:color w:val="000000"/>
                <w:shd w:val="clear" w:color="auto" w:fill="FFFFFF"/>
              </w:rPr>
            </w:pPr>
            <w:r>
              <w:rPr>
                <w:rStyle w:val="Strong"/>
                <w:b w:val="0"/>
                <w:bCs w:val="0"/>
                <w:color w:val="000000"/>
                <w:shd w:val="clear" w:color="auto" w:fill="FFFFFF"/>
              </w:rPr>
              <w:t>N</w:t>
            </w:r>
            <w:r w:rsidRPr="006520F6">
              <w:rPr>
                <w:rStyle w:val="Strong"/>
                <w:b w:val="0"/>
                <w:bCs w:val="0"/>
                <w:color w:val="000000"/>
                <w:shd w:val="clear" w:color="auto" w:fill="FFFFFF"/>
              </w:rPr>
              <w:t>A</w:t>
            </w:r>
          </w:p>
        </w:tc>
        <w:tc>
          <w:tcPr>
            <w:tcW w:w="1559" w:type="dxa"/>
          </w:tcPr>
          <w:p w14:paraId="57363775" w14:textId="77777777" w:rsidR="00D2544D" w:rsidRPr="000F4A67" w:rsidRDefault="00D2544D" w:rsidP="00257CE4">
            <w:pPr>
              <w:jc w:val="center"/>
              <w:rPr>
                <w:rStyle w:val="Strong"/>
                <w:b w:val="0"/>
                <w:bCs w:val="0"/>
                <w:color w:val="000000"/>
                <w:shd w:val="clear" w:color="auto" w:fill="FFFFFF"/>
              </w:rPr>
            </w:pPr>
            <w:r w:rsidRPr="000F4A67">
              <w:rPr>
                <w:rStyle w:val="Strong"/>
                <w:b w:val="0"/>
                <w:color w:val="000000"/>
                <w:shd w:val="clear" w:color="auto" w:fill="FFFFFF"/>
              </w:rPr>
              <w:t>11</w:t>
            </w:r>
          </w:p>
        </w:tc>
      </w:tr>
      <w:tr w:rsidR="00D2544D" w:rsidRPr="000F4A67" w14:paraId="42ADA43C" w14:textId="77777777" w:rsidTr="61786385">
        <w:tc>
          <w:tcPr>
            <w:tcW w:w="1558" w:type="dxa"/>
          </w:tcPr>
          <w:p w14:paraId="00F2C99C" w14:textId="77777777" w:rsidR="00D2544D" w:rsidRPr="000F4A67" w:rsidRDefault="00D2544D" w:rsidP="00257CE4">
            <w:pPr>
              <w:rPr>
                <w:rStyle w:val="Strong"/>
                <w:b w:val="0"/>
                <w:bCs w:val="0"/>
                <w:color w:val="000000"/>
                <w:shd w:val="clear" w:color="auto" w:fill="FFFFFF"/>
              </w:rPr>
            </w:pPr>
            <w:r w:rsidRPr="000F4A67">
              <w:rPr>
                <w:rStyle w:val="Strong"/>
                <w:b w:val="0"/>
                <w:color w:val="000000"/>
                <w:shd w:val="clear" w:color="auto" w:fill="FFFFFF"/>
              </w:rPr>
              <w:t>FT</w:t>
            </w:r>
          </w:p>
        </w:tc>
        <w:tc>
          <w:tcPr>
            <w:tcW w:w="1558" w:type="dxa"/>
          </w:tcPr>
          <w:p w14:paraId="7D2D1E17" w14:textId="77777777" w:rsidR="00D2544D" w:rsidRPr="000F4A67" w:rsidRDefault="00D2544D" w:rsidP="00257CE4">
            <w:pPr>
              <w:jc w:val="center"/>
              <w:rPr>
                <w:rStyle w:val="Strong"/>
                <w:b w:val="0"/>
                <w:bCs w:val="0"/>
                <w:color w:val="000000"/>
                <w:shd w:val="clear" w:color="auto" w:fill="FFFFFF"/>
              </w:rPr>
            </w:pPr>
            <w:r w:rsidRPr="000F4A67">
              <w:rPr>
                <w:rStyle w:val="Strong"/>
                <w:b w:val="0"/>
                <w:color w:val="000000"/>
                <w:shd w:val="clear" w:color="auto" w:fill="FFFFFF"/>
              </w:rPr>
              <w:t>40</w:t>
            </w:r>
          </w:p>
        </w:tc>
        <w:tc>
          <w:tcPr>
            <w:tcW w:w="1559" w:type="dxa"/>
          </w:tcPr>
          <w:p w14:paraId="46E84FF1" w14:textId="77777777" w:rsidR="00D2544D" w:rsidRPr="000F4A67" w:rsidRDefault="00D2544D" w:rsidP="00257CE4">
            <w:pPr>
              <w:jc w:val="center"/>
              <w:rPr>
                <w:rStyle w:val="Strong"/>
                <w:b w:val="0"/>
                <w:bCs w:val="0"/>
                <w:color w:val="000000"/>
                <w:shd w:val="clear" w:color="auto" w:fill="FFFFFF"/>
              </w:rPr>
            </w:pPr>
            <w:r w:rsidRPr="000F4A67">
              <w:rPr>
                <w:rStyle w:val="Strong"/>
                <w:b w:val="0"/>
                <w:color w:val="000000"/>
                <w:shd w:val="clear" w:color="auto" w:fill="FFFFFF"/>
              </w:rPr>
              <w:t>40</w:t>
            </w:r>
          </w:p>
        </w:tc>
        <w:tc>
          <w:tcPr>
            <w:tcW w:w="1558" w:type="dxa"/>
          </w:tcPr>
          <w:p w14:paraId="594FB208" w14:textId="77777777" w:rsidR="00D2544D" w:rsidRPr="000F4A67" w:rsidRDefault="00D2544D" w:rsidP="00257CE4">
            <w:pPr>
              <w:jc w:val="center"/>
              <w:rPr>
                <w:rStyle w:val="Strong"/>
                <w:b w:val="0"/>
                <w:bCs w:val="0"/>
                <w:color w:val="000000"/>
                <w:shd w:val="clear" w:color="auto" w:fill="FFFFFF"/>
              </w:rPr>
            </w:pPr>
            <w:r w:rsidRPr="000F4A67">
              <w:rPr>
                <w:rStyle w:val="Strong"/>
                <w:b w:val="0"/>
                <w:color w:val="000000"/>
                <w:shd w:val="clear" w:color="auto" w:fill="FFFFFF"/>
              </w:rPr>
              <w:t>20</w:t>
            </w:r>
          </w:p>
        </w:tc>
        <w:tc>
          <w:tcPr>
            <w:tcW w:w="1558" w:type="dxa"/>
          </w:tcPr>
          <w:p w14:paraId="616DC2CF" w14:textId="737E87E6" w:rsidR="00D2544D" w:rsidRPr="000F4A67" w:rsidRDefault="2E60F778" w:rsidP="00257CE4">
            <w:pPr>
              <w:jc w:val="center"/>
              <w:rPr>
                <w:rStyle w:val="Strong"/>
                <w:b w:val="0"/>
                <w:bCs w:val="0"/>
                <w:color w:val="000000"/>
                <w:shd w:val="clear" w:color="auto" w:fill="FFFFFF"/>
              </w:rPr>
            </w:pPr>
            <w:r>
              <w:rPr>
                <w:rStyle w:val="Strong"/>
                <w:b w:val="0"/>
                <w:bCs w:val="0"/>
                <w:color w:val="000000"/>
                <w:shd w:val="clear" w:color="auto" w:fill="FFFFFF"/>
              </w:rPr>
              <w:t>N</w:t>
            </w:r>
            <w:r w:rsidRPr="006520F6">
              <w:rPr>
                <w:rStyle w:val="Strong"/>
                <w:b w:val="0"/>
                <w:bCs w:val="0"/>
                <w:color w:val="000000"/>
                <w:shd w:val="clear" w:color="auto" w:fill="FFFFFF"/>
              </w:rPr>
              <w:t>A</w:t>
            </w:r>
          </w:p>
        </w:tc>
        <w:tc>
          <w:tcPr>
            <w:tcW w:w="1559" w:type="dxa"/>
          </w:tcPr>
          <w:p w14:paraId="4AD75A3D" w14:textId="58DE552B" w:rsidR="00D2544D" w:rsidRPr="000F4A67" w:rsidRDefault="2E60F778" w:rsidP="00257CE4">
            <w:pPr>
              <w:jc w:val="center"/>
              <w:rPr>
                <w:rStyle w:val="Strong"/>
                <w:b w:val="0"/>
                <w:bCs w:val="0"/>
                <w:color w:val="000000"/>
                <w:shd w:val="clear" w:color="auto" w:fill="FFFFFF"/>
              </w:rPr>
            </w:pPr>
            <w:r>
              <w:rPr>
                <w:rStyle w:val="Strong"/>
                <w:b w:val="0"/>
                <w:bCs w:val="0"/>
                <w:color w:val="000000"/>
                <w:shd w:val="clear" w:color="auto" w:fill="FFFFFF"/>
              </w:rPr>
              <w:t>N</w:t>
            </w:r>
            <w:r w:rsidRPr="006520F6">
              <w:rPr>
                <w:rStyle w:val="Strong"/>
                <w:b w:val="0"/>
                <w:bCs w:val="0"/>
                <w:color w:val="000000"/>
                <w:shd w:val="clear" w:color="auto" w:fill="FFFFFF"/>
              </w:rPr>
              <w:t>A</w:t>
            </w:r>
          </w:p>
        </w:tc>
      </w:tr>
    </w:tbl>
    <w:p w14:paraId="1A8275FB" w14:textId="77777777" w:rsidR="00D2544D" w:rsidRDefault="00D2544D" w:rsidP="00D2544D">
      <w:pPr>
        <w:rPr>
          <w:rFonts w:cs="Times New Roman"/>
          <w:szCs w:val="24"/>
        </w:rPr>
      </w:pPr>
    </w:p>
    <w:p w14:paraId="19F4CC0B" w14:textId="77777777" w:rsidR="00D2544D" w:rsidRDefault="00D2544D" w:rsidP="00D2544D">
      <w:pPr>
        <w:rPr>
          <w:rFonts w:cs="Times New Roman"/>
          <w:b/>
          <w:bCs/>
          <w:szCs w:val="24"/>
        </w:rPr>
      </w:pPr>
      <w:r w:rsidRPr="00F06406">
        <w:rPr>
          <w:rFonts w:cs="Times New Roman"/>
          <w:b/>
          <w:bCs/>
          <w:szCs w:val="24"/>
        </w:rPr>
        <w:t>Supplementary Information 2 – Detailed Incentive Information</w:t>
      </w:r>
    </w:p>
    <w:p w14:paraId="5F447BC4" w14:textId="77777777" w:rsidR="00D2544D" w:rsidRDefault="00D2544D" w:rsidP="00D2544D">
      <w:pPr>
        <w:rPr>
          <w:rFonts w:cs="Times New Roman"/>
          <w:b/>
          <w:bCs/>
          <w:szCs w:val="24"/>
        </w:rPr>
      </w:pPr>
      <w:r>
        <w:rPr>
          <w:rStyle w:val="Strong"/>
          <w:b w:val="0"/>
          <w:color w:val="000000"/>
          <w:shd w:val="clear" w:color="auto" w:fill="FFFFFF"/>
        </w:rPr>
        <w:t xml:space="preserve">In this analysis, the incentive values presented are results from generalized scenarios using existing and proposed </w:t>
      </w:r>
      <w:r w:rsidRPr="000F4A67">
        <w:rPr>
          <w:rStyle w:val="Strong"/>
          <w:b w:val="0"/>
          <w:color w:val="000000"/>
          <w:shd w:val="clear" w:color="auto" w:fill="FFFFFF"/>
        </w:rPr>
        <w:t>incentive</w:t>
      </w:r>
      <w:r>
        <w:rPr>
          <w:rStyle w:val="Strong"/>
          <w:b w:val="0"/>
          <w:color w:val="000000"/>
          <w:shd w:val="clear" w:color="auto" w:fill="FFFFFF"/>
        </w:rPr>
        <w:t xml:space="preserve"> policies. Producers</w:t>
      </w:r>
      <w:r w:rsidRPr="000F4A67">
        <w:rPr>
          <w:rStyle w:val="Strong"/>
          <w:b w:val="0"/>
          <w:color w:val="000000"/>
          <w:shd w:val="clear" w:color="auto" w:fill="FFFFFF"/>
        </w:rPr>
        <w:t xml:space="preserve"> will need to determine the values for specific scenarios. </w:t>
      </w:r>
    </w:p>
    <w:p w14:paraId="614CE9C4" w14:textId="77777777" w:rsidR="00D2544D" w:rsidRDefault="00D2544D" w:rsidP="00D2544D">
      <w:pPr>
        <w:rPr>
          <w:rFonts w:cs="Times New Roman"/>
          <w:b/>
          <w:bCs/>
          <w:szCs w:val="24"/>
        </w:rPr>
      </w:pPr>
      <w:r>
        <w:rPr>
          <w:rFonts w:cs="Times New Roman"/>
          <w:b/>
          <w:bCs/>
          <w:szCs w:val="24"/>
        </w:rPr>
        <w:t>SI 2.1</w:t>
      </w:r>
      <w:r>
        <w:rPr>
          <w:rFonts w:cs="Times New Roman"/>
          <w:b/>
          <w:bCs/>
          <w:szCs w:val="24"/>
        </w:rPr>
        <w:tab/>
        <w:t>CI Scores</w:t>
      </w:r>
    </w:p>
    <w:p w14:paraId="5EB0DCB1" w14:textId="789885DB" w:rsidR="00D2544D" w:rsidRDefault="00D2544D" w:rsidP="61786385">
      <w:pPr>
        <w:rPr>
          <w:rFonts w:cs="Times New Roman"/>
        </w:rPr>
      </w:pPr>
      <w:r w:rsidRPr="61786385">
        <w:rPr>
          <w:rFonts w:cs="Times New Roman"/>
        </w:rPr>
        <w:t xml:space="preserve">The </w:t>
      </w:r>
      <w:r w:rsidR="533F9A3D" w:rsidRPr="61786385">
        <w:rPr>
          <w:rFonts w:cs="Times New Roman"/>
        </w:rPr>
        <w:t>carbon intensity (</w:t>
      </w:r>
      <w:r w:rsidRPr="61786385">
        <w:rPr>
          <w:rFonts w:cs="Times New Roman"/>
        </w:rPr>
        <w:t>CI</w:t>
      </w:r>
      <w:r w:rsidR="1E8EF215" w:rsidRPr="61786385">
        <w:rPr>
          <w:rFonts w:cs="Times New Roman"/>
        </w:rPr>
        <w:t>)</w:t>
      </w:r>
      <w:r w:rsidRPr="61786385">
        <w:rPr>
          <w:rFonts w:cs="Times New Roman"/>
        </w:rPr>
        <w:t xml:space="preserve"> score for each conversion pathway was determined for use in establishing the applicability and value of multiple incentives (</w:t>
      </w:r>
      <w:r w:rsidRPr="61786385">
        <w:rPr>
          <w:rFonts w:cs="Times New Roman"/>
        </w:rPr>
        <w:fldChar w:fldCharType="begin"/>
      </w:r>
      <w:r w:rsidRPr="61786385">
        <w:rPr>
          <w:rFonts w:cs="Times New Roman"/>
        </w:rPr>
        <w:instrText xml:space="preserve"> REF _Ref87438141 \h  \* MERGEFORMAT </w:instrText>
      </w:r>
      <w:r w:rsidRPr="61786385">
        <w:rPr>
          <w:rFonts w:cs="Times New Roman"/>
        </w:rPr>
      </w:r>
      <w:r w:rsidRPr="61786385">
        <w:rPr>
          <w:rFonts w:cs="Times New Roman"/>
        </w:rPr>
        <w:fldChar w:fldCharType="separate"/>
      </w:r>
      <w:r w:rsidRPr="61786385">
        <w:rPr>
          <w:rFonts w:cs="Times New Roman"/>
        </w:rPr>
        <w:t xml:space="preserve">Table </w:t>
      </w:r>
      <w:r w:rsidRPr="61786385">
        <w:rPr>
          <w:rFonts w:cs="Times New Roman"/>
          <w:noProof/>
        </w:rPr>
        <w:t>2</w:t>
      </w:r>
      <w:r w:rsidRPr="61786385">
        <w:rPr>
          <w:rFonts w:cs="Times New Roman"/>
        </w:rPr>
        <w:fldChar w:fldCharType="end"/>
      </w:r>
      <w:r w:rsidRPr="61786385">
        <w:rPr>
          <w:rFonts w:cs="Times New Roman"/>
        </w:rPr>
        <w:t>).  These values are specific to processes and feedstocks and will vary with individual locations. The authors acknowledge that other values are possible</w:t>
      </w:r>
      <w:r w:rsidR="00075DF9" w:rsidRPr="61786385">
        <w:rPr>
          <w:rFonts w:cs="Times New Roman"/>
        </w:rPr>
        <w:t>,</w:t>
      </w:r>
      <w:r w:rsidRPr="61786385">
        <w:rPr>
          <w:rFonts w:cs="Times New Roman"/>
        </w:rPr>
        <w:t xml:space="preserve"> and</w:t>
      </w:r>
      <w:r w:rsidR="0F6750CD" w:rsidRPr="61786385">
        <w:rPr>
          <w:rFonts w:cs="Times New Roman"/>
        </w:rPr>
        <w:t xml:space="preserve"> that</w:t>
      </w:r>
      <w:r w:rsidRPr="61786385">
        <w:rPr>
          <w:rFonts w:cs="Times New Roman"/>
        </w:rPr>
        <w:t xml:space="preserve"> the resulting incentives will be impacted.</w:t>
      </w:r>
    </w:p>
    <w:p w14:paraId="420F5FFF" w14:textId="1C9B82C7" w:rsidR="00D2544D" w:rsidRPr="004C38A4" w:rsidRDefault="009209B0" w:rsidP="00D2544D">
      <w:pPr>
        <w:pStyle w:val="Caption"/>
        <w:rPr>
          <w:i/>
          <w:iCs/>
        </w:rPr>
      </w:pPr>
      <w:bookmarkStart w:id="1" w:name="_Ref87438141"/>
      <w:r>
        <w:t xml:space="preserve">Supplementary Material </w:t>
      </w:r>
      <w:r w:rsidR="00D2544D" w:rsidRPr="004C38A4">
        <w:t xml:space="preserve">Table </w:t>
      </w:r>
      <w:fldSimple w:instr=" SEQ Table \* ARABIC ">
        <w:r w:rsidR="00D2544D">
          <w:rPr>
            <w:noProof/>
          </w:rPr>
          <w:t>2</w:t>
        </w:r>
      </w:fldSimple>
      <w:bookmarkEnd w:id="1"/>
      <w:r w:rsidR="00D2544D">
        <w:t>: CI score values for selected conversion pathways.</w:t>
      </w:r>
    </w:p>
    <w:tbl>
      <w:tblPr>
        <w:tblStyle w:val="TableGrid"/>
        <w:tblW w:w="0" w:type="auto"/>
        <w:tblLook w:val="04A0" w:firstRow="1" w:lastRow="0" w:firstColumn="1" w:lastColumn="0" w:noHBand="0" w:noVBand="1"/>
      </w:tblPr>
      <w:tblGrid>
        <w:gridCol w:w="1795"/>
        <w:gridCol w:w="2340"/>
        <w:gridCol w:w="1440"/>
        <w:gridCol w:w="3775"/>
      </w:tblGrid>
      <w:tr w:rsidR="00D2544D" w14:paraId="17C3248B" w14:textId="77777777" w:rsidTr="61786385">
        <w:tc>
          <w:tcPr>
            <w:tcW w:w="1795" w:type="dxa"/>
          </w:tcPr>
          <w:p w14:paraId="62E2907A" w14:textId="77777777" w:rsidR="00D2544D" w:rsidRDefault="00D2544D" w:rsidP="00B55758">
            <w:pPr>
              <w:spacing w:after="0"/>
              <w:rPr>
                <w:rFonts w:cs="Times New Roman"/>
                <w:szCs w:val="24"/>
              </w:rPr>
            </w:pPr>
            <w:r>
              <w:rPr>
                <w:rFonts w:cs="Times New Roman"/>
                <w:szCs w:val="24"/>
              </w:rPr>
              <w:t>Process</w:t>
            </w:r>
          </w:p>
        </w:tc>
        <w:tc>
          <w:tcPr>
            <w:tcW w:w="2340" w:type="dxa"/>
          </w:tcPr>
          <w:p w14:paraId="28CD862B" w14:textId="77777777" w:rsidR="00D2544D" w:rsidRDefault="00D2544D" w:rsidP="00B55758">
            <w:pPr>
              <w:spacing w:after="0"/>
              <w:rPr>
                <w:rFonts w:cs="Times New Roman"/>
                <w:szCs w:val="24"/>
              </w:rPr>
            </w:pPr>
            <w:r>
              <w:rPr>
                <w:rFonts w:cs="Times New Roman"/>
                <w:szCs w:val="24"/>
              </w:rPr>
              <w:t>Feedstock</w:t>
            </w:r>
          </w:p>
        </w:tc>
        <w:tc>
          <w:tcPr>
            <w:tcW w:w="1440" w:type="dxa"/>
          </w:tcPr>
          <w:p w14:paraId="6FA0DE09" w14:textId="77777777" w:rsidR="00D2544D" w:rsidRPr="004C38A4" w:rsidRDefault="00D2544D" w:rsidP="00B55758">
            <w:pPr>
              <w:spacing w:after="0"/>
              <w:rPr>
                <w:rFonts w:cs="Times New Roman"/>
                <w:szCs w:val="24"/>
              </w:rPr>
            </w:pPr>
            <w:r>
              <w:rPr>
                <w:rFonts w:cs="Times New Roman"/>
                <w:szCs w:val="24"/>
              </w:rPr>
              <w:t>CI Score (gCO</w:t>
            </w:r>
            <w:r>
              <w:rPr>
                <w:rFonts w:cs="Times New Roman"/>
                <w:szCs w:val="24"/>
                <w:vertAlign w:val="subscript"/>
              </w:rPr>
              <w:t>2</w:t>
            </w:r>
            <w:r>
              <w:rPr>
                <w:rFonts w:cs="Times New Roman"/>
                <w:szCs w:val="24"/>
              </w:rPr>
              <w:t>e/MJ)</w:t>
            </w:r>
          </w:p>
        </w:tc>
        <w:tc>
          <w:tcPr>
            <w:tcW w:w="3775" w:type="dxa"/>
          </w:tcPr>
          <w:p w14:paraId="0972E4E0" w14:textId="77777777" w:rsidR="00D2544D" w:rsidRDefault="00D2544D" w:rsidP="00B55758">
            <w:pPr>
              <w:spacing w:after="0"/>
              <w:rPr>
                <w:rFonts w:cs="Times New Roman"/>
                <w:szCs w:val="24"/>
              </w:rPr>
            </w:pPr>
            <w:r>
              <w:rPr>
                <w:rFonts w:cs="Times New Roman"/>
                <w:szCs w:val="24"/>
              </w:rPr>
              <w:t>Source</w:t>
            </w:r>
          </w:p>
        </w:tc>
      </w:tr>
      <w:tr w:rsidR="00D2544D" w14:paraId="7FB6D44D" w14:textId="77777777" w:rsidTr="61786385">
        <w:tc>
          <w:tcPr>
            <w:tcW w:w="1795" w:type="dxa"/>
            <w:vMerge w:val="restart"/>
            <w:vAlign w:val="center"/>
          </w:tcPr>
          <w:p w14:paraId="345DA0B1" w14:textId="77777777" w:rsidR="00D2544D" w:rsidRDefault="00D2544D" w:rsidP="00B55758">
            <w:pPr>
              <w:spacing w:after="0"/>
              <w:rPr>
                <w:rFonts w:cs="Times New Roman"/>
                <w:szCs w:val="24"/>
              </w:rPr>
            </w:pPr>
            <w:r>
              <w:rPr>
                <w:rFonts w:cs="Times New Roman"/>
                <w:szCs w:val="24"/>
              </w:rPr>
              <w:t>HEFA</w:t>
            </w:r>
          </w:p>
        </w:tc>
        <w:tc>
          <w:tcPr>
            <w:tcW w:w="2340" w:type="dxa"/>
            <w:vAlign w:val="center"/>
          </w:tcPr>
          <w:p w14:paraId="06EA88FC" w14:textId="77777777" w:rsidR="00D2544D" w:rsidRDefault="00D2544D" w:rsidP="00B55758">
            <w:pPr>
              <w:spacing w:after="0"/>
              <w:jc w:val="center"/>
              <w:rPr>
                <w:rFonts w:cs="Times New Roman"/>
                <w:szCs w:val="24"/>
              </w:rPr>
            </w:pPr>
            <w:r>
              <w:rPr>
                <w:rFonts w:cs="Times New Roman"/>
                <w:szCs w:val="24"/>
              </w:rPr>
              <w:t>FOGs</w:t>
            </w:r>
          </w:p>
        </w:tc>
        <w:tc>
          <w:tcPr>
            <w:tcW w:w="1440" w:type="dxa"/>
            <w:vAlign w:val="center"/>
          </w:tcPr>
          <w:p w14:paraId="6E95E77D" w14:textId="77777777" w:rsidR="00D2544D" w:rsidRDefault="00D2544D" w:rsidP="00B55758">
            <w:pPr>
              <w:spacing w:after="0"/>
              <w:jc w:val="center"/>
              <w:rPr>
                <w:rFonts w:cs="Times New Roman"/>
                <w:szCs w:val="24"/>
              </w:rPr>
            </w:pPr>
            <w:r w:rsidRPr="002851B1">
              <w:rPr>
                <w:rFonts w:cs="Times New Roman"/>
                <w:szCs w:val="24"/>
              </w:rPr>
              <w:t>20.4</w:t>
            </w:r>
          </w:p>
        </w:tc>
        <w:tc>
          <w:tcPr>
            <w:tcW w:w="3775" w:type="dxa"/>
          </w:tcPr>
          <w:p w14:paraId="07DE8C3E" w14:textId="36BE13B9" w:rsidR="00D2544D" w:rsidRDefault="00075DF9" w:rsidP="00B55758">
            <w:pPr>
              <w:spacing w:after="0"/>
              <w:rPr>
                <w:rFonts w:cs="Times New Roman"/>
              </w:rPr>
            </w:pPr>
            <w:r w:rsidRPr="61786385">
              <w:rPr>
                <w:rFonts w:cs="Times New Roman"/>
              </w:rPr>
              <w:fldChar w:fldCharType="begin" w:fldLock="1"/>
            </w:r>
            <w:r w:rsidRPr="61786385">
              <w:rPr>
                <w:rFonts w:cs="Times New Roman"/>
              </w:rPr>
              <w:instrText>ADDIN CSL_CITATION {"citationItems":[{"id":"ITEM-1","itemData":{"author":[{"dropping-particle":"","family":"ICAO","given":"","non-dropping-particle":"","parse-names":false,"suffix":""}],"id":"ITEM-1","issued":{"date-parts":[["2021"]]},"number-of-pages":"5","title":"CORSIA Default Life Cycle Emissions Values for CORSIA Eligible Fuels","type":"report"},"uris":["http://www.mendeley.com/documents/?uuid=30f0cd04-cc60-44b7-91df-29440640200d"]},{"id":"ITEM-2","itemData":{"author":[{"dropping-particle":"","family":"Port of Seattle","given":"","non-dropping-particle":"","parse-names":false,"suffix":""},{"dropping-particle":"","family":"Washington State University","given":"","non-dropping-particle":"","parse-names":false,"suffix":""}],"id":"ITEM-2","issue":"February","issued":{"date-parts":[["2020"]]},"number-of-pages":"50","publisher-place":"Seattle","title":"Potential Northwest Regional Feedstock and Production of Sustainable Aviation Fuel","type":"report"},"uris":["http://www.mendeley.com/documents/?uuid=9b0eef65-fdbf-4615-bb69-f63b6d4cf4ee"]}],"mendeley":{"formattedCitation":"(Port of Seattle and Washington State University, 2020; ICAO, 2021)","plainTextFormattedCitation":"(Port of Seattle and Washington State University, 2020; ICAO, 2021)","previouslyFormattedCitation":"(Port of Seattle and Washington State University, 2020; ICAO, 2021)"},"properties":{"noteIndex":0},"schema":"https://github.com/citation-style-language/schema/raw/master/csl-citation.json"}</w:instrText>
            </w:r>
            <w:r w:rsidRPr="61786385">
              <w:rPr>
                <w:rFonts w:cs="Times New Roman"/>
              </w:rPr>
              <w:fldChar w:fldCharType="separate"/>
            </w:r>
            <w:r w:rsidRPr="61786385">
              <w:rPr>
                <w:rFonts w:cs="Times New Roman"/>
                <w:noProof/>
              </w:rPr>
              <w:t>(Port of Seattle and Washington State University, 2020; ICAO, 2021)</w:t>
            </w:r>
            <w:r w:rsidRPr="61786385">
              <w:rPr>
                <w:rFonts w:cs="Times New Roman"/>
              </w:rPr>
              <w:fldChar w:fldCharType="end"/>
            </w:r>
          </w:p>
        </w:tc>
      </w:tr>
      <w:tr w:rsidR="00D2544D" w14:paraId="15F88A86" w14:textId="77777777" w:rsidTr="61786385">
        <w:tc>
          <w:tcPr>
            <w:tcW w:w="1795" w:type="dxa"/>
            <w:vMerge/>
            <w:vAlign w:val="center"/>
          </w:tcPr>
          <w:p w14:paraId="23FB8D81" w14:textId="77777777" w:rsidR="00D2544D" w:rsidRDefault="00D2544D" w:rsidP="00B55758">
            <w:pPr>
              <w:spacing w:after="0"/>
              <w:rPr>
                <w:rFonts w:cs="Times New Roman"/>
                <w:szCs w:val="24"/>
              </w:rPr>
            </w:pPr>
          </w:p>
        </w:tc>
        <w:tc>
          <w:tcPr>
            <w:tcW w:w="2340" w:type="dxa"/>
            <w:vAlign w:val="center"/>
          </w:tcPr>
          <w:p w14:paraId="04704756" w14:textId="77777777" w:rsidR="00D2544D" w:rsidRDefault="00D2544D" w:rsidP="00B55758">
            <w:pPr>
              <w:spacing w:after="0"/>
              <w:jc w:val="center"/>
              <w:rPr>
                <w:rFonts w:cs="Times New Roman"/>
                <w:szCs w:val="24"/>
              </w:rPr>
            </w:pPr>
            <w:r>
              <w:rPr>
                <w:rFonts w:cs="Times New Roman"/>
                <w:szCs w:val="24"/>
              </w:rPr>
              <w:t>Vegetable oil</w:t>
            </w:r>
          </w:p>
        </w:tc>
        <w:tc>
          <w:tcPr>
            <w:tcW w:w="1440" w:type="dxa"/>
            <w:vAlign w:val="center"/>
          </w:tcPr>
          <w:p w14:paraId="626D6DEE" w14:textId="77777777" w:rsidR="00D2544D" w:rsidRDefault="00D2544D" w:rsidP="00B55758">
            <w:pPr>
              <w:spacing w:after="0"/>
              <w:jc w:val="center"/>
              <w:rPr>
                <w:rFonts w:cs="Times New Roman"/>
                <w:szCs w:val="24"/>
              </w:rPr>
            </w:pPr>
            <w:r>
              <w:rPr>
                <w:rFonts w:cs="Times New Roman"/>
                <w:szCs w:val="24"/>
              </w:rPr>
              <w:t>64.9</w:t>
            </w:r>
          </w:p>
        </w:tc>
        <w:tc>
          <w:tcPr>
            <w:tcW w:w="3775" w:type="dxa"/>
          </w:tcPr>
          <w:p w14:paraId="1B1F2C70" w14:textId="2C9B6378" w:rsidR="00D2544D" w:rsidRDefault="00735C75" w:rsidP="00B55758">
            <w:pPr>
              <w:spacing w:after="0"/>
              <w:rPr>
                <w:rFonts w:cs="Times New Roman"/>
              </w:rPr>
            </w:pPr>
            <w:r w:rsidRPr="61786385">
              <w:rPr>
                <w:rFonts w:cs="Times New Roman"/>
              </w:rPr>
              <w:fldChar w:fldCharType="begin" w:fldLock="1"/>
            </w:r>
            <w:r w:rsidRPr="61786385">
              <w:rPr>
                <w:rFonts w:cs="Times New Roman"/>
              </w:rPr>
              <w:instrText>ADDIN CSL_CITATION {"citationItems":[{"id":"ITEM-1","itemData":{"author":[{"dropping-particle":"","family":"ICAO","given":"","non-dropping-particle":"","parse-names":false,"suffix":""}],"id":"ITEM-1","issued":{"date-parts":[["2021"]]},"number-of-pages":"5","title":"CORSIA Default Life Cycle Emissions Values for CORSIA Eligible Fuels","type":"report"},"uris":["http://www.mendeley.com/documents/?uuid=30f0cd04-cc60-44b7-91df-29440640200d"]}],"mendeley":{"formattedCitation":"(ICAO, 2021)","plainTextFormattedCitation":"(ICAO, 2021)","previouslyFormattedCitation":"(ICAO, 2021)"},"properties":{"noteIndex":0},"schema":"https://github.com/citation-style-language/schema/raw/master/csl-citation.json"}</w:instrText>
            </w:r>
            <w:r w:rsidRPr="61786385">
              <w:rPr>
                <w:rFonts w:cs="Times New Roman"/>
              </w:rPr>
              <w:fldChar w:fldCharType="separate"/>
            </w:r>
            <w:r w:rsidR="66CDEBB8" w:rsidRPr="61786385">
              <w:rPr>
                <w:rFonts w:cs="Times New Roman"/>
                <w:noProof/>
              </w:rPr>
              <w:t>(ICAO, 2021)</w:t>
            </w:r>
            <w:r w:rsidRPr="61786385">
              <w:rPr>
                <w:rFonts w:cs="Times New Roman"/>
              </w:rPr>
              <w:fldChar w:fldCharType="end"/>
            </w:r>
            <w:r w:rsidR="66CDEBB8" w:rsidRPr="61786385">
              <w:rPr>
                <w:rFonts w:cs="Times New Roman"/>
              </w:rPr>
              <w:t xml:space="preserve"> </w:t>
            </w:r>
            <w:r w:rsidR="00D2544D" w:rsidRPr="61786385">
              <w:rPr>
                <w:rFonts w:cs="Times New Roman"/>
              </w:rPr>
              <w:t>for soybean oil</w:t>
            </w:r>
          </w:p>
        </w:tc>
      </w:tr>
      <w:tr w:rsidR="00D2544D" w14:paraId="2998E7C0" w14:textId="77777777" w:rsidTr="61786385">
        <w:tc>
          <w:tcPr>
            <w:tcW w:w="1795" w:type="dxa"/>
            <w:vMerge/>
            <w:vAlign w:val="center"/>
          </w:tcPr>
          <w:p w14:paraId="7AE6F53E" w14:textId="77777777" w:rsidR="00D2544D" w:rsidRDefault="00D2544D" w:rsidP="00B55758">
            <w:pPr>
              <w:spacing w:after="0"/>
              <w:rPr>
                <w:rFonts w:cs="Times New Roman"/>
                <w:szCs w:val="24"/>
              </w:rPr>
            </w:pPr>
          </w:p>
        </w:tc>
        <w:tc>
          <w:tcPr>
            <w:tcW w:w="2340" w:type="dxa"/>
            <w:vAlign w:val="center"/>
          </w:tcPr>
          <w:p w14:paraId="095B3F11" w14:textId="77777777" w:rsidR="00D2544D" w:rsidRDefault="00D2544D" w:rsidP="00B55758">
            <w:pPr>
              <w:spacing w:after="0"/>
              <w:jc w:val="center"/>
              <w:rPr>
                <w:rFonts w:cs="Times New Roman"/>
                <w:szCs w:val="24"/>
              </w:rPr>
            </w:pPr>
            <w:r>
              <w:rPr>
                <w:rFonts w:cs="Times New Roman"/>
                <w:szCs w:val="24"/>
              </w:rPr>
              <w:t>Second crop oilseed</w:t>
            </w:r>
          </w:p>
        </w:tc>
        <w:tc>
          <w:tcPr>
            <w:tcW w:w="1440" w:type="dxa"/>
            <w:vAlign w:val="center"/>
          </w:tcPr>
          <w:p w14:paraId="0C8F2640" w14:textId="77777777" w:rsidR="00D2544D" w:rsidRPr="00602117" w:rsidRDefault="00D2544D" w:rsidP="00B55758">
            <w:pPr>
              <w:spacing w:after="0"/>
              <w:jc w:val="center"/>
              <w:rPr>
                <w:rFonts w:cs="Times New Roman"/>
                <w:szCs w:val="24"/>
                <w:highlight w:val="red"/>
              </w:rPr>
            </w:pPr>
            <w:r w:rsidRPr="00E51693">
              <w:rPr>
                <w:rFonts w:cs="Times New Roman"/>
                <w:szCs w:val="24"/>
              </w:rPr>
              <w:t>13.0</w:t>
            </w:r>
          </w:p>
        </w:tc>
        <w:tc>
          <w:tcPr>
            <w:tcW w:w="3775" w:type="dxa"/>
          </w:tcPr>
          <w:p w14:paraId="6ABB2C21" w14:textId="3B409F4D" w:rsidR="00D2544D" w:rsidRDefault="005F3461" w:rsidP="00B55758">
            <w:pPr>
              <w:spacing w:after="0"/>
              <w:rPr>
                <w:rFonts w:cs="Times New Roman"/>
              </w:rPr>
            </w:pPr>
            <w:r w:rsidRPr="61786385">
              <w:rPr>
                <w:rFonts w:cs="Times New Roman"/>
              </w:rPr>
              <w:fldChar w:fldCharType="begin" w:fldLock="1"/>
            </w:r>
            <w:r w:rsidRPr="61786385">
              <w:rPr>
                <w:rFonts w:cs="Times New Roman"/>
              </w:rPr>
              <w:instrText>ADDIN CSL_CITATION {"citationItems":[{"id":"ITEM-1","itemData":{"author":[{"dropping-particle":"","family":"ICAO","given":"","non-dropping-particle":"","parse-names":false,"suffix":""}],"id":"ITEM-1","issued":{"date-parts":[["2021"]]},"number-of-pages":"5","title":"CORSIA Default Life Cycle Emissions Values for CORSIA Eligible Fuels","type":"report"},"uris":["http://www.mendeley.com/documents/?uuid=30f0cd04-cc60-44b7-91df-29440640200d"]}],"mendeley":{"formattedCitation":"(ICAO, 2021)","plainTextFormattedCitation":"(ICAO, 2021)","previouslyFormattedCitation":"(ICAO, 2021)"},"properties":{"noteIndex":0},"schema":"https://github.com/citation-style-language/schema/raw/master/csl-citation.json"}</w:instrText>
            </w:r>
            <w:r w:rsidRPr="61786385">
              <w:rPr>
                <w:rFonts w:cs="Times New Roman"/>
              </w:rPr>
              <w:fldChar w:fldCharType="separate"/>
            </w:r>
            <w:r w:rsidR="53A91918" w:rsidRPr="61786385">
              <w:rPr>
                <w:rFonts w:cs="Times New Roman"/>
                <w:noProof/>
              </w:rPr>
              <w:t>(ICAO, 2021)</w:t>
            </w:r>
            <w:r w:rsidRPr="61786385">
              <w:rPr>
                <w:rFonts w:cs="Times New Roman"/>
              </w:rPr>
              <w:fldChar w:fldCharType="end"/>
            </w:r>
            <w:r w:rsidR="53A91918" w:rsidRPr="61786385">
              <w:rPr>
                <w:rFonts w:cs="Times New Roman"/>
              </w:rPr>
              <w:t xml:space="preserve"> </w:t>
            </w:r>
            <w:r w:rsidR="00D2544D" w:rsidRPr="61786385">
              <w:rPr>
                <w:rFonts w:cs="Times New Roman"/>
              </w:rPr>
              <w:t xml:space="preserve">for brassica </w:t>
            </w:r>
            <w:proofErr w:type="spellStart"/>
            <w:r w:rsidR="00D2544D" w:rsidRPr="61786385">
              <w:rPr>
                <w:rFonts w:cs="Times New Roman"/>
              </w:rPr>
              <w:t>carinata</w:t>
            </w:r>
            <w:proofErr w:type="spellEnd"/>
          </w:p>
        </w:tc>
      </w:tr>
      <w:tr w:rsidR="00D2544D" w14:paraId="32CFFA6A" w14:textId="77777777" w:rsidTr="61786385">
        <w:tc>
          <w:tcPr>
            <w:tcW w:w="1795" w:type="dxa"/>
            <w:vMerge w:val="restart"/>
            <w:vAlign w:val="center"/>
          </w:tcPr>
          <w:p w14:paraId="69FF6A98" w14:textId="77777777" w:rsidR="00D2544D" w:rsidRDefault="00D2544D" w:rsidP="00B55758">
            <w:pPr>
              <w:spacing w:after="0"/>
              <w:rPr>
                <w:rFonts w:cs="Times New Roman"/>
                <w:szCs w:val="24"/>
              </w:rPr>
            </w:pPr>
            <w:r>
              <w:rPr>
                <w:rFonts w:cs="Times New Roman"/>
                <w:szCs w:val="24"/>
              </w:rPr>
              <w:t>FT</w:t>
            </w:r>
          </w:p>
        </w:tc>
        <w:tc>
          <w:tcPr>
            <w:tcW w:w="2340" w:type="dxa"/>
            <w:vAlign w:val="center"/>
          </w:tcPr>
          <w:p w14:paraId="06A92BC1" w14:textId="77777777" w:rsidR="00D2544D" w:rsidRDefault="00D2544D" w:rsidP="00B55758">
            <w:pPr>
              <w:spacing w:after="0"/>
              <w:jc w:val="center"/>
              <w:rPr>
                <w:rFonts w:cs="Times New Roman"/>
                <w:szCs w:val="24"/>
              </w:rPr>
            </w:pPr>
            <w:r>
              <w:rPr>
                <w:rFonts w:cs="Times New Roman"/>
                <w:szCs w:val="24"/>
              </w:rPr>
              <w:t>MSW</w:t>
            </w:r>
          </w:p>
        </w:tc>
        <w:tc>
          <w:tcPr>
            <w:tcW w:w="1440" w:type="dxa"/>
            <w:vAlign w:val="center"/>
          </w:tcPr>
          <w:p w14:paraId="2300391F" w14:textId="77777777" w:rsidR="00D2544D" w:rsidRDefault="00D2544D" w:rsidP="00B55758">
            <w:pPr>
              <w:spacing w:after="0"/>
              <w:jc w:val="center"/>
              <w:rPr>
                <w:rFonts w:cs="Times New Roman"/>
                <w:szCs w:val="24"/>
              </w:rPr>
            </w:pPr>
            <w:r>
              <w:rPr>
                <w:rFonts w:cs="Times New Roman"/>
                <w:szCs w:val="24"/>
              </w:rPr>
              <w:t>27.1</w:t>
            </w:r>
          </w:p>
        </w:tc>
        <w:tc>
          <w:tcPr>
            <w:tcW w:w="3775" w:type="dxa"/>
          </w:tcPr>
          <w:p w14:paraId="5A9C21F8" w14:textId="6040F8F8" w:rsidR="00D2544D" w:rsidRDefault="005F3461" w:rsidP="00B55758">
            <w:pPr>
              <w:spacing w:after="0"/>
              <w:rPr>
                <w:rFonts w:cs="Times New Roman"/>
              </w:rPr>
            </w:pPr>
            <w:r w:rsidRPr="61786385">
              <w:rPr>
                <w:rFonts w:cs="Times New Roman"/>
              </w:rPr>
              <w:fldChar w:fldCharType="begin" w:fldLock="1"/>
            </w:r>
            <w:r w:rsidRPr="61786385">
              <w:rPr>
                <w:rFonts w:cs="Times New Roman"/>
              </w:rPr>
              <w:instrText>ADDIN CSL_CITATION {"citationItems":[{"id":"ITEM-1","itemData":{"author":[{"dropping-particle":"","family":"ICAO","given":"","non-dropping-particle":"","parse-names":false,"suffix":""}],"id":"ITEM-1","issued":{"date-parts":[["2021"]]},"number-of-pages":"5","title":"CORSIA Default Life Cycle Emissions Values for CORSIA Eligible Fuels","type":"report"},"uris":["http://www.mendeley.com/documents/?uuid=30f0cd04-cc60-44b7-91df-29440640200d"]}],"mendeley":{"formattedCitation":"(ICAO, 2021)","plainTextFormattedCitation":"(ICAO, 2021)","previouslyFormattedCitation":"(ICAO, 2021)"},"properties":{"noteIndex":0},"schema":"https://github.com/citation-style-language/schema/raw/master/csl-citation.json"}</w:instrText>
            </w:r>
            <w:r w:rsidRPr="61786385">
              <w:rPr>
                <w:rFonts w:cs="Times New Roman"/>
              </w:rPr>
              <w:fldChar w:fldCharType="separate"/>
            </w:r>
            <w:r w:rsidR="53A91918" w:rsidRPr="61786385">
              <w:rPr>
                <w:rFonts w:cs="Times New Roman"/>
                <w:noProof/>
              </w:rPr>
              <w:t>(ICAO, 2021)</w:t>
            </w:r>
            <w:r w:rsidRPr="61786385">
              <w:rPr>
                <w:rFonts w:cs="Times New Roman"/>
              </w:rPr>
              <w:fldChar w:fldCharType="end"/>
            </w:r>
            <w:r w:rsidR="53A91918" w:rsidRPr="61786385">
              <w:rPr>
                <w:rFonts w:cs="Times New Roman"/>
              </w:rPr>
              <w:t xml:space="preserve"> </w:t>
            </w:r>
            <w:r w:rsidR="00D2544D" w:rsidRPr="61786385">
              <w:rPr>
                <w:rFonts w:cs="Times New Roman"/>
              </w:rPr>
              <w:t xml:space="preserve">with 15% non-biogenic, LEC and REC following </w:t>
            </w:r>
            <w:r w:rsidRPr="61786385">
              <w:rPr>
                <w:rFonts w:cs="Times New Roman"/>
              </w:rPr>
              <w:fldChar w:fldCharType="begin" w:fldLock="1"/>
            </w:r>
            <w:r w:rsidRPr="61786385">
              <w:rPr>
                <w:rFonts w:cs="Times New Roman"/>
              </w:rPr>
              <w:instrText>ADDIN CSL_CITATION {"citationItems":[{"id":"ITEM-1","itemData":{"author":[{"dropping-particle":"","family":"ICAO","given":"","non-dropping-particle":"","parse-names":false,"suffix":""}],"id":"ITEM-1","issue":"November","issued":{"date-parts":[["2019"]]},"number-of-pages":"19","title":"CORSIA Methodology for Calculating Actual Life Cycle Emissions Values","type":"report"},"uris":["http://www.mendeley.com/documents/?uuid=8a9363e7-0cea-4619-af12-01996d385118"]},{"id":"ITEM-2","itemData":{"author":[{"dropping-particle":"","family":"U.S. Environmental Protection Agency","given":"","non-dropping-particle":"","parse-names":false,"suffix":""}],"container-title":"National Overview: Facts and Figures on Materials, Wastes and Recycling","id":"ITEM-2","issued":{"date-parts":[["2018"]]},"title":"Landfilling","type":"webpage"},"uris":["http://www.mendeley.com/documents/?uuid=cc85119b-7b32-4b2a-810c-518cef02cb30"]}],"mendeley":{"formattedCitation":"(U.S. Environmental Protection Agency, 2018; ICAO, 2019)","plainTextFormattedCitation":"(U.S. Environmental Protection Agency, 2018; ICAO, 2019)","previouslyFormattedCitation":"(U.S. Environmental Protection Agency, 2018; ICAO, 2019)"},"properties":{"noteIndex":0},"schema":"https://github.com/citation-style-language/schema/raw/master/csl-citation.json"}</w:instrText>
            </w:r>
            <w:r w:rsidRPr="61786385">
              <w:rPr>
                <w:rFonts w:cs="Times New Roman"/>
              </w:rPr>
              <w:fldChar w:fldCharType="separate"/>
            </w:r>
            <w:r w:rsidR="073E82E5" w:rsidRPr="61786385">
              <w:rPr>
                <w:rFonts w:cs="Times New Roman"/>
                <w:noProof/>
              </w:rPr>
              <w:t>(U.S. Environmental Protection Agency, 2018; ICAO, 2019)</w:t>
            </w:r>
            <w:r w:rsidRPr="61786385">
              <w:rPr>
                <w:rFonts w:cs="Times New Roman"/>
              </w:rPr>
              <w:fldChar w:fldCharType="end"/>
            </w:r>
          </w:p>
        </w:tc>
      </w:tr>
      <w:tr w:rsidR="00D2544D" w14:paraId="3BDA6D30" w14:textId="77777777" w:rsidTr="61786385">
        <w:tc>
          <w:tcPr>
            <w:tcW w:w="1795" w:type="dxa"/>
            <w:vMerge/>
            <w:vAlign w:val="center"/>
          </w:tcPr>
          <w:p w14:paraId="6FC68DBF" w14:textId="77777777" w:rsidR="00D2544D" w:rsidRDefault="00D2544D" w:rsidP="00B55758">
            <w:pPr>
              <w:spacing w:after="0"/>
              <w:rPr>
                <w:rFonts w:cs="Times New Roman"/>
                <w:szCs w:val="24"/>
              </w:rPr>
            </w:pPr>
          </w:p>
        </w:tc>
        <w:tc>
          <w:tcPr>
            <w:tcW w:w="2340" w:type="dxa"/>
            <w:vAlign w:val="center"/>
          </w:tcPr>
          <w:p w14:paraId="2F38BF0A" w14:textId="77777777" w:rsidR="00D2544D" w:rsidRDefault="00D2544D" w:rsidP="00B55758">
            <w:pPr>
              <w:spacing w:after="0"/>
              <w:jc w:val="center"/>
              <w:rPr>
                <w:rFonts w:cs="Times New Roman"/>
                <w:szCs w:val="24"/>
              </w:rPr>
            </w:pPr>
            <w:r>
              <w:rPr>
                <w:rFonts w:cs="Times New Roman"/>
                <w:szCs w:val="24"/>
              </w:rPr>
              <w:t>Agricultural residues</w:t>
            </w:r>
          </w:p>
        </w:tc>
        <w:tc>
          <w:tcPr>
            <w:tcW w:w="1440" w:type="dxa"/>
            <w:vAlign w:val="center"/>
          </w:tcPr>
          <w:p w14:paraId="2F05B6C7" w14:textId="77777777" w:rsidR="00D2544D" w:rsidRDefault="00D2544D" w:rsidP="00B55758">
            <w:pPr>
              <w:spacing w:after="0"/>
              <w:jc w:val="center"/>
              <w:rPr>
                <w:rFonts w:cs="Times New Roman"/>
                <w:szCs w:val="24"/>
              </w:rPr>
            </w:pPr>
            <w:r>
              <w:rPr>
                <w:rFonts w:cs="Times New Roman"/>
                <w:szCs w:val="24"/>
              </w:rPr>
              <w:t>7.7</w:t>
            </w:r>
          </w:p>
        </w:tc>
        <w:tc>
          <w:tcPr>
            <w:tcW w:w="3775" w:type="dxa"/>
          </w:tcPr>
          <w:p w14:paraId="0941C976" w14:textId="0131D1DB" w:rsidR="00D2544D" w:rsidRDefault="00927805" w:rsidP="00B55758">
            <w:pPr>
              <w:spacing w:after="0"/>
              <w:rPr>
                <w:rFonts w:cs="Times New Roman"/>
              </w:rPr>
            </w:pPr>
            <w:r w:rsidRPr="61786385">
              <w:rPr>
                <w:rFonts w:cs="Times New Roman"/>
              </w:rPr>
              <w:fldChar w:fldCharType="begin" w:fldLock="1"/>
            </w:r>
            <w:r w:rsidRPr="61786385">
              <w:rPr>
                <w:rFonts w:cs="Times New Roman"/>
              </w:rPr>
              <w:instrText>ADDIN CSL_CITATION {"citationItems":[{"id":"ITEM-1","itemData":{"author":[{"dropping-particle":"","family":"ICAO","given":"","non-dropping-particle":"","parse-names":false,"suffix":""}],"id":"ITEM-1","issued":{"date-parts":[["2021"]]},"number-of-pages":"5","title":"CORSIA Default Life Cycle Emissions Values for CORSIA Eligible Fuels","type":"report"},"uris":["http://www.mendeley.com/documents/?uuid=30f0cd04-cc60-44b7-91df-29440640200d"]}],"mendeley":{"formattedCitation":"(ICAO, 2021)","plainTextFormattedCitation":"(ICAO, 2021)","previouslyFormattedCitation":"(ICAO, 2021)"},"properties":{"noteIndex":0},"schema":"https://github.com/citation-style-language/schema/raw/master/csl-citation.json"}</w:instrText>
            </w:r>
            <w:r w:rsidRPr="61786385">
              <w:rPr>
                <w:rFonts w:cs="Times New Roman"/>
              </w:rPr>
              <w:fldChar w:fldCharType="separate"/>
            </w:r>
            <w:r w:rsidR="073E82E5" w:rsidRPr="61786385">
              <w:rPr>
                <w:rFonts w:cs="Times New Roman"/>
                <w:noProof/>
              </w:rPr>
              <w:t>(ICAO, 2021)</w:t>
            </w:r>
            <w:r w:rsidRPr="61786385">
              <w:rPr>
                <w:rFonts w:cs="Times New Roman"/>
              </w:rPr>
              <w:fldChar w:fldCharType="end"/>
            </w:r>
          </w:p>
        </w:tc>
      </w:tr>
      <w:tr w:rsidR="00D2544D" w14:paraId="4F7063FE" w14:textId="77777777" w:rsidTr="61786385">
        <w:tc>
          <w:tcPr>
            <w:tcW w:w="1795" w:type="dxa"/>
            <w:vMerge/>
            <w:vAlign w:val="center"/>
          </w:tcPr>
          <w:p w14:paraId="459BA28E" w14:textId="77777777" w:rsidR="00D2544D" w:rsidRDefault="00D2544D" w:rsidP="00B55758">
            <w:pPr>
              <w:spacing w:after="0"/>
              <w:rPr>
                <w:rFonts w:cs="Times New Roman"/>
                <w:szCs w:val="24"/>
              </w:rPr>
            </w:pPr>
          </w:p>
        </w:tc>
        <w:tc>
          <w:tcPr>
            <w:tcW w:w="2340" w:type="dxa"/>
            <w:vAlign w:val="center"/>
          </w:tcPr>
          <w:p w14:paraId="7EB7EC70" w14:textId="77777777" w:rsidR="00D2544D" w:rsidRDefault="00D2544D" w:rsidP="00B55758">
            <w:pPr>
              <w:spacing w:after="0"/>
              <w:jc w:val="center"/>
              <w:rPr>
                <w:rFonts w:cs="Times New Roman"/>
                <w:szCs w:val="24"/>
              </w:rPr>
            </w:pPr>
            <w:r>
              <w:rPr>
                <w:rFonts w:cs="Times New Roman"/>
                <w:szCs w:val="24"/>
              </w:rPr>
              <w:t>Forest residuals</w:t>
            </w:r>
          </w:p>
        </w:tc>
        <w:tc>
          <w:tcPr>
            <w:tcW w:w="1440" w:type="dxa"/>
            <w:vAlign w:val="center"/>
          </w:tcPr>
          <w:p w14:paraId="70F67022" w14:textId="77777777" w:rsidR="00D2544D" w:rsidRDefault="00D2544D" w:rsidP="00B55758">
            <w:pPr>
              <w:spacing w:after="0"/>
              <w:jc w:val="center"/>
              <w:rPr>
                <w:rFonts w:cs="Times New Roman"/>
                <w:szCs w:val="24"/>
              </w:rPr>
            </w:pPr>
            <w:r>
              <w:rPr>
                <w:rFonts w:cs="Times New Roman"/>
                <w:szCs w:val="24"/>
              </w:rPr>
              <w:t>8.3</w:t>
            </w:r>
          </w:p>
        </w:tc>
        <w:tc>
          <w:tcPr>
            <w:tcW w:w="3775" w:type="dxa"/>
          </w:tcPr>
          <w:p w14:paraId="3938B479" w14:textId="4E9C99E5" w:rsidR="00D2544D" w:rsidRDefault="004B385C" w:rsidP="00B55758">
            <w:pPr>
              <w:spacing w:after="0"/>
              <w:rPr>
                <w:rFonts w:cs="Times New Roman"/>
              </w:rPr>
            </w:pPr>
            <w:r w:rsidRPr="61786385">
              <w:rPr>
                <w:rFonts w:cs="Times New Roman"/>
              </w:rPr>
              <w:fldChar w:fldCharType="begin" w:fldLock="1"/>
            </w:r>
            <w:r w:rsidRPr="61786385">
              <w:rPr>
                <w:rFonts w:cs="Times New Roman"/>
              </w:rPr>
              <w:instrText>ADDIN CSL_CITATION {"citationItems":[{"id":"ITEM-1","itemData":{"author":[{"dropping-particle":"","family":"ICAO","given":"","non-dropping-particle":"","parse-names":false,"suffix":""}],"id":"ITEM-1","issued":{"date-parts":[["2021"]]},"number-of-pages":"5","title":"CORSIA Default Life Cycle Emissions Values for CORSIA Eligible Fuels","type":"report"},"uris":["http://www.mendeley.com/documents/?uuid=30f0cd04-cc60-44b7-91df-29440640200d"]}],"mendeley":{"formattedCitation":"(ICAO, 2021)","plainTextFormattedCitation":"(ICAO, 2021)","previouslyFormattedCitation":"(ICAO, 2021)"},"properties":{"noteIndex":0},"schema":"https://github.com/citation-style-language/schema/raw/master/csl-citation.json"}</w:instrText>
            </w:r>
            <w:r w:rsidRPr="61786385">
              <w:rPr>
                <w:rFonts w:cs="Times New Roman"/>
              </w:rPr>
              <w:fldChar w:fldCharType="separate"/>
            </w:r>
            <w:r w:rsidR="31311024" w:rsidRPr="61786385">
              <w:rPr>
                <w:rFonts w:cs="Times New Roman"/>
                <w:noProof/>
              </w:rPr>
              <w:t>(ICAO, 2021)</w:t>
            </w:r>
            <w:r w:rsidRPr="61786385">
              <w:rPr>
                <w:rFonts w:cs="Times New Roman"/>
              </w:rPr>
              <w:fldChar w:fldCharType="end"/>
            </w:r>
          </w:p>
        </w:tc>
      </w:tr>
      <w:tr w:rsidR="00D2544D" w14:paraId="2DC517B3" w14:textId="77777777" w:rsidTr="61786385">
        <w:tc>
          <w:tcPr>
            <w:tcW w:w="1795" w:type="dxa"/>
            <w:vMerge/>
            <w:vAlign w:val="center"/>
          </w:tcPr>
          <w:p w14:paraId="25B8DF8A" w14:textId="77777777" w:rsidR="00D2544D" w:rsidRDefault="00D2544D" w:rsidP="00B55758">
            <w:pPr>
              <w:spacing w:after="0"/>
              <w:rPr>
                <w:rFonts w:cs="Times New Roman"/>
                <w:szCs w:val="24"/>
              </w:rPr>
            </w:pPr>
          </w:p>
        </w:tc>
        <w:tc>
          <w:tcPr>
            <w:tcW w:w="2340" w:type="dxa"/>
            <w:vAlign w:val="center"/>
          </w:tcPr>
          <w:p w14:paraId="406489EC" w14:textId="77777777" w:rsidR="00D2544D" w:rsidRDefault="00D2544D" w:rsidP="00B55758">
            <w:pPr>
              <w:spacing w:after="0"/>
              <w:jc w:val="center"/>
              <w:rPr>
                <w:rFonts w:cs="Times New Roman"/>
                <w:szCs w:val="24"/>
              </w:rPr>
            </w:pPr>
            <w:r>
              <w:rPr>
                <w:rFonts w:cs="Times New Roman"/>
                <w:szCs w:val="24"/>
              </w:rPr>
              <w:t>Flue gas*</w:t>
            </w:r>
          </w:p>
        </w:tc>
        <w:tc>
          <w:tcPr>
            <w:tcW w:w="1440" w:type="dxa"/>
            <w:vAlign w:val="center"/>
          </w:tcPr>
          <w:p w14:paraId="6C0C05F0" w14:textId="77777777" w:rsidR="00D2544D" w:rsidRDefault="00D2544D" w:rsidP="00B55758">
            <w:pPr>
              <w:spacing w:after="0"/>
              <w:jc w:val="center"/>
              <w:rPr>
                <w:rFonts w:cs="Times New Roman"/>
                <w:szCs w:val="24"/>
              </w:rPr>
            </w:pPr>
            <w:r>
              <w:rPr>
                <w:rFonts w:cs="Times New Roman"/>
                <w:szCs w:val="24"/>
              </w:rPr>
              <w:t>9.0</w:t>
            </w:r>
          </w:p>
        </w:tc>
        <w:tc>
          <w:tcPr>
            <w:tcW w:w="3775" w:type="dxa"/>
          </w:tcPr>
          <w:p w14:paraId="244CB4E9" w14:textId="084D9683" w:rsidR="00D2544D" w:rsidRDefault="00D2544D" w:rsidP="00B55758">
            <w:pPr>
              <w:spacing w:after="0"/>
              <w:rPr>
                <w:rFonts w:cs="Times New Roman"/>
              </w:rPr>
            </w:pPr>
            <w:r w:rsidRPr="61786385">
              <w:rPr>
                <w:rFonts w:cs="Times New Roman"/>
              </w:rPr>
              <w:t xml:space="preserve">Adapted from </w:t>
            </w:r>
            <w:r w:rsidRPr="61786385">
              <w:rPr>
                <w:rFonts w:cs="Times New Roman"/>
              </w:rPr>
              <w:fldChar w:fldCharType="begin" w:fldLock="1"/>
            </w:r>
            <w:r w:rsidRPr="61786385">
              <w:rPr>
                <w:rFonts w:cs="Times New Roman"/>
              </w:rPr>
              <w:instrText>ADDIN CSL_CITATION {"citationItems":[{"id":"ITEM-1","itemData":{"DOI":"https://doi.org/10.1021/acs.est.0c07674","ISSN":"0013-936X","author":[{"dropping-particle":"","family":"Isaacs","given":"Stewart A","non-dropping-particle":"","parse-names":false,"suffix":""},{"dropping-particle":"","family":"Staples","given":"Mark D","non-dropping-particle":"","parse-names":false,"suffix":""},{"dropping-particle":"","family":"Allroggen","given":"Florian","non-dropping-particle":"","parse-names":false,"suffix":""},{"dropping-particle":"","family":"Mallapragada","given":"Dharik S","non-dropping-particle":"","parse-names":false,"suffix":""},{"dropping-particle":"","family":"Falter","given":"Christoph P","non-dropping-particle":"","parse-names":false,"suffix":""},{"dropping-particle":"","family":"Barrett","given":"Steven R H","non-dropping-particle":"","parse-names":false,"suffix":""}],"container-title":"Environmental Science &amp; Technology","id":"ITEM-1","issue":"12","issued":{"date-parts":[["2021"]]},"page":"8247-8257","publisher":"ACS Publications","title":"Environmental and Economic Performance of Hybrid Power-to-Liquid and Biomass-to-Liquid Fuel Production in the United States","type":"article-journal","volume":"55"},"uris":["http://www.mendeley.com/documents/?uuid=89418351-2956-419e-8c72-6b2d988cab26"]}],"mendeley":{"formattedCitation":"(Isaacs et al., 2021)","plainTextFormattedCitation":"(Isaacs et al., 2021)","previouslyFormattedCitation":"(Isaacs et al., 2021)"},"properties":{"noteIndex":0},"schema":"https://github.com/citation-style-language/schema/raw/master/csl-citation.json"}</w:instrText>
            </w:r>
            <w:r w:rsidRPr="61786385">
              <w:rPr>
                <w:rFonts w:cs="Times New Roman"/>
              </w:rPr>
              <w:fldChar w:fldCharType="separate"/>
            </w:r>
            <w:r w:rsidR="31311024" w:rsidRPr="61786385">
              <w:rPr>
                <w:rFonts w:cs="Times New Roman"/>
                <w:noProof/>
              </w:rPr>
              <w:t>(Isaacs et al., 2021)</w:t>
            </w:r>
            <w:r w:rsidRPr="61786385">
              <w:rPr>
                <w:rFonts w:cs="Times New Roman"/>
              </w:rPr>
              <w:fldChar w:fldCharType="end"/>
            </w:r>
          </w:p>
        </w:tc>
      </w:tr>
      <w:tr w:rsidR="00D2544D" w14:paraId="1BB43E86" w14:textId="77777777" w:rsidTr="61786385">
        <w:tc>
          <w:tcPr>
            <w:tcW w:w="1795" w:type="dxa"/>
            <w:vMerge/>
            <w:vAlign w:val="center"/>
          </w:tcPr>
          <w:p w14:paraId="7D2B0BAF" w14:textId="77777777" w:rsidR="00D2544D" w:rsidRDefault="00D2544D" w:rsidP="00B55758">
            <w:pPr>
              <w:spacing w:after="0"/>
              <w:rPr>
                <w:rFonts w:cs="Times New Roman"/>
                <w:szCs w:val="24"/>
              </w:rPr>
            </w:pPr>
          </w:p>
        </w:tc>
        <w:tc>
          <w:tcPr>
            <w:tcW w:w="2340" w:type="dxa"/>
            <w:vAlign w:val="center"/>
          </w:tcPr>
          <w:p w14:paraId="776C3AB9" w14:textId="77777777" w:rsidR="00D2544D" w:rsidRDefault="00D2544D" w:rsidP="00B55758">
            <w:pPr>
              <w:spacing w:after="0"/>
              <w:jc w:val="center"/>
              <w:rPr>
                <w:rFonts w:cs="Times New Roman"/>
                <w:szCs w:val="24"/>
              </w:rPr>
            </w:pPr>
            <w:r>
              <w:rPr>
                <w:rFonts w:cs="Times New Roman"/>
                <w:szCs w:val="24"/>
              </w:rPr>
              <w:t>DAC*</w:t>
            </w:r>
          </w:p>
        </w:tc>
        <w:tc>
          <w:tcPr>
            <w:tcW w:w="1440" w:type="dxa"/>
            <w:vAlign w:val="center"/>
          </w:tcPr>
          <w:p w14:paraId="0E15B8AE" w14:textId="77777777" w:rsidR="00D2544D" w:rsidRDefault="00D2544D" w:rsidP="00B55758">
            <w:pPr>
              <w:spacing w:after="0"/>
              <w:jc w:val="center"/>
              <w:rPr>
                <w:rFonts w:cs="Times New Roman"/>
                <w:szCs w:val="24"/>
              </w:rPr>
            </w:pPr>
            <w:r>
              <w:rPr>
                <w:rFonts w:cs="Times New Roman"/>
                <w:szCs w:val="24"/>
              </w:rPr>
              <w:t>9.0</w:t>
            </w:r>
          </w:p>
        </w:tc>
        <w:tc>
          <w:tcPr>
            <w:tcW w:w="3775" w:type="dxa"/>
          </w:tcPr>
          <w:p w14:paraId="725AAD38" w14:textId="0FF28812" w:rsidR="00D2544D" w:rsidRDefault="00D2544D" w:rsidP="00B55758">
            <w:pPr>
              <w:spacing w:after="0"/>
              <w:rPr>
                <w:rFonts w:cs="Times New Roman"/>
              </w:rPr>
            </w:pPr>
            <w:r w:rsidRPr="61786385">
              <w:rPr>
                <w:rFonts w:cs="Times New Roman"/>
              </w:rPr>
              <w:t xml:space="preserve">Adapted from </w:t>
            </w:r>
            <w:r w:rsidRPr="61786385">
              <w:rPr>
                <w:rFonts w:cs="Times New Roman"/>
              </w:rPr>
              <w:fldChar w:fldCharType="begin" w:fldLock="1"/>
            </w:r>
            <w:r w:rsidRPr="61786385">
              <w:rPr>
                <w:rFonts w:cs="Times New Roman"/>
              </w:rPr>
              <w:instrText>ADDIN CSL_CITATION {"citationItems":[{"id":"ITEM-1","itemData":{"DOI":"https://doi.org/10.1021/acs.est.0c07674","ISSN":"0013-936X","author":[{"dropping-particle":"","family":"Isaacs","given":"Stewart A","non-dropping-particle":"","parse-names":false,"suffix":""},{"dropping-particle":"","family":"Staples","given":"Mark D","non-dropping-particle":"","parse-names":false,"suffix":""},{"dropping-particle":"","family":"Allroggen","given":"Florian","non-dropping-particle":"","parse-names":false,"suffix":""},{"dropping-particle":"","family":"Mallapragada","given":"Dharik S","non-dropping-particle":"","parse-names":false,"suffix":""},{"dropping-particle":"","family":"Falter","given":"Christoph P","non-dropping-particle":"","parse-names":false,"suffix":""},{"dropping-particle":"","family":"Barrett","given":"Steven R H","non-dropping-particle":"","parse-names":false,"suffix":""}],"container-title":"Environmental Science &amp; Technology","id":"ITEM-1","issue":"12","issued":{"date-parts":[["2021"]]},"page":"8247-8257","publisher":"ACS Publications","title":"Environmental and Economic Performance of Hybrid Power-to-Liquid and Biomass-to-Liquid Fuel Production in the United States","type":"article-journal","volume":"55"},"uris":["http://www.mendeley.com/documents/?uuid=89418351-2956-419e-8c72-6b2d988cab26"]}],"mendeley":{"formattedCitation":"(Isaacs et al., 2021)","plainTextFormattedCitation":"(Isaacs et al., 2021)","previouslyFormattedCitation":"(Isaacs et al., 2021)"},"properties":{"noteIndex":0},"schema":"https://github.com/citation-style-language/schema/raw/master/csl-citation.json"}</w:instrText>
            </w:r>
            <w:r w:rsidRPr="61786385">
              <w:rPr>
                <w:rFonts w:cs="Times New Roman"/>
              </w:rPr>
              <w:fldChar w:fldCharType="separate"/>
            </w:r>
            <w:r w:rsidR="707DC3FE" w:rsidRPr="61786385">
              <w:rPr>
                <w:rFonts w:cs="Times New Roman"/>
                <w:noProof/>
              </w:rPr>
              <w:t>(Isaacs et al., 2021)</w:t>
            </w:r>
            <w:r w:rsidRPr="61786385">
              <w:rPr>
                <w:rFonts w:cs="Times New Roman"/>
              </w:rPr>
              <w:fldChar w:fldCharType="end"/>
            </w:r>
          </w:p>
        </w:tc>
      </w:tr>
      <w:tr w:rsidR="00D2544D" w14:paraId="4B51F92E" w14:textId="77777777" w:rsidTr="61786385">
        <w:tc>
          <w:tcPr>
            <w:tcW w:w="1795" w:type="dxa"/>
            <w:vMerge w:val="restart"/>
            <w:vAlign w:val="center"/>
          </w:tcPr>
          <w:p w14:paraId="6CCF53D9" w14:textId="77777777" w:rsidR="00D2544D" w:rsidRDefault="00D2544D" w:rsidP="00B55758">
            <w:pPr>
              <w:spacing w:after="0"/>
              <w:rPr>
                <w:rFonts w:cs="Times New Roman"/>
                <w:szCs w:val="24"/>
              </w:rPr>
            </w:pPr>
            <w:r>
              <w:rPr>
                <w:rFonts w:cs="Times New Roman"/>
                <w:szCs w:val="24"/>
              </w:rPr>
              <w:t>ATJ</w:t>
            </w:r>
          </w:p>
        </w:tc>
        <w:tc>
          <w:tcPr>
            <w:tcW w:w="2340" w:type="dxa"/>
            <w:vAlign w:val="center"/>
          </w:tcPr>
          <w:p w14:paraId="68D09C5F" w14:textId="77777777" w:rsidR="00D2544D" w:rsidRDefault="00D2544D" w:rsidP="00B55758">
            <w:pPr>
              <w:spacing w:after="0"/>
              <w:jc w:val="center"/>
              <w:rPr>
                <w:rFonts w:cs="Times New Roman"/>
                <w:szCs w:val="24"/>
              </w:rPr>
            </w:pPr>
            <w:r>
              <w:rPr>
                <w:rFonts w:cs="Times New Roman"/>
                <w:szCs w:val="24"/>
              </w:rPr>
              <w:t>Corn ethanol</w:t>
            </w:r>
          </w:p>
        </w:tc>
        <w:tc>
          <w:tcPr>
            <w:tcW w:w="1440" w:type="dxa"/>
            <w:vAlign w:val="center"/>
          </w:tcPr>
          <w:p w14:paraId="260BE21F" w14:textId="77777777" w:rsidR="00D2544D" w:rsidRPr="0075008B" w:rsidRDefault="00D2544D" w:rsidP="00B55758">
            <w:pPr>
              <w:spacing w:after="0"/>
              <w:jc w:val="center"/>
              <w:rPr>
                <w:rFonts w:cs="Times New Roman"/>
                <w:szCs w:val="24"/>
              </w:rPr>
            </w:pPr>
            <w:r w:rsidRPr="0075008B">
              <w:rPr>
                <w:rFonts w:cs="Times New Roman"/>
                <w:szCs w:val="24"/>
              </w:rPr>
              <w:t>69.0</w:t>
            </w:r>
          </w:p>
        </w:tc>
        <w:tc>
          <w:tcPr>
            <w:tcW w:w="3775" w:type="dxa"/>
          </w:tcPr>
          <w:p w14:paraId="30EE9189" w14:textId="77777777" w:rsidR="00D2544D" w:rsidRDefault="00D2544D" w:rsidP="00B55758">
            <w:pPr>
              <w:spacing w:after="0"/>
              <w:rPr>
                <w:rFonts w:cs="Times New Roman"/>
                <w:szCs w:val="24"/>
              </w:rPr>
            </w:pPr>
            <w:r>
              <w:rPr>
                <w:rFonts w:cs="Times New Roman"/>
                <w:szCs w:val="24"/>
              </w:rPr>
              <w:t>Median, non-archived certified CI in CA LCFS program for corn ethanol</w:t>
            </w:r>
          </w:p>
        </w:tc>
      </w:tr>
      <w:tr w:rsidR="00D2544D" w14:paraId="02D74C30" w14:textId="77777777" w:rsidTr="61786385">
        <w:tc>
          <w:tcPr>
            <w:tcW w:w="1795" w:type="dxa"/>
            <w:vMerge/>
          </w:tcPr>
          <w:p w14:paraId="22D12D55" w14:textId="77777777" w:rsidR="00D2544D" w:rsidRDefault="00D2544D" w:rsidP="00B55758">
            <w:pPr>
              <w:spacing w:after="0"/>
              <w:rPr>
                <w:rFonts w:cs="Times New Roman"/>
                <w:szCs w:val="24"/>
              </w:rPr>
            </w:pPr>
          </w:p>
        </w:tc>
        <w:tc>
          <w:tcPr>
            <w:tcW w:w="2340" w:type="dxa"/>
            <w:vAlign w:val="center"/>
          </w:tcPr>
          <w:p w14:paraId="4DC4E4A1" w14:textId="77777777" w:rsidR="00D2544D" w:rsidRDefault="00D2544D" w:rsidP="00B55758">
            <w:pPr>
              <w:spacing w:after="0"/>
              <w:jc w:val="center"/>
              <w:rPr>
                <w:rFonts w:cs="Times New Roman"/>
                <w:szCs w:val="24"/>
              </w:rPr>
            </w:pPr>
            <w:r>
              <w:rPr>
                <w:rFonts w:cs="Times New Roman"/>
                <w:szCs w:val="24"/>
              </w:rPr>
              <w:t>2G ethanol</w:t>
            </w:r>
          </w:p>
        </w:tc>
        <w:tc>
          <w:tcPr>
            <w:tcW w:w="1440" w:type="dxa"/>
            <w:vAlign w:val="center"/>
          </w:tcPr>
          <w:p w14:paraId="1583CAA9" w14:textId="77777777" w:rsidR="00D2544D" w:rsidRPr="0075008B" w:rsidRDefault="00D2544D" w:rsidP="00B55758">
            <w:pPr>
              <w:spacing w:after="0"/>
              <w:jc w:val="center"/>
              <w:rPr>
                <w:rFonts w:cs="Times New Roman"/>
                <w:szCs w:val="24"/>
              </w:rPr>
            </w:pPr>
            <w:r w:rsidRPr="0075008B">
              <w:rPr>
                <w:rFonts w:cs="Times New Roman"/>
                <w:szCs w:val="24"/>
              </w:rPr>
              <w:t>27.5</w:t>
            </w:r>
          </w:p>
        </w:tc>
        <w:tc>
          <w:tcPr>
            <w:tcW w:w="3775" w:type="dxa"/>
          </w:tcPr>
          <w:p w14:paraId="7C026485" w14:textId="77777777" w:rsidR="00D2544D" w:rsidRDefault="00D2544D" w:rsidP="00B55758">
            <w:pPr>
              <w:spacing w:after="0"/>
              <w:rPr>
                <w:rFonts w:cs="Times New Roman"/>
                <w:szCs w:val="24"/>
              </w:rPr>
            </w:pPr>
            <w:r>
              <w:rPr>
                <w:rFonts w:cs="Times New Roman"/>
                <w:szCs w:val="24"/>
              </w:rPr>
              <w:t>Median, non-archived certified CI in CA LCFS program for 2G ethanol</w:t>
            </w:r>
          </w:p>
        </w:tc>
      </w:tr>
    </w:tbl>
    <w:p w14:paraId="1892894F" w14:textId="77777777" w:rsidR="00D2544D" w:rsidRPr="009819A3" w:rsidRDefault="00D2544D" w:rsidP="00D2544D">
      <w:pPr>
        <w:rPr>
          <w:rFonts w:cs="Times New Roman"/>
          <w:szCs w:val="24"/>
        </w:rPr>
      </w:pPr>
      <w:r>
        <w:rPr>
          <w:rFonts w:cs="Times New Roman"/>
          <w:szCs w:val="24"/>
        </w:rPr>
        <w:t>*Assumes green hydrogen and renewable electricity</w:t>
      </w:r>
    </w:p>
    <w:p w14:paraId="48AA5433" w14:textId="77777777" w:rsidR="00D2544D" w:rsidRPr="00F06406" w:rsidRDefault="00D2544D" w:rsidP="00D2544D">
      <w:pPr>
        <w:rPr>
          <w:rFonts w:cs="Times New Roman"/>
          <w:b/>
          <w:bCs/>
          <w:szCs w:val="24"/>
        </w:rPr>
      </w:pPr>
      <w:r>
        <w:rPr>
          <w:rFonts w:cs="Times New Roman"/>
          <w:b/>
          <w:bCs/>
          <w:szCs w:val="24"/>
        </w:rPr>
        <w:t>SI 2.2</w:t>
      </w:r>
      <w:r>
        <w:rPr>
          <w:rFonts w:cs="Times New Roman"/>
          <w:b/>
          <w:bCs/>
          <w:szCs w:val="24"/>
        </w:rPr>
        <w:tab/>
      </w:r>
      <w:r w:rsidRPr="00F06406">
        <w:rPr>
          <w:rFonts w:cs="Times New Roman"/>
          <w:b/>
          <w:bCs/>
          <w:szCs w:val="24"/>
        </w:rPr>
        <w:t>RINs</w:t>
      </w:r>
    </w:p>
    <w:p w14:paraId="496CF15B" w14:textId="5B5BD404" w:rsidR="00D2544D" w:rsidRDefault="00D2544D" w:rsidP="61786385">
      <w:pPr>
        <w:rPr>
          <w:rFonts w:cs="Times New Roman"/>
        </w:rPr>
      </w:pPr>
      <w:r w:rsidRPr="61786385">
        <w:rPr>
          <w:rFonts w:cs="Times New Roman"/>
        </w:rPr>
        <w:t xml:space="preserve">The values of </w:t>
      </w:r>
      <w:r w:rsidR="586AC6CA" w:rsidRPr="61786385">
        <w:rPr>
          <w:rFonts w:eastAsia="Times New Roman" w:cs="Times New Roman"/>
          <w:szCs w:val="24"/>
        </w:rPr>
        <w:t xml:space="preserve">Renewable Fuel Standard (RFS) Renewable Identification Numbers (RINs) </w:t>
      </w:r>
      <w:r w:rsidRPr="61786385">
        <w:rPr>
          <w:rFonts w:cs="Times New Roman"/>
        </w:rPr>
        <w:t xml:space="preserve">are dependent on the RIN type and timeframe selected.  The median value per RIN type between 2014-2020 was selected for this analysis </w:t>
      </w:r>
      <w:r w:rsidRPr="61786385">
        <w:rPr>
          <w:rFonts w:cs="Times New Roman"/>
        </w:rPr>
        <w:fldChar w:fldCharType="begin" w:fldLock="1"/>
      </w:r>
      <w:r w:rsidR="001053B4" w:rsidRPr="61786385">
        <w:rPr>
          <w:rFonts w:cs="Times New Roman"/>
        </w:rPr>
        <w:instrText>ADDIN CSL_CITATION {"citationItems":[{"id":"ITEM-1","itemData":{"URL":"https://www.epa.gov/renewable-fuel-standard-program","accessed":{"date-parts":[["2021","7","14"]]},"author":[{"dropping-particle":"","family":"Environmental Protection Agency (EPA)","given":"","non-dropping-particle":"","parse-names":false,"suffix":""}],"id":"ITEM-1","issued":{"date-parts":[["2021"]]},"title":"Renewable Fuel Standard Program","type":"webpage"},"uris":["http://www.mendeley.com/documents/?uuid=4630d763-e880-4aa8-a0f4-702d558b9677"]}],"mendeley":{"formattedCitation":"(Environmental Protection Agency (EPA), 2021)","plainTextFormattedCitation":"(Environmental Protection Agency (EPA), 2021)","previouslyFormattedCitation":"(Environmental Protection Agency (EPA), 2021)"},"properties":{"noteIndex":0},"schema":"https://github.com/citation-style-language/schema/raw/master/csl-citation.json"}</w:instrText>
      </w:r>
      <w:r w:rsidRPr="61786385">
        <w:rPr>
          <w:rFonts w:cs="Times New Roman"/>
        </w:rPr>
        <w:fldChar w:fldCharType="separate"/>
      </w:r>
      <w:r w:rsidR="000804E9" w:rsidRPr="61786385">
        <w:rPr>
          <w:rFonts w:cs="Times New Roman"/>
          <w:noProof/>
        </w:rPr>
        <w:t>(Environmental Protection Agency (EPA), 2021)</w:t>
      </w:r>
      <w:r w:rsidRPr="61786385">
        <w:rPr>
          <w:rFonts w:cs="Times New Roman"/>
        </w:rPr>
        <w:fldChar w:fldCharType="end"/>
      </w:r>
      <w:r w:rsidRPr="61786385">
        <w:rPr>
          <w:rFonts w:cs="Times New Roman"/>
        </w:rPr>
        <w:t>. Each conversion pathway has an associated RIN code (</w:t>
      </w:r>
      <w:r w:rsidRPr="61786385">
        <w:rPr>
          <w:rFonts w:cs="Times New Roman"/>
        </w:rPr>
        <w:fldChar w:fldCharType="begin"/>
      </w:r>
      <w:r w:rsidRPr="61786385">
        <w:rPr>
          <w:rFonts w:cs="Times New Roman"/>
        </w:rPr>
        <w:instrText xml:space="preserve"> REF _Ref87438112 \h  \* MERGEFORMAT </w:instrText>
      </w:r>
      <w:r w:rsidRPr="61786385">
        <w:rPr>
          <w:rFonts w:cs="Times New Roman"/>
        </w:rPr>
      </w:r>
      <w:r w:rsidRPr="61786385">
        <w:rPr>
          <w:rFonts w:cs="Times New Roman"/>
        </w:rPr>
        <w:fldChar w:fldCharType="separate"/>
      </w:r>
      <w:r w:rsidRPr="61786385">
        <w:rPr>
          <w:rFonts w:cs="Times New Roman"/>
        </w:rPr>
        <w:t xml:space="preserve">Table </w:t>
      </w:r>
      <w:r w:rsidRPr="61786385">
        <w:rPr>
          <w:rFonts w:cs="Times New Roman"/>
          <w:noProof/>
        </w:rPr>
        <w:t>3</w:t>
      </w:r>
      <w:r w:rsidRPr="61786385">
        <w:rPr>
          <w:rFonts w:cs="Times New Roman"/>
        </w:rPr>
        <w:fldChar w:fldCharType="end"/>
      </w:r>
      <w:r w:rsidRPr="61786385">
        <w:rPr>
          <w:rFonts w:cs="Times New Roman"/>
        </w:rPr>
        <w:t>). The reported RIN values are then scaled based on the energy density of the fuel. RINs were modeled as taxable income and were subject to inflation, so the value increases over the plant life. Cellulosic diesel, D7 RINs do not have reported monetary value and thus cellulosic biofuel, D3 RIN, values were used.</w:t>
      </w:r>
    </w:p>
    <w:p w14:paraId="73741F2D" w14:textId="3027B063" w:rsidR="00D2544D" w:rsidRPr="004C38A4" w:rsidRDefault="009209B0" w:rsidP="61786385">
      <w:pPr>
        <w:pStyle w:val="Caption"/>
        <w:rPr>
          <w:i/>
          <w:iCs/>
        </w:rPr>
      </w:pPr>
      <w:bookmarkStart w:id="2" w:name="_Ref87438112"/>
      <w:r>
        <w:t xml:space="preserve">Supplementary Material </w:t>
      </w:r>
      <w:r w:rsidR="00D2544D">
        <w:t xml:space="preserve">Table </w:t>
      </w:r>
      <w:r w:rsidRPr="61786385">
        <w:fldChar w:fldCharType="begin"/>
      </w:r>
      <w:r>
        <w:instrText xml:space="preserve"> SEQ Table \* ARABIC </w:instrText>
      </w:r>
      <w:r w:rsidRPr="61786385">
        <w:fldChar w:fldCharType="separate"/>
      </w:r>
      <w:r w:rsidR="00D2544D" w:rsidRPr="61786385">
        <w:rPr>
          <w:noProof/>
        </w:rPr>
        <w:t>3</w:t>
      </w:r>
      <w:r w:rsidRPr="61786385">
        <w:rPr>
          <w:noProof/>
        </w:rPr>
        <w:fldChar w:fldCharType="end"/>
      </w:r>
      <w:bookmarkEnd w:id="2"/>
      <w:r w:rsidR="00D2544D">
        <w:t xml:space="preserve">: RIN codes, minimum </w:t>
      </w:r>
      <w:r w:rsidR="237D1D04">
        <w:t>greenhouse gas emissions (GHG)</w:t>
      </w:r>
      <w:r w:rsidR="00D2544D">
        <w:t xml:space="preserve"> reduction requirements for selected conversion pathways.</w:t>
      </w:r>
    </w:p>
    <w:tbl>
      <w:tblPr>
        <w:tblStyle w:val="TableGrid"/>
        <w:tblW w:w="0" w:type="auto"/>
        <w:tblLook w:val="04A0" w:firstRow="1" w:lastRow="0" w:firstColumn="1" w:lastColumn="0" w:noHBand="0" w:noVBand="1"/>
      </w:tblPr>
      <w:tblGrid>
        <w:gridCol w:w="2135"/>
        <w:gridCol w:w="1803"/>
        <w:gridCol w:w="1804"/>
        <w:gridCol w:w="1804"/>
        <w:gridCol w:w="1804"/>
      </w:tblGrid>
      <w:tr w:rsidR="00D2544D" w14:paraId="3EF7BA50" w14:textId="77777777" w:rsidTr="61786385">
        <w:tc>
          <w:tcPr>
            <w:tcW w:w="2135" w:type="dxa"/>
          </w:tcPr>
          <w:p w14:paraId="48DCE97F" w14:textId="77777777" w:rsidR="00D2544D" w:rsidRDefault="00D2544D" w:rsidP="002C6FD0">
            <w:pPr>
              <w:spacing w:after="0"/>
              <w:rPr>
                <w:rFonts w:cs="Times New Roman"/>
                <w:szCs w:val="24"/>
              </w:rPr>
            </w:pPr>
            <w:r>
              <w:rPr>
                <w:rFonts w:cs="Times New Roman"/>
                <w:szCs w:val="24"/>
              </w:rPr>
              <w:t>RIN Code</w:t>
            </w:r>
          </w:p>
        </w:tc>
        <w:tc>
          <w:tcPr>
            <w:tcW w:w="1803" w:type="dxa"/>
          </w:tcPr>
          <w:p w14:paraId="5DF6998E" w14:textId="77777777" w:rsidR="00D2544D" w:rsidRDefault="00D2544D" w:rsidP="002C6FD0">
            <w:pPr>
              <w:spacing w:after="0"/>
              <w:rPr>
                <w:rFonts w:cs="Times New Roman"/>
                <w:szCs w:val="24"/>
              </w:rPr>
            </w:pPr>
            <w:r>
              <w:rPr>
                <w:rFonts w:cs="Times New Roman"/>
                <w:szCs w:val="24"/>
              </w:rPr>
              <w:t>GHG Reduction</w:t>
            </w:r>
          </w:p>
        </w:tc>
        <w:tc>
          <w:tcPr>
            <w:tcW w:w="1804" w:type="dxa"/>
          </w:tcPr>
          <w:p w14:paraId="586DD66B" w14:textId="77777777" w:rsidR="00D2544D" w:rsidRDefault="00D2544D" w:rsidP="002C6FD0">
            <w:pPr>
              <w:spacing w:after="0"/>
              <w:rPr>
                <w:rFonts w:cs="Times New Roman"/>
                <w:szCs w:val="24"/>
              </w:rPr>
            </w:pPr>
            <w:r>
              <w:rPr>
                <w:rFonts w:cs="Times New Roman"/>
                <w:szCs w:val="24"/>
              </w:rPr>
              <w:t>Fuel Type</w:t>
            </w:r>
          </w:p>
        </w:tc>
        <w:tc>
          <w:tcPr>
            <w:tcW w:w="1804" w:type="dxa"/>
          </w:tcPr>
          <w:p w14:paraId="08C7AE0D" w14:textId="77777777" w:rsidR="00D2544D" w:rsidRDefault="00D2544D" w:rsidP="002C6FD0">
            <w:pPr>
              <w:spacing w:after="0"/>
              <w:rPr>
                <w:rFonts w:cs="Times New Roman"/>
                <w:szCs w:val="24"/>
              </w:rPr>
            </w:pPr>
            <w:r>
              <w:rPr>
                <w:rFonts w:cs="Times New Roman"/>
                <w:szCs w:val="24"/>
              </w:rPr>
              <w:t>Pathway</w:t>
            </w:r>
          </w:p>
        </w:tc>
        <w:tc>
          <w:tcPr>
            <w:tcW w:w="1804" w:type="dxa"/>
          </w:tcPr>
          <w:p w14:paraId="6F6CE0C4" w14:textId="77777777" w:rsidR="00D2544D" w:rsidRDefault="00D2544D" w:rsidP="002C6FD0">
            <w:pPr>
              <w:spacing w:after="0"/>
              <w:rPr>
                <w:rFonts w:cs="Times New Roman"/>
                <w:szCs w:val="24"/>
              </w:rPr>
            </w:pPr>
            <w:r>
              <w:rPr>
                <w:rFonts w:cs="Times New Roman"/>
                <w:szCs w:val="24"/>
              </w:rPr>
              <w:t>Feedstock</w:t>
            </w:r>
          </w:p>
        </w:tc>
      </w:tr>
      <w:tr w:rsidR="00D2544D" w14:paraId="57786FB8" w14:textId="77777777" w:rsidTr="61786385">
        <w:tc>
          <w:tcPr>
            <w:tcW w:w="2135" w:type="dxa"/>
          </w:tcPr>
          <w:p w14:paraId="40B35353" w14:textId="77777777" w:rsidR="00D2544D" w:rsidRDefault="00D2544D" w:rsidP="002C6FD0">
            <w:pPr>
              <w:spacing w:after="0"/>
              <w:rPr>
                <w:rFonts w:cs="Times New Roman"/>
                <w:szCs w:val="24"/>
              </w:rPr>
            </w:pPr>
            <w:r>
              <w:rPr>
                <w:rFonts w:cs="Times New Roman"/>
                <w:szCs w:val="24"/>
              </w:rPr>
              <w:t>D3/D7</w:t>
            </w:r>
          </w:p>
        </w:tc>
        <w:tc>
          <w:tcPr>
            <w:tcW w:w="1803" w:type="dxa"/>
          </w:tcPr>
          <w:p w14:paraId="3A905CD6" w14:textId="77777777" w:rsidR="00D2544D" w:rsidRDefault="00D2544D" w:rsidP="002C6FD0">
            <w:pPr>
              <w:spacing w:after="0"/>
              <w:rPr>
                <w:rFonts w:cs="Times New Roman"/>
                <w:szCs w:val="24"/>
              </w:rPr>
            </w:pPr>
            <w:r>
              <w:rPr>
                <w:rFonts w:cs="Times New Roman"/>
                <w:szCs w:val="24"/>
              </w:rPr>
              <w:t>60%</w:t>
            </w:r>
          </w:p>
        </w:tc>
        <w:tc>
          <w:tcPr>
            <w:tcW w:w="1804" w:type="dxa"/>
          </w:tcPr>
          <w:p w14:paraId="4F4654BC" w14:textId="278EA5B9" w:rsidR="00D2544D" w:rsidRDefault="00D2544D" w:rsidP="002C6FD0">
            <w:pPr>
              <w:spacing w:after="0"/>
              <w:rPr>
                <w:rFonts w:cs="Times New Roman"/>
                <w:szCs w:val="24"/>
              </w:rPr>
            </w:pPr>
            <w:r>
              <w:rPr>
                <w:rFonts w:cs="Times New Roman"/>
                <w:szCs w:val="24"/>
              </w:rPr>
              <w:t xml:space="preserve">Cellulosic biofuel/ </w:t>
            </w:r>
            <w:r w:rsidR="002C6FD0">
              <w:rPr>
                <w:rFonts w:cs="Times New Roman"/>
                <w:szCs w:val="24"/>
              </w:rPr>
              <w:t>C</w:t>
            </w:r>
            <w:r>
              <w:rPr>
                <w:rFonts w:cs="Times New Roman"/>
                <w:szCs w:val="24"/>
              </w:rPr>
              <w:t>ellulosic diesel</w:t>
            </w:r>
          </w:p>
        </w:tc>
        <w:tc>
          <w:tcPr>
            <w:tcW w:w="1804" w:type="dxa"/>
          </w:tcPr>
          <w:p w14:paraId="582D85B7" w14:textId="77777777" w:rsidR="00D2544D" w:rsidRDefault="00D2544D" w:rsidP="002C6FD0">
            <w:pPr>
              <w:spacing w:after="0"/>
              <w:rPr>
                <w:rFonts w:cs="Times New Roman"/>
                <w:szCs w:val="24"/>
              </w:rPr>
            </w:pPr>
            <w:r>
              <w:rPr>
                <w:rFonts w:cs="Times New Roman"/>
                <w:szCs w:val="24"/>
              </w:rPr>
              <w:t>FT</w:t>
            </w:r>
          </w:p>
          <w:p w14:paraId="656F9A04" w14:textId="77777777" w:rsidR="00D2544D" w:rsidRDefault="00D2544D" w:rsidP="002C6FD0">
            <w:pPr>
              <w:spacing w:after="0"/>
              <w:rPr>
                <w:rFonts w:cs="Times New Roman"/>
                <w:szCs w:val="24"/>
              </w:rPr>
            </w:pPr>
          </w:p>
          <w:p w14:paraId="057471CF" w14:textId="77777777" w:rsidR="00D2544D" w:rsidRDefault="00D2544D" w:rsidP="002C6FD0">
            <w:pPr>
              <w:spacing w:after="0"/>
              <w:rPr>
                <w:rFonts w:cs="Times New Roman"/>
                <w:szCs w:val="24"/>
              </w:rPr>
            </w:pPr>
          </w:p>
          <w:p w14:paraId="5F3ECA52" w14:textId="77777777" w:rsidR="00D2544D" w:rsidRDefault="00D2544D" w:rsidP="002C6FD0">
            <w:pPr>
              <w:spacing w:after="0"/>
              <w:rPr>
                <w:rFonts w:cs="Times New Roman"/>
                <w:szCs w:val="24"/>
              </w:rPr>
            </w:pPr>
          </w:p>
          <w:p w14:paraId="06E48781" w14:textId="77777777" w:rsidR="00D2544D" w:rsidRDefault="00D2544D" w:rsidP="002C6FD0">
            <w:pPr>
              <w:spacing w:after="0"/>
              <w:rPr>
                <w:rFonts w:cs="Times New Roman"/>
                <w:szCs w:val="24"/>
              </w:rPr>
            </w:pPr>
          </w:p>
          <w:p w14:paraId="082F1FEE" w14:textId="77777777" w:rsidR="00D2544D" w:rsidRDefault="00D2544D" w:rsidP="002C6FD0">
            <w:pPr>
              <w:spacing w:after="0"/>
              <w:rPr>
                <w:rFonts w:cs="Times New Roman"/>
                <w:szCs w:val="24"/>
              </w:rPr>
            </w:pPr>
            <w:r>
              <w:rPr>
                <w:rFonts w:cs="Times New Roman"/>
                <w:szCs w:val="24"/>
              </w:rPr>
              <w:t>ATJ</w:t>
            </w:r>
          </w:p>
        </w:tc>
        <w:tc>
          <w:tcPr>
            <w:tcW w:w="1804" w:type="dxa"/>
          </w:tcPr>
          <w:p w14:paraId="12E8AC8E" w14:textId="77777777" w:rsidR="00D2544D" w:rsidRDefault="00D2544D" w:rsidP="002C6FD0">
            <w:pPr>
              <w:spacing w:after="0"/>
              <w:rPr>
                <w:rFonts w:cs="Times New Roman"/>
              </w:rPr>
            </w:pPr>
            <w:r w:rsidRPr="61786385">
              <w:rPr>
                <w:rFonts w:cs="Times New Roman"/>
              </w:rPr>
              <w:t>MSW, forest residue, agricultural residuals</w:t>
            </w:r>
          </w:p>
          <w:p w14:paraId="033074D1" w14:textId="77777777" w:rsidR="00D2544D" w:rsidRDefault="00D2544D" w:rsidP="002C6FD0">
            <w:pPr>
              <w:spacing w:after="0"/>
              <w:rPr>
                <w:rFonts w:cs="Times New Roman"/>
                <w:szCs w:val="24"/>
              </w:rPr>
            </w:pPr>
          </w:p>
          <w:p w14:paraId="74FE365C" w14:textId="6DFAD506" w:rsidR="00D2544D" w:rsidRDefault="002C6FD0" w:rsidP="002C6FD0">
            <w:pPr>
              <w:spacing w:after="0"/>
              <w:rPr>
                <w:rFonts w:cs="Times New Roman"/>
                <w:szCs w:val="24"/>
              </w:rPr>
            </w:pPr>
            <w:r>
              <w:rPr>
                <w:rFonts w:cs="Times New Roman"/>
                <w:szCs w:val="24"/>
              </w:rPr>
              <w:t>C</w:t>
            </w:r>
            <w:r w:rsidR="00D2544D">
              <w:rPr>
                <w:rFonts w:cs="Times New Roman"/>
                <w:szCs w:val="24"/>
              </w:rPr>
              <w:t>ellulosic ethanol</w:t>
            </w:r>
          </w:p>
        </w:tc>
      </w:tr>
      <w:tr w:rsidR="00D2544D" w14:paraId="204A73E8" w14:textId="77777777" w:rsidTr="61786385">
        <w:tc>
          <w:tcPr>
            <w:tcW w:w="2135" w:type="dxa"/>
          </w:tcPr>
          <w:p w14:paraId="4262BFD5" w14:textId="77777777" w:rsidR="00D2544D" w:rsidRDefault="00D2544D" w:rsidP="002C6FD0">
            <w:pPr>
              <w:spacing w:after="0"/>
              <w:rPr>
                <w:rFonts w:cs="Times New Roman"/>
                <w:szCs w:val="24"/>
              </w:rPr>
            </w:pPr>
            <w:r>
              <w:rPr>
                <w:rFonts w:cs="Times New Roman"/>
                <w:szCs w:val="24"/>
              </w:rPr>
              <w:t>D4</w:t>
            </w:r>
          </w:p>
        </w:tc>
        <w:tc>
          <w:tcPr>
            <w:tcW w:w="1803" w:type="dxa"/>
          </w:tcPr>
          <w:p w14:paraId="61662DFC" w14:textId="77777777" w:rsidR="00D2544D" w:rsidRDefault="00D2544D" w:rsidP="002C6FD0">
            <w:pPr>
              <w:spacing w:after="0"/>
              <w:rPr>
                <w:rFonts w:cs="Times New Roman"/>
                <w:szCs w:val="24"/>
              </w:rPr>
            </w:pPr>
            <w:r>
              <w:rPr>
                <w:rFonts w:cs="Times New Roman"/>
                <w:szCs w:val="24"/>
              </w:rPr>
              <w:t>50%</w:t>
            </w:r>
          </w:p>
        </w:tc>
        <w:tc>
          <w:tcPr>
            <w:tcW w:w="1804" w:type="dxa"/>
          </w:tcPr>
          <w:p w14:paraId="27FF140F" w14:textId="77777777" w:rsidR="00D2544D" w:rsidRDefault="00D2544D" w:rsidP="002C6FD0">
            <w:pPr>
              <w:spacing w:after="0"/>
              <w:rPr>
                <w:rFonts w:cs="Times New Roman"/>
                <w:szCs w:val="24"/>
              </w:rPr>
            </w:pPr>
            <w:r>
              <w:rPr>
                <w:rFonts w:cs="Times New Roman"/>
                <w:szCs w:val="24"/>
              </w:rPr>
              <w:t>Biomass Based Diesel</w:t>
            </w:r>
          </w:p>
        </w:tc>
        <w:tc>
          <w:tcPr>
            <w:tcW w:w="1804" w:type="dxa"/>
          </w:tcPr>
          <w:p w14:paraId="7FB1526C" w14:textId="77777777" w:rsidR="00D2544D" w:rsidRDefault="00D2544D" w:rsidP="002C6FD0">
            <w:pPr>
              <w:spacing w:after="0"/>
              <w:rPr>
                <w:rFonts w:cs="Times New Roman"/>
                <w:szCs w:val="24"/>
              </w:rPr>
            </w:pPr>
            <w:r>
              <w:rPr>
                <w:rFonts w:cs="Times New Roman"/>
                <w:szCs w:val="24"/>
              </w:rPr>
              <w:t>HEFA</w:t>
            </w:r>
          </w:p>
        </w:tc>
        <w:tc>
          <w:tcPr>
            <w:tcW w:w="1804" w:type="dxa"/>
          </w:tcPr>
          <w:p w14:paraId="50B3E44E" w14:textId="77777777" w:rsidR="00D2544D" w:rsidRDefault="00D2544D" w:rsidP="002C6FD0">
            <w:pPr>
              <w:spacing w:after="0"/>
              <w:rPr>
                <w:rFonts w:cs="Times New Roman"/>
                <w:szCs w:val="24"/>
              </w:rPr>
            </w:pPr>
            <w:r>
              <w:rPr>
                <w:rFonts w:cs="Times New Roman"/>
                <w:szCs w:val="24"/>
              </w:rPr>
              <w:t>FOGs, second crop oilseeds for SAF and diesel</w:t>
            </w:r>
          </w:p>
        </w:tc>
      </w:tr>
      <w:tr w:rsidR="00D2544D" w14:paraId="0CF849DC" w14:textId="77777777" w:rsidTr="61786385">
        <w:tc>
          <w:tcPr>
            <w:tcW w:w="2135" w:type="dxa"/>
          </w:tcPr>
          <w:p w14:paraId="634D5083" w14:textId="77777777" w:rsidR="00D2544D" w:rsidRDefault="00D2544D" w:rsidP="002C6FD0">
            <w:pPr>
              <w:spacing w:after="0"/>
              <w:rPr>
                <w:rFonts w:cs="Times New Roman"/>
                <w:szCs w:val="24"/>
              </w:rPr>
            </w:pPr>
            <w:r>
              <w:rPr>
                <w:rFonts w:cs="Times New Roman"/>
                <w:szCs w:val="24"/>
              </w:rPr>
              <w:t>D5</w:t>
            </w:r>
          </w:p>
        </w:tc>
        <w:tc>
          <w:tcPr>
            <w:tcW w:w="1803" w:type="dxa"/>
          </w:tcPr>
          <w:p w14:paraId="2816AB80" w14:textId="77777777" w:rsidR="00D2544D" w:rsidRDefault="00D2544D" w:rsidP="002C6FD0">
            <w:pPr>
              <w:spacing w:after="0"/>
              <w:rPr>
                <w:rFonts w:cs="Times New Roman"/>
                <w:szCs w:val="24"/>
              </w:rPr>
            </w:pPr>
            <w:r>
              <w:rPr>
                <w:rFonts w:cs="Times New Roman"/>
                <w:szCs w:val="24"/>
              </w:rPr>
              <w:t>50%</w:t>
            </w:r>
          </w:p>
        </w:tc>
        <w:tc>
          <w:tcPr>
            <w:tcW w:w="1804" w:type="dxa"/>
          </w:tcPr>
          <w:p w14:paraId="08BE1549" w14:textId="77777777" w:rsidR="00D2544D" w:rsidRDefault="00D2544D" w:rsidP="002C6FD0">
            <w:pPr>
              <w:spacing w:after="0"/>
              <w:rPr>
                <w:rFonts w:cs="Times New Roman"/>
                <w:szCs w:val="24"/>
              </w:rPr>
            </w:pPr>
            <w:r>
              <w:rPr>
                <w:rFonts w:cs="Times New Roman"/>
                <w:szCs w:val="24"/>
              </w:rPr>
              <w:t>Advanced biofuel</w:t>
            </w:r>
          </w:p>
        </w:tc>
        <w:tc>
          <w:tcPr>
            <w:tcW w:w="1804" w:type="dxa"/>
          </w:tcPr>
          <w:p w14:paraId="7F434571" w14:textId="77777777" w:rsidR="00D2544D" w:rsidRDefault="00D2544D" w:rsidP="002C6FD0">
            <w:pPr>
              <w:spacing w:after="0"/>
              <w:rPr>
                <w:rFonts w:cs="Times New Roman"/>
                <w:szCs w:val="24"/>
              </w:rPr>
            </w:pPr>
            <w:r>
              <w:rPr>
                <w:rFonts w:cs="Times New Roman"/>
                <w:szCs w:val="24"/>
              </w:rPr>
              <w:t>FT</w:t>
            </w:r>
          </w:p>
          <w:p w14:paraId="52CBFB88" w14:textId="77777777" w:rsidR="00D2544D" w:rsidRDefault="00D2544D" w:rsidP="002C6FD0">
            <w:pPr>
              <w:spacing w:after="0"/>
              <w:rPr>
                <w:rFonts w:cs="Times New Roman"/>
                <w:szCs w:val="24"/>
              </w:rPr>
            </w:pPr>
          </w:p>
          <w:p w14:paraId="767D776E" w14:textId="77777777" w:rsidR="00D2544D" w:rsidRDefault="00D2544D" w:rsidP="002C6FD0">
            <w:pPr>
              <w:spacing w:after="0"/>
              <w:rPr>
                <w:rFonts w:cs="Times New Roman"/>
                <w:szCs w:val="24"/>
              </w:rPr>
            </w:pPr>
            <w:r>
              <w:rPr>
                <w:rFonts w:cs="Times New Roman"/>
                <w:szCs w:val="24"/>
              </w:rPr>
              <w:t>HEFA</w:t>
            </w:r>
          </w:p>
        </w:tc>
        <w:tc>
          <w:tcPr>
            <w:tcW w:w="1804" w:type="dxa"/>
          </w:tcPr>
          <w:p w14:paraId="465BADCC" w14:textId="58AAA180" w:rsidR="00D2544D" w:rsidRDefault="002C6FD0" w:rsidP="002C6FD0">
            <w:pPr>
              <w:spacing w:after="0"/>
              <w:rPr>
                <w:rFonts w:cs="Times New Roman"/>
                <w:szCs w:val="24"/>
              </w:rPr>
            </w:pPr>
            <w:r>
              <w:rPr>
                <w:rFonts w:cs="Times New Roman"/>
                <w:szCs w:val="24"/>
              </w:rPr>
              <w:t>F</w:t>
            </w:r>
            <w:r w:rsidR="00D2544D">
              <w:rPr>
                <w:rFonts w:cs="Times New Roman"/>
                <w:szCs w:val="24"/>
              </w:rPr>
              <w:t>lue gas, DAC</w:t>
            </w:r>
          </w:p>
          <w:p w14:paraId="4627483F" w14:textId="77777777" w:rsidR="00D2544D" w:rsidRDefault="00D2544D" w:rsidP="002C6FD0">
            <w:pPr>
              <w:spacing w:after="0"/>
              <w:rPr>
                <w:rFonts w:cs="Times New Roman"/>
                <w:szCs w:val="24"/>
              </w:rPr>
            </w:pPr>
          </w:p>
          <w:p w14:paraId="6C0B6A42" w14:textId="77777777" w:rsidR="00D2544D" w:rsidRDefault="00D2544D" w:rsidP="002C6FD0">
            <w:pPr>
              <w:spacing w:after="0"/>
              <w:rPr>
                <w:rFonts w:cs="Times New Roman"/>
                <w:szCs w:val="24"/>
              </w:rPr>
            </w:pPr>
            <w:r>
              <w:rPr>
                <w:rFonts w:cs="Times New Roman"/>
                <w:szCs w:val="24"/>
              </w:rPr>
              <w:t>FOGs, second crop oilseeds for naphtha and propane</w:t>
            </w:r>
          </w:p>
        </w:tc>
      </w:tr>
      <w:tr w:rsidR="00D2544D" w14:paraId="0CC2EB43" w14:textId="77777777" w:rsidTr="61786385">
        <w:tc>
          <w:tcPr>
            <w:tcW w:w="2135" w:type="dxa"/>
          </w:tcPr>
          <w:p w14:paraId="2C363558" w14:textId="77777777" w:rsidR="00D2544D" w:rsidRDefault="00D2544D" w:rsidP="002C6FD0">
            <w:pPr>
              <w:spacing w:after="0"/>
              <w:rPr>
                <w:rFonts w:cs="Times New Roman"/>
                <w:szCs w:val="24"/>
              </w:rPr>
            </w:pPr>
            <w:r>
              <w:rPr>
                <w:rFonts w:cs="Times New Roman"/>
                <w:szCs w:val="24"/>
              </w:rPr>
              <w:t>D6</w:t>
            </w:r>
          </w:p>
        </w:tc>
        <w:tc>
          <w:tcPr>
            <w:tcW w:w="1803" w:type="dxa"/>
          </w:tcPr>
          <w:p w14:paraId="36A94231" w14:textId="77777777" w:rsidR="00D2544D" w:rsidRDefault="00D2544D" w:rsidP="002C6FD0">
            <w:pPr>
              <w:spacing w:after="0"/>
              <w:rPr>
                <w:rFonts w:cs="Times New Roman"/>
                <w:szCs w:val="24"/>
              </w:rPr>
            </w:pPr>
            <w:r>
              <w:rPr>
                <w:rFonts w:cs="Times New Roman"/>
                <w:szCs w:val="24"/>
              </w:rPr>
              <w:t>20%</w:t>
            </w:r>
          </w:p>
        </w:tc>
        <w:tc>
          <w:tcPr>
            <w:tcW w:w="1804" w:type="dxa"/>
          </w:tcPr>
          <w:p w14:paraId="165D27BF" w14:textId="77777777" w:rsidR="00D2544D" w:rsidRDefault="00D2544D" w:rsidP="002C6FD0">
            <w:pPr>
              <w:spacing w:after="0"/>
              <w:rPr>
                <w:rFonts w:cs="Times New Roman"/>
                <w:szCs w:val="24"/>
              </w:rPr>
            </w:pPr>
            <w:r>
              <w:rPr>
                <w:rFonts w:cs="Times New Roman"/>
                <w:szCs w:val="24"/>
              </w:rPr>
              <w:t>Renewable fuel</w:t>
            </w:r>
          </w:p>
        </w:tc>
        <w:tc>
          <w:tcPr>
            <w:tcW w:w="1804" w:type="dxa"/>
          </w:tcPr>
          <w:p w14:paraId="0ECA8AFA" w14:textId="77777777" w:rsidR="00D2544D" w:rsidRPr="00A908DF" w:rsidRDefault="00D2544D" w:rsidP="002C6FD0">
            <w:pPr>
              <w:spacing w:after="0"/>
              <w:rPr>
                <w:rFonts w:cs="Times New Roman"/>
                <w:szCs w:val="24"/>
              </w:rPr>
            </w:pPr>
            <w:r w:rsidRPr="00A908DF">
              <w:rPr>
                <w:rFonts w:cs="Times New Roman"/>
                <w:szCs w:val="24"/>
              </w:rPr>
              <w:t>ATJ</w:t>
            </w:r>
          </w:p>
        </w:tc>
        <w:tc>
          <w:tcPr>
            <w:tcW w:w="1804" w:type="dxa"/>
          </w:tcPr>
          <w:p w14:paraId="0B426254" w14:textId="72591989" w:rsidR="00D2544D" w:rsidRPr="00A908DF" w:rsidRDefault="002C6FD0" w:rsidP="002C6FD0">
            <w:pPr>
              <w:spacing w:after="0"/>
              <w:rPr>
                <w:rFonts w:cs="Times New Roman"/>
                <w:szCs w:val="24"/>
              </w:rPr>
            </w:pPr>
            <w:r>
              <w:rPr>
                <w:rFonts w:cs="Times New Roman"/>
                <w:szCs w:val="24"/>
              </w:rPr>
              <w:t>C</w:t>
            </w:r>
            <w:r w:rsidR="00D2544D" w:rsidRPr="00A908DF">
              <w:rPr>
                <w:rFonts w:cs="Times New Roman"/>
                <w:szCs w:val="24"/>
              </w:rPr>
              <w:t>orn ethanol</w:t>
            </w:r>
          </w:p>
        </w:tc>
      </w:tr>
    </w:tbl>
    <w:p w14:paraId="2CC82C67" w14:textId="77777777" w:rsidR="00D2544D" w:rsidRDefault="00D2544D" w:rsidP="00D2544D">
      <w:pPr>
        <w:rPr>
          <w:rFonts w:cs="Times New Roman"/>
          <w:szCs w:val="24"/>
        </w:rPr>
      </w:pPr>
    </w:p>
    <w:p w14:paraId="165C34B3" w14:textId="77777777" w:rsidR="00D2544D" w:rsidRDefault="00D2544D" w:rsidP="61786385">
      <w:pPr>
        <w:rPr>
          <w:rFonts w:cs="Times New Roman"/>
        </w:rPr>
      </w:pPr>
      <w:r w:rsidRPr="61786385">
        <w:rPr>
          <w:rFonts w:cs="Times New Roman"/>
        </w:rPr>
        <w:t xml:space="preserve">RIN values for all fuels produced with MSW are reduced to account </w:t>
      </w:r>
      <w:proofErr w:type="gramStart"/>
      <w:r w:rsidRPr="61786385">
        <w:rPr>
          <w:rFonts w:cs="Times New Roman"/>
        </w:rPr>
        <w:t>for the amount of</w:t>
      </w:r>
      <w:proofErr w:type="gramEnd"/>
      <w:r w:rsidRPr="61786385">
        <w:rPr>
          <w:rFonts w:cs="Times New Roman"/>
        </w:rPr>
        <w:t xml:space="preserve"> non-biogenic material in the feedstock, for this work 15%.</w:t>
      </w:r>
    </w:p>
    <w:p w14:paraId="6A5E833A" w14:textId="2163A6FB" w:rsidR="00D2544D" w:rsidRPr="00F06406" w:rsidRDefault="00D2544D" w:rsidP="61786385">
      <w:pPr>
        <w:rPr>
          <w:rFonts w:cs="Times New Roman"/>
          <w:b/>
          <w:bCs/>
        </w:rPr>
      </w:pPr>
      <w:r w:rsidRPr="61786385">
        <w:rPr>
          <w:rFonts w:cs="Times New Roman"/>
          <w:b/>
          <w:bCs/>
        </w:rPr>
        <w:t xml:space="preserve">SI 2.3 </w:t>
      </w:r>
      <w:r w:rsidR="52ACD8EA" w:rsidRPr="61786385">
        <w:rPr>
          <w:rFonts w:cs="Times New Roman"/>
          <w:b/>
          <w:bCs/>
        </w:rPr>
        <w:t>Blender Tax Credits</w:t>
      </w:r>
    </w:p>
    <w:p w14:paraId="46DD3DDC" w14:textId="2D52CC42" w:rsidR="00D2544D" w:rsidRDefault="00D2544D" w:rsidP="61786385">
      <w:pPr>
        <w:rPr>
          <w:rFonts w:cs="Times New Roman"/>
        </w:rPr>
      </w:pPr>
      <w:r w:rsidRPr="61786385">
        <w:rPr>
          <w:rFonts w:cs="Times New Roman"/>
        </w:rPr>
        <w:t xml:space="preserve">The biodiesel mixture excise tax credit and alternative fuel excise tax credit do not have minimum requirements for </w:t>
      </w:r>
      <w:r w:rsidR="2AA69CF8" w:rsidRPr="61786385">
        <w:rPr>
          <w:rFonts w:cs="Times New Roman"/>
        </w:rPr>
        <w:t xml:space="preserve">greenhouse gas </w:t>
      </w:r>
      <w:r w:rsidR="2FDBB15E" w:rsidRPr="61786385">
        <w:rPr>
          <w:rFonts w:cs="Times New Roman"/>
        </w:rPr>
        <w:t>emissions</w:t>
      </w:r>
      <w:r w:rsidRPr="61786385">
        <w:rPr>
          <w:rFonts w:cs="Times New Roman"/>
        </w:rPr>
        <w:t xml:space="preserve"> reductions, sliding scales, or use requirements and have values of $0.26/L and $0.13/L, respectively </w:t>
      </w:r>
      <w:r w:rsidRPr="61786385">
        <w:rPr>
          <w:rFonts w:cs="Times New Roman"/>
        </w:rPr>
        <w:fldChar w:fldCharType="begin" w:fldLock="1"/>
      </w:r>
      <w:r w:rsidRPr="61786385">
        <w:rPr>
          <w:rFonts w:cs="Times New Roman"/>
        </w:rPr>
        <w:instrText>ADDIN CSL_CITATION {"citationItems":[{"id":"ITEM-1","itemData":{"URL":"https://afdc.energy.gov/laws/395#:~:text=A biodiesel blender that is,at least 0.1%25 diesel fuel","accessed":{"date-parts":[["2021","12","5"]]},"author":[{"dropping-particle":"","family":"U.S. Department of Energy","given":"","non-dropping-particle":"","parse-names":false,"suffix":""}],"container-title":"Laws and Incentives","id":"ITEM-1","issued":{"date-parts":[["2021"]]},"title":"Biodiesel Mixture Excise Tax Credit","type":"webpage"},"uris":["http://www.mendeley.com/documents/?uuid=0fdfc534-5e1e-4bcc-af69-8a121aa15874"]},{"id":"ITEM-2","itemData":{"URL":"https://afdc.energy.gov/laws/319","accessed":{"date-parts":[["2021","10","14"]]},"author":[{"dropping-particle":"","family":"U.S. Department of Energy","given":"","non-dropping-particle":"","parse-names":false,"suffix":""}],"container-title":"Alternative Fuels Data Center","id":"ITEM-2","issued":{"date-parts":[["2021"]]},"title":"Alternative Fuel Excise Tax Credit","type":"webpage"},"uris":["http://www.mendeley.com/documents/?uuid=603425d9-a35b-4665-a2c0-3c2a5c35898a"]}],"mendeley":{"formattedCitation":"(U.S. Department of Energy, 2021b, 2021a)","plainTextFormattedCitation":"(U.S. Department of Energy, 2021b, 2021a)","previouslyFormattedCitation":"(U.S. Department of Energy, 2021b, 2021a)"},"properties":{"noteIndex":0},"schema":"https://github.com/citation-style-language/schema/raw/master/csl-citation.json"}</w:instrText>
      </w:r>
      <w:r w:rsidRPr="61786385">
        <w:rPr>
          <w:rFonts w:cs="Times New Roman"/>
        </w:rPr>
        <w:fldChar w:fldCharType="separate"/>
      </w:r>
      <w:r w:rsidR="00216141" w:rsidRPr="61786385">
        <w:rPr>
          <w:rFonts w:cs="Times New Roman"/>
          <w:noProof/>
        </w:rPr>
        <w:t>(U.S. Department of Energy, 2021b, 2021a)</w:t>
      </w:r>
      <w:r w:rsidRPr="61786385">
        <w:rPr>
          <w:rFonts w:cs="Times New Roman"/>
        </w:rPr>
        <w:fldChar w:fldCharType="end"/>
      </w:r>
      <w:r w:rsidRPr="61786385">
        <w:rPr>
          <w:rFonts w:cs="Times New Roman"/>
        </w:rPr>
        <w:t xml:space="preserve">. These two </w:t>
      </w:r>
      <w:r w:rsidR="6F942CF1" w:rsidRPr="61786385">
        <w:rPr>
          <w:rFonts w:cs="Times New Roman"/>
        </w:rPr>
        <w:t>blenders tax credits (</w:t>
      </w:r>
      <w:r w:rsidRPr="61786385">
        <w:rPr>
          <w:rFonts w:cs="Times New Roman"/>
        </w:rPr>
        <w:t>BTCs</w:t>
      </w:r>
      <w:r w:rsidR="29E3B368" w:rsidRPr="61786385">
        <w:rPr>
          <w:rFonts w:cs="Times New Roman"/>
        </w:rPr>
        <w:t>)</w:t>
      </w:r>
      <w:r w:rsidRPr="61786385">
        <w:rPr>
          <w:rFonts w:cs="Times New Roman"/>
        </w:rPr>
        <w:t xml:space="preserve"> apply to all conversion pathways with a 15% reduction for FT-MSW for the non-biogenic portion of the feedstock.</w:t>
      </w:r>
    </w:p>
    <w:p w14:paraId="309AE914" w14:textId="11FE48B9" w:rsidR="00D2544D" w:rsidRDefault="00D2544D" w:rsidP="61786385">
      <w:pPr>
        <w:rPr>
          <w:rFonts w:cs="Times New Roman"/>
        </w:rPr>
      </w:pPr>
      <w:r w:rsidRPr="61786385">
        <w:rPr>
          <w:rFonts w:cs="Times New Roman"/>
        </w:rPr>
        <w:t xml:space="preserve">The proposed SAF BTC requires a minimum 50% reduction in CI, which eliminates ATJ-corn ethanol and HEFA-vegetable oil as viable conversion pathways for this incentive. The value of this incentive is proposed to be $0.40/L for 50% CI reduction and increases linearly to $0.53/L for 100% or greater reduction </w:t>
      </w:r>
      <w:r w:rsidRPr="61786385">
        <w:rPr>
          <w:rFonts w:cs="Times New Roman"/>
        </w:rPr>
        <w:fldChar w:fldCharType="begin" w:fldLock="1"/>
      </w:r>
      <w:r w:rsidRPr="61786385">
        <w:rPr>
          <w:rFonts w:cs="Times New Roman"/>
        </w:rPr>
        <w:instrText>ADDIN CSL_CITATION {"citationItems":[{"id":"ITEM-1","itemData":{"author":[{"dropping-particle":"","family":"Schneider","given":"Bradley Scott","non-dropping-particle":"","parse-names":false,"suffix":""}],"id":"ITEM-1","issued":{"date-parts":[["2021"]]},"page":"8","publisher":"House of Representatives","publisher-place":"Washington D.C.","title":"Sustainable Skies Act","type":"bill"},"uris":["http://www.mendeley.com/documents/?uuid=660dd7b5-8231-444c-9ab7-6e1fd25991a8"]}],"mendeley":{"formattedCitation":"(Schneider, 2021)","plainTextFormattedCitation":"(Schneider, 2021)","previouslyFormattedCitation":"(Schneider, 2021)"},"properties":{"noteIndex":0},"schema":"https://github.com/citation-style-language/schema/raw/master/csl-citation.json"}</w:instrText>
      </w:r>
      <w:r w:rsidRPr="61786385">
        <w:rPr>
          <w:rFonts w:cs="Times New Roman"/>
        </w:rPr>
        <w:fldChar w:fldCharType="separate"/>
      </w:r>
      <w:r w:rsidR="00E51FDE" w:rsidRPr="61786385">
        <w:rPr>
          <w:rFonts w:cs="Times New Roman"/>
          <w:noProof/>
        </w:rPr>
        <w:t>(Schneider, 2021)</w:t>
      </w:r>
      <w:r w:rsidRPr="61786385">
        <w:rPr>
          <w:rFonts w:cs="Times New Roman"/>
        </w:rPr>
        <w:fldChar w:fldCharType="end"/>
      </w:r>
      <w:r w:rsidRPr="61786385">
        <w:rPr>
          <w:rFonts w:cs="Times New Roman"/>
        </w:rPr>
        <w:t>. The petroleum jet fuel CI used is 89 gCO</w:t>
      </w:r>
      <w:r w:rsidRPr="61786385">
        <w:rPr>
          <w:rFonts w:cs="Times New Roman"/>
          <w:vertAlign w:val="subscript"/>
        </w:rPr>
        <w:t>2</w:t>
      </w:r>
      <w:r w:rsidRPr="61786385">
        <w:rPr>
          <w:rFonts w:cs="Times New Roman"/>
        </w:rPr>
        <w:t xml:space="preserve">e/MJ </w:t>
      </w:r>
      <w:r w:rsidRPr="61786385">
        <w:rPr>
          <w:rFonts w:cs="Times New Roman"/>
        </w:rPr>
        <w:fldChar w:fldCharType="begin" w:fldLock="1"/>
      </w:r>
      <w:r w:rsidRPr="61786385">
        <w:rPr>
          <w:rFonts w:cs="Times New Roman"/>
        </w:rPr>
        <w:instrText>ADDIN CSL_CITATION {"citationItems":[{"id":"ITEM-1","itemData":{"author":[{"dropping-particle":"","family":"International Civil Aviation Organization (ICAO)","given":"","non-dropping-particle":"","parse-names":false,"suffix":""}],"id":"ITEM-1","issued":{"date-parts":[["2019"]]},"number-of-pages":"140","title":"CORSIA Eegible Fuels- Life Cycle Assessment Methodology","type":"report"},"uris":["http://www.mendeley.com/documents/?uuid=23919b8b-817a-4c6b-8127-3cbeee0d57ea"]}],"mendeley":{"formattedCitation":"(International Civil Aviation Organization (ICAO), 2019)","plainTextFormattedCitation":"(International Civil Aviation Organization (ICAO), 2019)","previouslyFormattedCitation":"(International Civil Aviation Organization (ICAO), 2019)"},"properties":{"noteIndex":0},"schema":"https://github.com/citation-style-language/schema/raw/master/csl-citation.json"}</w:instrText>
      </w:r>
      <w:r w:rsidRPr="61786385">
        <w:rPr>
          <w:rFonts w:cs="Times New Roman"/>
        </w:rPr>
        <w:fldChar w:fldCharType="separate"/>
      </w:r>
      <w:r w:rsidR="000F5421" w:rsidRPr="61786385">
        <w:rPr>
          <w:rFonts w:cs="Times New Roman"/>
          <w:noProof/>
        </w:rPr>
        <w:t>(International Civil Aviation Organization (ICAO), 2019)</w:t>
      </w:r>
      <w:r w:rsidRPr="61786385">
        <w:rPr>
          <w:rFonts w:cs="Times New Roman"/>
        </w:rPr>
        <w:fldChar w:fldCharType="end"/>
      </w:r>
      <w:r w:rsidRPr="61786385">
        <w:rPr>
          <w:rFonts w:cs="Times New Roman"/>
        </w:rPr>
        <w:t>. The calculated value for MSW was reduced by 15% to account for the non-biogenic material in the feedstock.</w:t>
      </w:r>
    </w:p>
    <w:p w14:paraId="41EC7B08" w14:textId="77777777" w:rsidR="00D2544D" w:rsidRPr="000348A9" w:rsidRDefault="00D2544D" w:rsidP="00D2544D">
      <w:pPr>
        <w:rPr>
          <w:rFonts w:cs="Times New Roman"/>
          <w:szCs w:val="24"/>
        </w:rPr>
      </w:pPr>
      <w:r>
        <w:rPr>
          <w:rFonts w:cs="Times New Roman"/>
          <w:szCs w:val="24"/>
        </w:rPr>
        <w:t xml:space="preserve">All three BTC incentives were modeled as a tax reduction incentive until the tax burden was eliminated and then as a tax-free income stream unless otherwise discussed. For years without a tax burden, the entire value was applied as tax-free income. These incentives were assumed to be available for the first ten years of a facility’s life. The value did not increase over time, diminishing the impact over time as inflation increases other costs and revenue streams. </w:t>
      </w:r>
    </w:p>
    <w:p w14:paraId="2838C8C9" w14:textId="69BE0C68" w:rsidR="00D2544D" w:rsidRPr="00F06406" w:rsidRDefault="00D2544D" w:rsidP="61786385">
      <w:pPr>
        <w:rPr>
          <w:rFonts w:cs="Times New Roman"/>
          <w:b/>
          <w:bCs/>
        </w:rPr>
      </w:pPr>
      <w:r w:rsidRPr="61786385">
        <w:rPr>
          <w:rFonts w:cs="Times New Roman"/>
          <w:b/>
          <w:bCs/>
        </w:rPr>
        <w:t>SI 2.4 L</w:t>
      </w:r>
      <w:r w:rsidR="5AD78E54" w:rsidRPr="61786385">
        <w:rPr>
          <w:rFonts w:cs="Times New Roman"/>
          <w:b/>
          <w:bCs/>
        </w:rPr>
        <w:t xml:space="preserve">ow </w:t>
      </w:r>
      <w:r w:rsidRPr="61786385">
        <w:rPr>
          <w:rFonts w:cs="Times New Roman"/>
          <w:b/>
          <w:bCs/>
        </w:rPr>
        <w:t>C</w:t>
      </w:r>
      <w:r w:rsidR="164095D8" w:rsidRPr="61786385">
        <w:rPr>
          <w:rFonts w:cs="Times New Roman"/>
          <w:b/>
          <w:bCs/>
        </w:rPr>
        <w:t xml:space="preserve">arbon </w:t>
      </w:r>
      <w:r w:rsidRPr="61786385">
        <w:rPr>
          <w:rFonts w:cs="Times New Roman"/>
          <w:b/>
          <w:bCs/>
        </w:rPr>
        <w:t>F</w:t>
      </w:r>
      <w:r w:rsidR="6288E81B" w:rsidRPr="61786385">
        <w:rPr>
          <w:rFonts w:cs="Times New Roman"/>
          <w:b/>
          <w:bCs/>
        </w:rPr>
        <w:t xml:space="preserve">uel </w:t>
      </w:r>
      <w:r w:rsidRPr="61786385">
        <w:rPr>
          <w:rFonts w:cs="Times New Roman"/>
          <w:b/>
          <w:bCs/>
        </w:rPr>
        <w:t>S</w:t>
      </w:r>
      <w:r w:rsidR="120D50AB" w:rsidRPr="61786385">
        <w:rPr>
          <w:rFonts w:cs="Times New Roman"/>
          <w:b/>
          <w:bCs/>
        </w:rPr>
        <w:t>tandard</w:t>
      </w:r>
    </w:p>
    <w:p w14:paraId="257B898F" w14:textId="21A8F11F" w:rsidR="00D2544D" w:rsidRPr="005D37F2" w:rsidRDefault="00D2544D" w:rsidP="61786385">
      <w:pPr>
        <w:rPr>
          <w:rFonts w:cs="Times New Roman"/>
        </w:rPr>
      </w:pPr>
      <w:r w:rsidRPr="61786385">
        <w:rPr>
          <w:rFonts w:cs="Times New Roman"/>
        </w:rPr>
        <w:t xml:space="preserve">To model </w:t>
      </w:r>
      <w:r w:rsidR="55D9078F" w:rsidRPr="61786385">
        <w:rPr>
          <w:rFonts w:cs="Times New Roman"/>
        </w:rPr>
        <w:t>the California Low Carbon Fuel Standard (</w:t>
      </w:r>
      <w:r w:rsidRPr="61786385">
        <w:rPr>
          <w:rFonts w:cs="Times New Roman"/>
        </w:rPr>
        <w:t>LCFS</w:t>
      </w:r>
      <w:r w:rsidR="5F4BDB90" w:rsidRPr="61786385">
        <w:rPr>
          <w:rFonts w:cs="Times New Roman"/>
        </w:rPr>
        <w:t>)</w:t>
      </w:r>
      <w:r w:rsidRPr="61786385">
        <w:rPr>
          <w:rFonts w:cs="Times New Roman"/>
        </w:rPr>
        <w:t>, a monthly weighted-average credit value of $157.8/credit was used for the 2014-2020 timeframe (CARB 2021a). One credit is earned per t of CO</w:t>
      </w:r>
      <w:r w:rsidRPr="61786385">
        <w:rPr>
          <w:rFonts w:cs="Times New Roman"/>
          <w:vertAlign w:val="subscript"/>
        </w:rPr>
        <w:t>2</w:t>
      </w:r>
      <w:r w:rsidRPr="61786385">
        <w:rPr>
          <w:rFonts w:cs="Times New Roman"/>
        </w:rPr>
        <w:t>e saved. The per credit value was converted to dollars per L for each type of fuel based on reduction in CI from petroleum fuel, fuel energy density and fuel density values following the methodology provided in the LCFS law (CCR 2021). The method outlined in CCR 2021 for calculating the reduction in CO</w:t>
      </w:r>
      <w:r w:rsidRPr="61786385">
        <w:rPr>
          <w:rFonts w:cs="Times New Roman"/>
          <w:vertAlign w:val="subscript"/>
        </w:rPr>
        <w:t>2</w:t>
      </w:r>
      <w:r w:rsidRPr="61786385">
        <w:rPr>
          <w:rFonts w:cs="Times New Roman"/>
        </w:rPr>
        <w:t xml:space="preserve"> emissions was followed using the CI scores in </w:t>
      </w:r>
      <w:r w:rsidRPr="61786385">
        <w:rPr>
          <w:rFonts w:cs="Times New Roman"/>
        </w:rPr>
        <w:fldChar w:fldCharType="begin"/>
      </w:r>
      <w:r w:rsidRPr="61786385">
        <w:rPr>
          <w:rFonts w:cs="Times New Roman"/>
        </w:rPr>
        <w:instrText xml:space="preserve"> REF _Ref87438141 \h  \* MERGEFORMAT </w:instrText>
      </w:r>
      <w:r w:rsidRPr="61786385">
        <w:rPr>
          <w:rFonts w:cs="Times New Roman"/>
        </w:rPr>
      </w:r>
      <w:r w:rsidRPr="61786385">
        <w:rPr>
          <w:rFonts w:cs="Times New Roman"/>
        </w:rPr>
        <w:fldChar w:fldCharType="separate"/>
      </w:r>
      <w:r w:rsidRPr="61786385">
        <w:rPr>
          <w:rFonts w:cs="Times New Roman"/>
        </w:rPr>
        <w:t xml:space="preserve">Table </w:t>
      </w:r>
      <w:r w:rsidRPr="61786385">
        <w:rPr>
          <w:rFonts w:cs="Times New Roman"/>
          <w:noProof/>
        </w:rPr>
        <w:t>2</w:t>
      </w:r>
      <w:r w:rsidRPr="61786385">
        <w:rPr>
          <w:rFonts w:cs="Times New Roman"/>
        </w:rPr>
        <w:fldChar w:fldCharType="end"/>
      </w:r>
      <w:r w:rsidRPr="61786385">
        <w:rPr>
          <w:rFonts w:cs="Times New Roman"/>
        </w:rPr>
        <w:t>. It should be noted that the ICAO method for this calculation does not match the LCFS method.</w:t>
      </w:r>
    </w:p>
    <w:p w14:paraId="0F58F1D1" w14:textId="77777777" w:rsidR="00D2544D" w:rsidRDefault="00D2544D" w:rsidP="61786385">
      <w:pPr>
        <w:rPr>
          <w:rFonts w:cs="Times New Roman"/>
        </w:rPr>
      </w:pPr>
      <w:r w:rsidRPr="61786385">
        <w:rPr>
          <w:rFonts w:cs="Times New Roman"/>
        </w:rPr>
        <w:t xml:space="preserve">The value of LCFS credits has risen over the life of the program (CARB 2021b). For this work, the value was held constant with increases only from inflation, a conservative assumption. However, the baseline value used to determine the earned credits declines over time, which means that credits earned will also decline without continuous reductions to the alternative fuel CI scores (CARB 2021b). The constant value used in this work assumes that continuous improvement matches the baseline reductions. </w:t>
      </w:r>
    </w:p>
    <w:p w14:paraId="41CFEF37" w14:textId="6E1F3FBF" w:rsidR="00FA3ED6" w:rsidRPr="0094169E" w:rsidRDefault="00FA3ED6" w:rsidP="61786385">
      <w:pPr>
        <w:rPr>
          <w:rFonts w:cs="Times New Roman"/>
          <w:b/>
          <w:bCs/>
        </w:rPr>
      </w:pPr>
      <w:r w:rsidRPr="61786385">
        <w:rPr>
          <w:rFonts w:cs="Times New Roman"/>
          <w:b/>
          <w:bCs/>
        </w:rPr>
        <w:t>References</w:t>
      </w:r>
    </w:p>
    <w:p w14:paraId="518DDFD1" w14:textId="6FD56E19" w:rsidR="00602457" w:rsidRPr="00602457" w:rsidRDefault="0094169E" w:rsidP="00602457">
      <w:pPr>
        <w:widowControl w:val="0"/>
        <w:autoSpaceDE w:val="0"/>
        <w:autoSpaceDN w:val="0"/>
        <w:adjustRightInd w:val="0"/>
        <w:spacing w:before="240"/>
        <w:ind w:left="480" w:hanging="480"/>
        <w:rPr>
          <w:rFonts w:cs="Times New Roman"/>
          <w:noProof/>
          <w:szCs w:val="24"/>
        </w:rPr>
      </w:pPr>
      <w:r>
        <w:fldChar w:fldCharType="begin" w:fldLock="1"/>
      </w:r>
      <w:r>
        <w:instrText xml:space="preserve">ADDIN Mendeley Bibliography CSL_BIBLIOGRAPHY </w:instrText>
      </w:r>
      <w:r>
        <w:fldChar w:fldCharType="separate"/>
      </w:r>
      <w:r w:rsidR="00602457" w:rsidRPr="00602457">
        <w:rPr>
          <w:rFonts w:cs="Times New Roman"/>
          <w:noProof/>
          <w:szCs w:val="24"/>
        </w:rPr>
        <w:t xml:space="preserve">Albrecht, F. G., König, D. H., Baucks, N., and Dietrich, R.-U. (2017). A standardized methodology for the techno-economic evaluation of alternative fuels – A case study. </w:t>
      </w:r>
      <w:r w:rsidR="00602457" w:rsidRPr="00602457">
        <w:rPr>
          <w:rFonts w:cs="Times New Roman"/>
          <w:i/>
          <w:iCs/>
          <w:noProof/>
          <w:szCs w:val="24"/>
        </w:rPr>
        <w:t>Fuel</w:t>
      </w:r>
      <w:r w:rsidR="00602457" w:rsidRPr="00602457">
        <w:rPr>
          <w:rFonts w:cs="Times New Roman"/>
          <w:noProof/>
          <w:szCs w:val="24"/>
        </w:rPr>
        <w:t xml:space="preserve"> 194, 511–526. doi:https://doi.org/10.1016/j.fuel.2016.12.003.</w:t>
      </w:r>
    </w:p>
    <w:p w14:paraId="4AD038F5"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 xml:space="preserve">Bann, S. J., Malina, R., Staples, M. D., Suresh, P., Pearlson, M., Tyner, W. E., et al. (2017). The costs of production of alternative jet fuel: A harmonized stochastic assessment. </w:t>
      </w:r>
      <w:r w:rsidRPr="00602457">
        <w:rPr>
          <w:rFonts w:cs="Times New Roman"/>
          <w:i/>
          <w:iCs/>
          <w:noProof/>
          <w:szCs w:val="24"/>
        </w:rPr>
        <w:t>Bioresour. Technol.</w:t>
      </w:r>
      <w:r w:rsidRPr="00602457">
        <w:rPr>
          <w:rFonts w:cs="Times New Roman"/>
          <w:noProof/>
          <w:szCs w:val="24"/>
        </w:rPr>
        <w:t xml:space="preserve"> 227, 179–187. doi:https://doi.org/10.1016/j.biortech.2016.12.032.</w:t>
      </w:r>
    </w:p>
    <w:p w14:paraId="3125E0C0"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Brandt, K., Geleynse, S., Martinez-Valencia, L., Zhang, X., Garcia-Perez, M., and Wolcott, M. P. (2021a). Alcohol to jet techno-economic analysis. doi:10.7273/000001461.</w:t>
      </w:r>
    </w:p>
    <w:p w14:paraId="152C061C"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 xml:space="preserve">Brandt, K. L., Wooley, R. J., Geleynse, S. C., Gao, J., Zhu, J., Cavalieri, R. P., et al. (2020). Impact of co‐product selection on techno‐economic analyses of alternative jet fuel produced with forest harvest residuals. </w:t>
      </w:r>
      <w:r w:rsidRPr="00602457">
        <w:rPr>
          <w:rFonts w:cs="Times New Roman"/>
          <w:i/>
          <w:iCs/>
          <w:noProof/>
          <w:szCs w:val="24"/>
        </w:rPr>
        <w:t>Biofuels, Bioprod. Biorefining</w:t>
      </w:r>
      <w:r w:rsidRPr="00602457">
        <w:rPr>
          <w:rFonts w:cs="Times New Roman"/>
          <w:noProof/>
          <w:szCs w:val="24"/>
        </w:rPr>
        <w:t xml:space="preserve"> 14, 764–775. doi:https://doi.org/10.1002/bbb.2111.</w:t>
      </w:r>
    </w:p>
    <w:p w14:paraId="54F32A46"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Brandt, K., Tanzil, A. H., Martinez-Valencia, L., Garcia-Perez, M., and Wolcott, M. P. (2021b). Fischer Tropsch techno-economic analysis. doi:10.7273/000001459.</w:t>
      </w:r>
    </w:p>
    <w:p w14:paraId="0FA9B1EC"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Brandt, K., Tanzil, A. H., Martinez-Valencia, L., Garcia-Perez, M., and Wolcott, M. P. (2021c). Hydroprocessed esters and fatty acids techno-economic analysis. doi:10.7273/000001460.</w:t>
      </w:r>
    </w:p>
    <w:p w14:paraId="7C1B7330"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Brandt, K., and Wolcott, M. P. (2021). Fischer Tropsch feedstock pre-processing techno-economic analysis. doi:10.7273/000001463.</w:t>
      </w:r>
    </w:p>
    <w:p w14:paraId="441EEB14"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Davis, R., Tao, L., Scarlata, C., Tan, E. C. D., Ross, J., Lukas, J., et al. (2015). Process design and economics for the conversion of lignocellulosic biomass to hydrocarbons: dilute-acid and enzymatic deconstruction of biomass to sugars and catalytic conversion of sugar to hydrocarbons. Golden, CO (United States) Available at: https://web.archive.org/web/20200623200535id_/https://www.nrel.gov/docs/fy15osti/62498.pdf.</w:t>
      </w:r>
    </w:p>
    <w:p w14:paraId="712D34CE"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 xml:space="preserve">De Jong, S., Hoefnagels, R., Faaij, A., Slade, R., Mawhood, R., and Junginger, M. (2015). The feasibility of short‐term production strategies for renewable jet fuels–a comprehensive techno‐economic comparison. </w:t>
      </w:r>
      <w:r w:rsidRPr="00602457">
        <w:rPr>
          <w:rFonts w:cs="Times New Roman"/>
          <w:i/>
          <w:iCs/>
          <w:noProof/>
          <w:szCs w:val="24"/>
        </w:rPr>
        <w:t>Biofuels, Bioprod. Biorefining</w:t>
      </w:r>
      <w:r w:rsidRPr="00602457">
        <w:rPr>
          <w:rFonts w:cs="Times New Roman"/>
          <w:noProof/>
          <w:szCs w:val="24"/>
        </w:rPr>
        <w:t xml:space="preserve"> 9, 778–800. doi:https://doi.org/10.1002/bbb.1613.</w:t>
      </w:r>
    </w:p>
    <w:p w14:paraId="6E4FBB2B"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Environmental Protection Agency (EPA) (2021). Renewable Fuel Standard Program. Available at: https://www.epa.gov/renewable-fuel-standard-program [Accessed July 14, 2021].</w:t>
      </w:r>
    </w:p>
    <w:p w14:paraId="03CC560A"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 xml:space="preserve">Geleynse, S., Brandt, K., Garcia-Perez, M., Wolcott, M., and Zhang, X. (2018). The Alcohol-to-Jet Conversion Pathway for Drop-In Biofuels: Techno-Economic Evaluation. </w:t>
      </w:r>
      <w:r w:rsidRPr="00602457">
        <w:rPr>
          <w:rFonts w:cs="Times New Roman"/>
          <w:i/>
          <w:iCs/>
          <w:noProof/>
          <w:szCs w:val="24"/>
        </w:rPr>
        <w:t>ChemSusChem</w:t>
      </w:r>
      <w:r w:rsidRPr="00602457">
        <w:rPr>
          <w:rFonts w:cs="Times New Roman"/>
          <w:noProof/>
          <w:szCs w:val="24"/>
        </w:rPr>
        <w:t xml:space="preserve"> 11, 3728–3741. doi:https://doi.org/10.1002/cssc.201801690.</w:t>
      </w:r>
    </w:p>
    <w:p w14:paraId="510D6305"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 xml:space="preserve">Granjo, J. F. O., Duarte, B. P. M., and Oliveira, N. M. C. (2017). Integrated production of biodiesel in a soybean biorefinery: Modeling, simulation and economical assessment. </w:t>
      </w:r>
      <w:r w:rsidRPr="00602457">
        <w:rPr>
          <w:rFonts w:cs="Times New Roman"/>
          <w:i/>
          <w:iCs/>
          <w:noProof/>
          <w:szCs w:val="24"/>
        </w:rPr>
        <w:t>Energy</w:t>
      </w:r>
      <w:r w:rsidRPr="00602457">
        <w:rPr>
          <w:rFonts w:cs="Times New Roman"/>
          <w:noProof/>
          <w:szCs w:val="24"/>
        </w:rPr>
        <w:t xml:space="preserve"> 129, 273–291. doi:https://doi.org/10.1016/j.energy.2017.03.167.</w:t>
      </w:r>
    </w:p>
    <w:p w14:paraId="099CA929"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Humbird, D., Davis, R., Tao, L., Kinchin, C., Hsu, D., Aden, A., et al. (2011). Process Design and Economics for Biochemical Conversion of Lignocellulosic Biomass to Ethanol: Dilute-Acid Pretreatment and Enzymatic Hydrolysis of Corn Stover. Golden, CO, United States doi:10.2172/1013269.</w:t>
      </w:r>
    </w:p>
    <w:p w14:paraId="5A12446A"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ICAO (2019). CORSIA Methodology for Calculating Actual Life Cycle Emissions Values.</w:t>
      </w:r>
    </w:p>
    <w:p w14:paraId="09D76B08"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ICAO (2021). CORSIA Default Life Cycle Emissions Values for CORSIA Eligible Fuels. Available at: https://www.icao.int/environmental-protection/CORSIA/Documents/ICAO document 06 - Default Life Cycle Emissions - March 2021.pdf.</w:t>
      </w:r>
    </w:p>
    <w:p w14:paraId="2831C130"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International Civil Aviation Organization (ICAO) (2019). CORSIA Eegible Fuels- Life Cycle Assessment Methodology. Available at: https://www.icao.int/environmental-protection/CORSIA/Documents/CORSIA Supporting Document_CORSIA Eligible Fuels_LCA Methodology.pdf.</w:t>
      </w:r>
    </w:p>
    <w:p w14:paraId="17CD1985"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 xml:space="preserve">Isaacs, S. A., Staples, M. D., Allroggen, F., Mallapragada, D. S., Falter, C. P., and Barrett, S. R. H. (2021). Environmental and Economic Performance of Hybrid Power-to-Liquid and Biomass-to-Liquid Fuel Production in the United States. </w:t>
      </w:r>
      <w:r w:rsidRPr="00602457">
        <w:rPr>
          <w:rFonts w:cs="Times New Roman"/>
          <w:i/>
          <w:iCs/>
          <w:noProof/>
          <w:szCs w:val="24"/>
        </w:rPr>
        <w:t>Environ. Sci. Technol.</w:t>
      </w:r>
      <w:r w:rsidRPr="00602457">
        <w:rPr>
          <w:rFonts w:cs="Times New Roman"/>
          <w:noProof/>
          <w:szCs w:val="24"/>
        </w:rPr>
        <w:t xml:space="preserve"> 55, 8247–8257. doi:https://doi.org/10.1021/acs.est.0c07674.</w:t>
      </w:r>
    </w:p>
    <w:p w14:paraId="3258B6F1"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 xml:space="preserve">Li, X., Mupondwa, E., and Tabil, L. (2018). Technoeconomic analysis of biojet fuel production from camelina at commercial scale: Case of Canadian Prairies. </w:t>
      </w:r>
      <w:r w:rsidRPr="00602457">
        <w:rPr>
          <w:rFonts w:cs="Times New Roman"/>
          <w:i/>
          <w:iCs/>
          <w:noProof/>
          <w:szCs w:val="24"/>
        </w:rPr>
        <w:t>Bioresour. Technol.</w:t>
      </w:r>
      <w:r w:rsidRPr="00602457">
        <w:rPr>
          <w:rFonts w:cs="Times New Roman"/>
          <w:noProof/>
          <w:szCs w:val="24"/>
        </w:rPr>
        <w:t xml:space="preserve"> 249, 196–205. doi:https://doi.org/10.1016/j.biortech.2017.09.183.</w:t>
      </w:r>
    </w:p>
    <w:p w14:paraId="106F1B2A"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 xml:space="preserve">Niziolek, A. M., Onel, O., Hasan, M. M. F., and Floudas, C. A. (2015). Municipal solid waste to liquid transportation fuels – Part II: Process synthesis and global optimization strategies. </w:t>
      </w:r>
      <w:r w:rsidRPr="00602457">
        <w:rPr>
          <w:rFonts w:cs="Times New Roman"/>
          <w:i/>
          <w:iCs/>
          <w:noProof/>
          <w:szCs w:val="24"/>
        </w:rPr>
        <w:t>Comput. Chem. Eng.</w:t>
      </w:r>
      <w:r w:rsidRPr="00602457">
        <w:rPr>
          <w:rFonts w:cs="Times New Roman"/>
          <w:noProof/>
          <w:szCs w:val="24"/>
        </w:rPr>
        <w:t xml:space="preserve"> 74, 184–203. doi:https://doi.org/10.1016/j.compchemeng.2014.10.007.</w:t>
      </w:r>
    </w:p>
    <w:p w14:paraId="1171C50C"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Pearlson, M. N. (2011). A Techno-Economic and Environmental Assessment of Hydroprocessed Renewable Distillate Fuels. Available at: https://dspace.mit.edu/handle/1721.1/65508.</w:t>
      </w:r>
    </w:p>
    <w:p w14:paraId="54A105F8"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Port of Seattle, and Washington State University (2020). Potential Northwest Regional Feedstock and Production of Sustainable Aviation Fuel. Seattle Available at: https://www.portseattle.org/sites/default/files/2020-08/PofSeattleWSU2019updated_appendix.pdf.</w:t>
      </w:r>
    </w:p>
    <w:p w14:paraId="406EE62B"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 xml:space="preserve">Pressley, P. N., Aziz, T. N., DeCarolis, J. F., Barlaz, M. A., He, F., Li, F., et al. (2014). Municipal solid waste conversion to transportation fuels: a life-cycle estimation of global warming potential and energy consumption. </w:t>
      </w:r>
      <w:r w:rsidRPr="00602457">
        <w:rPr>
          <w:rFonts w:cs="Times New Roman"/>
          <w:i/>
          <w:iCs/>
          <w:noProof/>
          <w:szCs w:val="24"/>
        </w:rPr>
        <w:t>J. Clean. Prod.</w:t>
      </w:r>
      <w:r w:rsidRPr="00602457">
        <w:rPr>
          <w:rFonts w:cs="Times New Roman"/>
          <w:noProof/>
          <w:szCs w:val="24"/>
        </w:rPr>
        <w:t xml:space="preserve"> 70, 145–153. doi:https://doi.org/10.1016/j.jclepro.2014.02.041.</w:t>
      </w:r>
    </w:p>
    <w:p w14:paraId="7980C8BF"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Schneider, B. S. (2021). Sustainable Skies Act. Washington D.C.: House of Representatives Available at: https://www.congress.gov/117/bills/hr3440/BILLS-117hr3440ih.pdf.</w:t>
      </w:r>
    </w:p>
    <w:p w14:paraId="5CA25261"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Swanson, R. M., Platon, A., Satrio, J. A., Brown, R. C., and Hsu, D. D. (2010). Techno-economic analysis of biofuels production based on gasification. Golden, Colorado: National Renewable Energy Lab.(NREL), Golden, CO (United States).</w:t>
      </w:r>
    </w:p>
    <w:p w14:paraId="5A3F2AFA"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 xml:space="preserve">Tanzil, A. H., Brandt, K., Wolcott, M., Zhang, X., and Garcia-Perez, M. (2021). Strategic assessment of sustainable aviation fuel production technologies: Yield improvement and cost reduction opportunities. </w:t>
      </w:r>
      <w:r w:rsidRPr="00602457">
        <w:rPr>
          <w:rFonts w:cs="Times New Roman"/>
          <w:i/>
          <w:iCs/>
          <w:noProof/>
          <w:szCs w:val="24"/>
        </w:rPr>
        <w:t>Biomass and Bioenergy</w:t>
      </w:r>
      <w:r w:rsidRPr="00602457">
        <w:rPr>
          <w:rFonts w:cs="Times New Roman"/>
          <w:noProof/>
          <w:szCs w:val="24"/>
        </w:rPr>
        <w:t xml:space="preserve"> 145. doi:10.1016/j.biombioe.2020.105942.</w:t>
      </w:r>
    </w:p>
    <w:p w14:paraId="4460AD8F"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 xml:space="preserve">Tao, L., Tan, E. C. D., McCormick, R., Zhang, M., Aden, A., He, X., et al. (2014). Techno-economic analysis and life-cycle assessment of cellulosic isobutanol and comparison with cellulosic ethanol and n-butanol. </w:t>
      </w:r>
      <w:r w:rsidRPr="00602457">
        <w:rPr>
          <w:rFonts w:cs="Times New Roman"/>
          <w:i/>
          <w:iCs/>
          <w:noProof/>
          <w:szCs w:val="24"/>
        </w:rPr>
        <w:t>Biofuels, Bioprod. Biorefining</w:t>
      </w:r>
      <w:r w:rsidRPr="00602457">
        <w:rPr>
          <w:rFonts w:cs="Times New Roman"/>
          <w:noProof/>
          <w:szCs w:val="24"/>
        </w:rPr>
        <w:t xml:space="preserve"> 8, 30–48. doi:https://doi.org/10.1002/bbb.1431.</w:t>
      </w:r>
    </w:p>
    <w:p w14:paraId="4BEF20A3"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U.S. Department of Energy (2011). Crop Residues and Agricultural Wastes. 2. Available at: https://www1.eere.energy.gov/bioenergy/pdfs/btu_crop_residues.pdf.</w:t>
      </w:r>
    </w:p>
    <w:p w14:paraId="2FC3F751"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 xml:space="preserve">U.S. Department of Energy (2021a). Alternative Fuel Excise Tax Credit. </w:t>
      </w:r>
      <w:r w:rsidRPr="00602457">
        <w:rPr>
          <w:rFonts w:cs="Times New Roman"/>
          <w:i/>
          <w:iCs/>
          <w:noProof/>
          <w:szCs w:val="24"/>
        </w:rPr>
        <w:t>Altern. Fuels Data Cent.</w:t>
      </w:r>
      <w:r w:rsidRPr="00602457">
        <w:rPr>
          <w:rFonts w:cs="Times New Roman"/>
          <w:noProof/>
          <w:szCs w:val="24"/>
        </w:rPr>
        <w:t xml:space="preserve"> Available at: https://afdc.energy.gov/laws/319 [Accessed October 14, 2021].</w:t>
      </w:r>
    </w:p>
    <w:p w14:paraId="0BF399B3" w14:textId="77777777" w:rsidR="00602457" w:rsidRPr="00602457" w:rsidRDefault="00602457" w:rsidP="00602457">
      <w:pPr>
        <w:widowControl w:val="0"/>
        <w:autoSpaceDE w:val="0"/>
        <w:autoSpaceDN w:val="0"/>
        <w:adjustRightInd w:val="0"/>
        <w:spacing w:before="240"/>
        <w:ind w:left="480" w:hanging="480"/>
        <w:rPr>
          <w:rFonts w:cs="Times New Roman"/>
          <w:noProof/>
          <w:szCs w:val="24"/>
        </w:rPr>
      </w:pPr>
      <w:r w:rsidRPr="00602457">
        <w:rPr>
          <w:rFonts w:cs="Times New Roman"/>
          <w:noProof/>
          <w:szCs w:val="24"/>
        </w:rPr>
        <w:t xml:space="preserve">U.S. Department of Energy (2021b). Biodiesel Mixture Excise Tax Credit. </w:t>
      </w:r>
      <w:r w:rsidRPr="00602457">
        <w:rPr>
          <w:rFonts w:cs="Times New Roman"/>
          <w:i/>
          <w:iCs/>
          <w:noProof/>
          <w:szCs w:val="24"/>
        </w:rPr>
        <w:t>Laws Incent.</w:t>
      </w:r>
      <w:r w:rsidRPr="00602457">
        <w:rPr>
          <w:rFonts w:cs="Times New Roman"/>
          <w:noProof/>
          <w:szCs w:val="24"/>
        </w:rPr>
        <w:t xml:space="preserve"> Available at: https://afdc.energy.gov/laws/395#:~:text=A biodiesel blender that is,at least 0.1%25 diesel fuel [Accessed December 5, 2021].</w:t>
      </w:r>
    </w:p>
    <w:p w14:paraId="1B5C0F24" w14:textId="77777777" w:rsidR="00602457" w:rsidRPr="00602457" w:rsidRDefault="00602457" w:rsidP="00602457">
      <w:pPr>
        <w:widowControl w:val="0"/>
        <w:autoSpaceDE w:val="0"/>
        <w:autoSpaceDN w:val="0"/>
        <w:adjustRightInd w:val="0"/>
        <w:spacing w:before="240"/>
        <w:ind w:left="480" w:hanging="480"/>
        <w:rPr>
          <w:rFonts w:cs="Times New Roman"/>
          <w:noProof/>
        </w:rPr>
      </w:pPr>
      <w:r w:rsidRPr="00602457">
        <w:rPr>
          <w:rFonts w:cs="Times New Roman"/>
          <w:noProof/>
          <w:szCs w:val="24"/>
        </w:rPr>
        <w:t xml:space="preserve">U.S. Environmental Protection Agency (2018). Landfilling. </w:t>
      </w:r>
      <w:r w:rsidRPr="00602457">
        <w:rPr>
          <w:rFonts w:cs="Times New Roman"/>
          <w:i/>
          <w:iCs/>
          <w:noProof/>
          <w:szCs w:val="24"/>
        </w:rPr>
        <w:t>Natl. Overv. Facts Fig. Mater. Wastes Recycl.</w:t>
      </w:r>
    </w:p>
    <w:p w14:paraId="7B65BC41" w14:textId="3BCBDDB6" w:rsidR="00DE23E8" w:rsidRPr="001549D3" w:rsidRDefault="0094169E" w:rsidP="00654E8F">
      <w:pPr>
        <w:spacing w:before="240"/>
      </w:pPr>
      <w:r>
        <w:fldChar w:fldCharType="end"/>
      </w: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C0A8" w14:textId="77777777" w:rsidR="00F942A7" w:rsidRDefault="00F942A7" w:rsidP="00117666">
      <w:pPr>
        <w:spacing w:after="0"/>
      </w:pPr>
      <w:r>
        <w:separator/>
      </w:r>
    </w:p>
  </w:endnote>
  <w:endnote w:type="continuationSeparator" w:id="0">
    <w:p w14:paraId="1855A50D" w14:textId="77777777" w:rsidR="00F942A7" w:rsidRDefault="00F942A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6A60" w14:textId="77777777" w:rsidR="00F942A7" w:rsidRDefault="00F942A7" w:rsidP="00117666">
      <w:pPr>
        <w:spacing w:after="0"/>
      </w:pPr>
      <w:r>
        <w:separator/>
      </w:r>
    </w:p>
  </w:footnote>
  <w:footnote w:type="continuationSeparator" w:id="0">
    <w:p w14:paraId="40B94D85" w14:textId="77777777" w:rsidR="00F942A7" w:rsidRDefault="00F942A7"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NTA0MjEwMjSzMDdW0lEKTi0uzszPAykwqgUA8XrotSwAAAA="/>
  </w:docVars>
  <w:rsids>
    <w:rsidRoot w:val="00ED20B5"/>
    <w:rsid w:val="0001436A"/>
    <w:rsid w:val="0003363A"/>
    <w:rsid w:val="00034304"/>
    <w:rsid w:val="00035434"/>
    <w:rsid w:val="00041597"/>
    <w:rsid w:val="00052A14"/>
    <w:rsid w:val="00075DF9"/>
    <w:rsid w:val="00077D53"/>
    <w:rsid w:val="000804E9"/>
    <w:rsid w:val="000A6133"/>
    <w:rsid w:val="000F5421"/>
    <w:rsid w:val="001053B4"/>
    <w:rsid w:val="00105FD9"/>
    <w:rsid w:val="00117666"/>
    <w:rsid w:val="0012576D"/>
    <w:rsid w:val="001549D3"/>
    <w:rsid w:val="00160065"/>
    <w:rsid w:val="00177D84"/>
    <w:rsid w:val="00187A94"/>
    <w:rsid w:val="001D558C"/>
    <w:rsid w:val="001F1983"/>
    <w:rsid w:val="00211286"/>
    <w:rsid w:val="00216141"/>
    <w:rsid w:val="00267D18"/>
    <w:rsid w:val="00274347"/>
    <w:rsid w:val="002868E2"/>
    <w:rsid w:val="002869C3"/>
    <w:rsid w:val="002936E4"/>
    <w:rsid w:val="002B4A57"/>
    <w:rsid w:val="002C6FD0"/>
    <w:rsid w:val="002C74CA"/>
    <w:rsid w:val="003123F4"/>
    <w:rsid w:val="00330CBE"/>
    <w:rsid w:val="003544FB"/>
    <w:rsid w:val="003635C0"/>
    <w:rsid w:val="00396E97"/>
    <w:rsid w:val="003D2F2D"/>
    <w:rsid w:val="003F046D"/>
    <w:rsid w:val="00401590"/>
    <w:rsid w:val="00447801"/>
    <w:rsid w:val="00452E9C"/>
    <w:rsid w:val="004735C8"/>
    <w:rsid w:val="004947A6"/>
    <w:rsid w:val="004961FF"/>
    <w:rsid w:val="004B385C"/>
    <w:rsid w:val="00517A89"/>
    <w:rsid w:val="005250F2"/>
    <w:rsid w:val="00593EEA"/>
    <w:rsid w:val="005A5EEE"/>
    <w:rsid w:val="005F3461"/>
    <w:rsid w:val="00602457"/>
    <w:rsid w:val="006375C7"/>
    <w:rsid w:val="006520F6"/>
    <w:rsid w:val="00654E8F"/>
    <w:rsid w:val="00660D05"/>
    <w:rsid w:val="006820B1"/>
    <w:rsid w:val="006B7D14"/>
    <w:rsid w:val="00701727"/>
    <w:rsid w:val="0070566C"/>
    <w:rsid w:val="00714C50"/>
    <w:rsid w:val="00725A7D"/>
    <w:rsid w:val="00735C75"/>
    <w:rsid w:val="007501BE"/>
    <w:rsid w:val="00790BB3"/>
    <w:rsid w:val="007C206C"/>
    <w:rsid w:val="007E5191"/>
    <w:rsid w:val="008000E5"/>
    <w:rsid w:val="00817DD6"/>
    <w:rsid w:val="0083759F"/>
    <w:rsid w:val="00885156"/>
    <w:rsid w:val="008A2288"/>
    <w:rsid w:val="008C0033"/>
    <w:rsid w:val="008D4C56"/>
    <w:rsid w:val="009151AA"/>
    <w:rsid w:val="009209B0"/>
    <w:rsid w:val="00927805"/>
    <w:rsid w:val="0093429D"/>
    <w:rsid w:val="0094169E"/>
    <w:rsid w:val="00943573"/>
    <w:rsid w:val="00964134"/>
    <w:rsid w:val="00970F7D"/>
    <w:rsid w:val="009904C0"/>
    <w:rsid w:val="00994A3D"/>
    <w:rsid w:val="009ABFBA"/>
    <w:rsid w:val="009C2B12"/>
    <w:rsid w:val="009F4ECA"/>
    <w:rsid w:val="00A174D9"/>
    <w:rsid w:val="00A2588E"/>
    <w:rsid w:val="00A83947"/>
    <w:rsid w:val="00AA1F91"/>
    <w:rsid w:val="00AA4D24"/>
    <w:rsid w:val="00AB6715"/>
    <w:rsid w:val="00AE4A0E"/>
    <w:rsid w:val="00B1671E"/>
    <w:rsid w:val="00B234C1"/>
    <w:rsid w:val="00B25EB8"/>
    <w:rsid w:val="00B37F4D"/>
    <w:rsid w:val="00B55758"/>
    <w:rsid w:val="00BE117F"/>
    <w:rsid w:val="00C52A7B"/>
    <w:rsid w:val="00C56BAF"/>
    <w:rsid w:val="00C679AA"/>
    <w:rsid w:val="00C75972"/>
    <w:rsid w:val="00C87B5D"/>
    <w:rsid w:val="00CD066B"/>
    <w:rsid w:val="00CE4FEE"/>
    <w:rsid w:val="00D060CF"/>
    <w:rsid w:val="00D1293E"/>
    <w:rsid w:val="00D2544D"/>
    <w:rsid w:val="00D6576F"/>
    <w:rsid w:val="00D94FC3"/>
    <w:rsid w:val="00DA358D"/>
    <w:rsid w:val="00DB59C3"/>
    <w:rsid w:val="00DC259A"/>
    <w:rsid w:val="00DE23E8"/>
    <w:rsid w:val="00DF59E7"/>
    <w:rsid w:val="00E414C3"/>
    <w:rsid w:val="00E51FDE"/>
    <w:rsid w:val="00E52377"/>
    <w:rsid w:val="00E537AD"/>
    <w:rsid w:val="00E64E17"/>
    <w:rsid w:val="00E75CCF"/>
    <w:rsid w:val="00E834B3"/>
    <w:rsid w:val="00E866C9"/>
    <w:rsid w:val="00E91657"/>
    <w:rsid w:val="00EA3D3C"/>
    <w:rsid w:val="00EC090A"/>
    <w:rsid w:val="00ED20B5"/>
    <w:rsid w:val="00F1042C"/>
    <w:rsid w:val="00F46900"/>
    <w:rsid w:val="00F61D89"/>
    <w:rsid w:val="00F71D00"/>
    <w:rsid w:val="00F942A7"/>
    <w:rsid w:val="00FA3ED6"/>
    <w:rsid w:val="020AC189"/>
    <w:rsid w:val="06A5CBD8"/>
    <w:rsid w:val="073E82E5"/>
    <w:rsid w:val="07642F13"/>
    <w:rsid w:val="0F6750CD"/>
    <w:rsid w:val="101F3BEC"/>
    <w:rsid w:val="11BB0C4D"/>
    <w:rsid w:val="120D50AB"/>
    <w:rsid w:val="1356DCAE"/>
    <w:rsid w:val="164095D8"/>
    <w:rsid w:val="164FB6C3"/>
    <w:rsid w:val="17CEF10C"/>
    <w:rsid w:val="1DD06C04"/>
    <w:rsid w:val="1E6A0122"/>
    <w:rsid w:val="1E8EF215"/>
    <w:rsid w:val="237D1D04"/>
    <w:rsid w:val="29E3B368"/>
    <w:rsid w:val="2AA69CF8"/>
    <w:rsid w:val="2E60F778"/>
    <w:rsid w:val="2FDBB15E"/>
    <w:rsid w:val="31311024"/>
    <w:rsid w:val="31BFB334"/>
    <w:rsid w:val="364E2D68"/>
    <w:rsid w:val="36FD442A"/>
    <w:rsid w:val="3AF7A122"/>
    <w:rsid w:val="3B4D6D1D"/>
    <w:rsid w:val="3BC0C34F"/>
    <w:rsid w:val="3E5C61CD"/>
    <w:rsid w:val="40DA0564"/>
    <w:rsid w:val="420962EB"/>
    <w:rsid w:val="4A21EE5B"/>
    <w:rsid w:val="4C54D1B7"/>
    <w:rsid w:val="4CD903D9"/>
    <w:rsid w:val="52ACD8EA"/>
    <w:rsid w:val="533F9A3D"/>
    <w:rsid w:val="53A91918"/>
    <w:rsid w:val="55D9078F"/>
    <w:rsid w:val="57AAD191"/>
    <w:rsid w:val="586AC6CA"/>
    <w:rsid w:val="5973C0D1"/>
    <w:rsid w:val="5AD78E54"/>
    <w:rsid w:val="5BA0ECD8"/>
    <w:rsid w:val="5F4BDB90"/>
    <w:rsid w:val="61786385"/>
    <w:rsid w:val="6181EE3F"/>
    <w:rsid w:val="6288E81B"/>
    <w:rsid w:val="66CDEBB8"/>
    <w:rsid w:val="6A531F6D"/>
    <w:rsid w:val="6B7D6EB4"/>
    <w:rsid w:val="6F942CF1"/>
    <w:rsid w:val="707DC3FE"/>
    <w:rsid w:val="7330F2D6"/>
    <w:rsid w:val="761F2B1F"/>
    <w:rsid w:val="79CF8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TotalTime>
  <Pages>6</Pages>
  <Words>12201</Words>
  <Characters>69550</Characters>
  <Application>Microsoft Office Word</Application>
  <DocSecurity>0</DocSecurity>
  <Lines>579</Lines>
  <Paragraphs>163</Paragraphs>
  <ScaleCrop>false</ScaleCrop>
  <Company/>
  <LinksUpToDate>false</LinksUpToDate>
  <CharactersWithSpaces>81588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Brandt, Kristin</cp:lastModifiedBy>
  <cp:revision>3</cp:revision>
  <cp:lastPrinted>2013-10-03T12:51:00Z</cp:lastPrinted>
  <dcterms:created xsi:type="dcterms:W3CDTF">2021-12-03T21:26:00Z</dcterms:created>
  <dcterms:modified xsi:type="dcterms:W3CDTF">2022-01-11T21:43:00Z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http://www.zotero.org/styles/frontiers-in-energy-research</vt:lpwstr>
  </property>
  <property fmtid="{D5CDD505-2E9C-101B-9397-08002B2CF9AE}" pid="4" name="Mendeley Unique User Id_1">
    <vt:lpwstr>e6c4ab25-179a-3430-a1ee-96f110919d2d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http://www.zotero.org/styles/frontiers-in-energy-research</vt:lpwstr>
  </property>
  <property fmtid="{D5CDD505-2E9C-101B-9397-08002B2CF9AE}" pid="14" name="Mendeley Recent Style Name 4_1">
    <vt:lpwstr>Frontiers in Energy Research</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http://www.zotero.org/styles/journal-of-cleaner-production</vt:lpwstr>
  </property>
  <property fmtid="{D5CDD505-2E9C-101B-9397-08002B2CF9AE}" pid="18" name="Mendeley Recent Style Name 6_1">
    <vt:lpwstr>Journal of Cleaner Production</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