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4A5562" w:rsidRDefault="00654E8F" w:rsidP="00721DEA">
      <w:pPr>
        <w:pStyle w:val="SupplementaryMaterial"/>
        <w:spacing w:before="120" w:after="240"/>
        <w:rPr>
          <w:b w:val="0"/>
          <w:color w:val="000000" w:themeColor="text1"/>
        </w:rPr>
      </w:pPr>
      <w:bookmarkStart w:id="0" w:name="_Hlk95730333"/>
      <w:bookmarkEnd w:id="0"/>
      <w:r w:rsidRPr="004A5562">
        <w:rPr>
          <w:color w:val="000000" w:themeColor="text1"/>
        </w:rPr>
        <w:t>Supplementary Material</w:t>
      </w:r>
    </w:p>
    <w:p w14:paraId="3BD5A427" w14:textId="4C30ED8C" w:rsidR="00EA3D3C" w:rsidRPr="004A5562" w:rsidRDefault="00654E8F" w:rsidP="00721DEA">
      <w:pPr>
        <w:pStyle w:val="Heading1"/>
        <w:spacing w:before="120"/>
        <w:ind w:left="0" w:firstLine="0"/>
        <w:rPr>
          <w:color w:val="000000" w:themeColor="text1"/>
        </w:rPr>
      </w:pPr>
      <w:r w:rsidRPr="004A5562">
        <w:rPr>
          <w:color w:val="000000" w:themeColor="text1"/>
        </w:rPr>
        <w:t xml:space="preserve">Supplementary </w:t>
      </w:r>
      <w:r w:rsidR="00FC2927" w:rsidRPr="004A5562">
        <w:rPr>
          <w:rFonts w:eastAsia="Microsoft YaHei"/>
          <w:color w:val="000000" w:themeColor="text1"/>
        </w:rPr>
        <w:t>Materials and Methods</w:t>
      </w:r>
    </w:p>
    <w:p w14:paraId="0DB191BA" w14:textId="4512C8DD" w:rsidR="00D31AFF" w:rsidRPr="004A5562" w:rsidRDefault="00D31AFF" w:rsidP="00721DEA">
      <w:pPr>
        <w:pStyle w:val="Heading2"/>
        <w:spacing w:before="120" w:after="240"/>
        <w:ind w:left="0" w:firstLine="0"/>
        <w:rPr>
          <w:color w:val="000000" w:themeColor="text1"/>
        </w:rPr>
      </w:pPr>
      <w:r w:rsidRPr="004A5562">
        <w:rPr>
          <w:color w:val="000000" w:themeColor="text1"/>
        </w:rPr>
        <w:t>Ethics Statement</w:t>
      </w:r>
    </w:p>
    <w:p w14:paraId="70303F38" w14:textId="66705DC2" w:rsidR="00D31AFF" w:rsidRPr="004A5562" w:rsidRDefault="00D31AFF" w:rsidP="00721DEA">
      <w:pPr>
        <w:spacing w:beforeLines="100" w:before="240" w:afterLines="100"/>
        <w:rPr>
          <w:rFonts w:eastAsia="Microsoft YaHei" w:cs="Times New Roman"/>
          <w:color w:val="000000" w:themeColor="text1"/>
          <w:szCs w:val="24"/>
        </w:rPr>
      </w:pPr>
      <w:r w:rsidRPr="004A5562">
        <w:rPr>
          <w:rFonts w:eastAsia="Microsoft YaHei" w:cs="Times New Roman"/>
          <w:color w:val="000000" w:themeColor="text1"/>
          <w:szCs w:val="24"/>
        </w:rPr>
        <w:t>The experimental protocol was approved by the animal experiment ethics committee of the Fourth Military Medical University (Xi’an, China), and animal experiments were performed according to the guidelines of the Animal Care Committee</w:t>
      </w:r>
      <w:r w:rsidR="00721DEA" w:rsidRPr="004A5562">
        <w:rPr>
          <w:rFonts w:eastAsia="Microsoft YaHei" w:cs="Times New Roman"/>
          <w:color w:val="000000" w:themeColor="text1"/>
          <w:szCs w:val="24"/>
        </w:rPr>
        <w:t xml:space="preserve"> </w:t>
      </w:r>
      <w:r w:rsidR="00721DEA" w:rsidRPr="004A5562">
        <w:rPr>
          <w:color w:val="000000" w:themeColor="text1"/>
          <w:szCs w:val="24"/>
          <w:shd w:val="clear" w:color="auto" w:fill="FFFFFF"/>
        </w:rPr>
        <w:t>(permit no. IACUC-20120117)</w:t>
      </w:r>
      <w:r w:rsidRPr="004A5562">
        <w:rPr>
          <w:rFonts w:eastAsia="Microsoft YaHei" w:cs="Times New Roman"/>
          <w:color w:val="000000" w:themeColor="text1"/>
          <w:szCs w:val="24"/>
        </w:rPr>
        <w:t>.</w:t>
      </w:r>
    </w:p>
    <w:p w14:paraId="05F63F75" w14:textId="77777777" w:rsidR="00D31AFF" w:rsidRPr="004A5562" w:rsidRDefault="00D31AFF" w:rsidP="00721DEA">
      <w:pPr>
        <w:pStyle w:val="Heading2"/>
        <w:spacing w:before="120" w:after="240"/>
        <w:ind w:left="0" w:firstLine="0"/>
        <w:rPr>
          <w:color w:val="000000" w:themeColor="text1"/>
        </w:rPr>
      </w:pPr>
      <w:r w:rsidRPr="004A5562">
        <w:rPr>
          <w:color w:val="000000" w:themeColor="text1"/>
        </w:rPr>
        <w:t>Animal experiments</w:t>
      </w:r>
    </w:p>
    <w:p w14:paraId="52ED2593" w14:textId="77777777" w:rsidR="00D31AFF" w:rsidRPr="004A5562" w:rsidRDefault="00D31AFF" w:rsidP="00721DEA">
      <w:pPr>
        <w:spacing w:beforeLines="100" w:before="240" w:afterLines="100"/>
        <w:rPr>
          <w:rFonts w:eastAsia="Microsoft YaHei" w:cs="Times New Roman"/>
          <w:color w:val="000000" w:themeColor="text1"/>
          <w:szCs w:val="24"/>
        </w:rPr>
      </w:pPr>
      <w:r w:rsidRPr="004A5562">
        <w:rPr>
          <w:rFonts w:eastAsia="Microsoft YaHei" w:cs="Times New Roman"/>
          <w:color w:val="000000" w:themeColor="text1"/>
          <w:szCs w:val="24"/>
        </w:rPr>
        <w:t xml:space="preserve">Six-week-old male Sprague–Dawley rats were purchased from the Experimental Animal Center of the Fourth Military Medical University and were fed under specific pathogen-free conditions. Briefly, the rats were randomly assigned to two groups, the silicone-implanted group (n = 4) and the control group (n = 4). </w:t>
      </w:r>
    </w:p>
    <w:p w14:paraId="6EC74979" w14:textId="05F5C7E8" w:rsidR="00D31AFF" w:rsidRPr="004A5562" w:rsidRDefault="00377DCB" w:rsidP="00721DEA">
      <w:pPr>
        <w:spacing w:beforeLines="100" w:before="240" w:afterLines="100"/>
        <w:rPr>
          <w:rFonts w:eastAsia="Microsoft YaHei" w:cs="Times New Roman"/>
          <w:color w:val="000000" w:themeColor="text1"/>
          <w:szCs w:val="24"/>
        </w:rPr>
      </w:pPr>
      <w:r w:rsidRPr="004A5562">
        <w:rPr>
          <w:color w:val="000000" w:themeColor="text1"/>
          <w:szCs w:val="24"/>
        </w:rPr>
        <w:t xml:space="preserve">A round silicone sheet of 1.0 cm diameter was customized by </w:t>
      </w:r>
      <w:proofErr w:type="spellStart"/>
      <w:r w:rsidRPr="004A5562">
        <w:rPr>
          <w:color w:val="000000" w:themeColor="text1"/>
          <w:szCs w:val="24"/>
        </w:rPr>
        <w:t>Wanhe</w:t>
      </w:r>
      <w:proofErr w:type="spellEnd"/>
      <w:r w:rsidRPr="004A5562">
        <w:rPr>
          <w:color w:val="000000" w:themeColor="text1"/>
          <w:szCs w:val="24"/>
        </w:rPr>
        <w:t xml:space="preserve"> Plastic Materials Co, Ltd (Guangzhou, China)</w:t>
      </w:r>
      <w:r w:rsidR="00D31AFF" w:rsidRPr="004A5562">
        <w:rPr>
          <w:rFonts w:eastAsia="Microsoft YaHei" w:cs="Times New Roman"/>
          <w:color w:val="000000" w:themeColor="text1"/>
          <w:szCs w:val="24"/>
        </w:rPr>
        <w:t xml:space="preserve">. Eight rats were randomly divided into two groups, the silicone-implanted group (n = 4) and the control group (n = 4). </w:t>
      </w:r>
    </w:p>
    <w:p w14:paraId="0FE43FE7" w14:textId="5D8AA014" w:rsidR="009747CB" w:rsidRPr="004A5562" w:rsidRDefault="00D31AFF" w:rsidP="009747CB">
      <w:pPr>
        <w:spacing w:beforeLines="100" w:before="240" w:afterLines="100"/>
        <w:rPr>
          <w:rFonts w:eastAsia="Microsoft YaHei" w:cs="Times New Roman"/>
          <w:color w:val="000000" w:themeColor="text1"/>
          <w:szCs w:val="24"/>
        </w:rPr>
      </w:pPr>
      <w:r w:rsidRPr="004A5562">
        <w:rPr>
          <w:rFonts w:eastAsia="Microsoft YaHei" w:cs="Times New Roman"/>
          <w:color w:val="000000" w:themeColor="text1"/>
          <w:szCs w:val="24"/>
        </w:rPr>
        <w:t>Rats were anesthetized with 2% sodium pentobarbital. The hair in the surgical area was shaved, and the eyes were lubricated with an ophthalmic ointment before surgery. The rats were disinfected with iodophor while in a prone position. A 1.5-cm transverse incision was created at the appropriate cervical dorsal area and a subcutaneous pocket was created under the scalp</w:t>
      </w:r>
      <w:r w:rsidR="00126E30" w:rsidRPr="004A5562">
        <w:rPr>
          <w:rFonts w:eastAsia="Microsoft YaHei" w:cs="Times New Roman"/>
          <w:color w:val="000000" w:themeColor="text1"/>
          <w:szCs w:val="24"/>
          <w:lang w:eastAsia="zh-CN"/>
        </w:rPr>
        <w:t xml:space="preserve">. </w:t>
      </w:r>
      <w:r w:rsidR="00126E30" w:rsidRPr="004A5562">
        <w:rPr>
          <w:color w:val="000000" w:themeColor="text1"/>
          <w:szCs w:val="24"/>
        </w:rPr>
        <w:t>The silicone sheet was surgically implanted under the scalp of rats that belonged to the silicone-implanted group</w:t>
      </w:r>
      <w:r w:rsidR="009747CB" w:rsidRPr="004A5562">
        <w:rPr>
          <w:color w:val="000000" w:themeColor="text1"/>
          <w:szCs w:val="24"/>
        </w:rPr>
        <w:t>, whereas the control group rats did not receive any implants</w:t>
      </w:r>
      <w:r w:rsidRPr="004A5562">
        <w:rPr>
          <w:rFonts w:eastAsia="Microsoft YaHei" w:cs="Times New Roman"/>
          <w:color w:val="000000" w:themeColor="text1"/>
          <w:szCs w:val="24"/>
        </w:rPr>
        <w:t>. The day on which the surgery was performed was defined as day 0</w:t>
      </w:r>
      <w:r w:rsidR="009747CB" w:rsidRPr="004A5562">
        <w:rPr>
          <w:rFonts w:eastAsia="Microsoft YaHei" w:cs="Times New Roman"/>
          <w:color w:val="000000" w:themeColor="text1"/>
          <w:szCs w:val="24"/>
        </w:rPr>
        <w:t>.</w:t>
      </w:r>
    </w:p>
    <w:p w14:paraId="241F806C" w14:textId="72E680B3" w:rsidR="00D31AFF" w:rsidRPr="004A5562" w:rsidRDefault="00D31AFF" w:rsidP="009747CB">
      <w:pPr>
        <w:pStyle w:val="Heading2"/>
        <w:rPr>
          <w:color w:val="000000" w:themeColor="text1"/>
        </w:rPr>
      </w:pPr>
      <w:r w:rsidRPr="004A5562">
        <w:rPr>
          <w:color w:val="000000" w:themeColor="text1"/>
        </w:rPr>
        <w:t>Tissue collection</w:t>
      </w:r>
    </w:p>
    <w:p w14:paraId="678E7F08" w14:textId="16B957B9" w:rsidR="00D31AFF" w:rsidRPr="004A5562" w:rsidRDefault="00D31AFF" w:rsidP="00721DEA">
      <w:pPr>
        <w:spacing w:beforeLines="100" w:before="240" w:afterLines="100"/>
        <w:rPr>
          <w:rFonts w:eastAsia="Microsoft YaHei" w:cs="Times New Roman"/>
          <w:color w:val="000000" w:themeColor="text1"/>
          <w:szCs w:val="24"/>
        </w:rPr>
      </w:pPr>
      <w:r w:rsidRPr="004A5562">
        <w:rPr>
          <w:rFonts w:eastAsia="Microsoft YaHei" w:cs="Times New Roman"/>
          <w:color w:val="000000" w:themeColor="text1"/>
          <w:szCs w:val="24"/>
        </w:rPr>
        <w:t xml:space="preserve">At 30-days post-surgery, all rats were anesthetized, and the scalp with the fibrous capsule </w:t>
      </w:r>
      <w:r w:rsidR="00241F84" w:rsidRPr="004A5562">
        <w:rPr>
          <w:rFonts w:eastAsia="Microsoft YaHei" w:cs="Times New Roman"/>
          <w:color w:val="000000" w:themeColor="text1"/>
          <w:szCs w:val="24"/>
        </w:rPr>
        <w:t xml:space="preserve">was </w:t>
      </w:r>
      <w:r w:rsidRPr="004A5562">
        <w:rPr>
          <w:rFonts w:eastAsia="Microsoft YaHei" w:cs="Times New Roman"/>
          <w:color w:val="000000" w:themeColor="text1"/>
          <w:szCs w:val="24"/>
        </w:rPr>
        <w:t xml:space="preserve">dissected out. One part of </w:t>
      </w:r>
      <w:r w:rsidR="00241F84" w:rsidRPr="004A5562">
        <w:rPr>
          <w:rFonts w:eastAsia="Microsoft YaHei" w:cs="Times New Roman"/>
          <w:color w:val="000000" w:themeColor="text1"/>
          <w:szCs w:val="24"/>
        </w:rPr>
        <w:t xml:space="preserve">the </w:t>
      </w:r>
      <w:r w:rsidRPr="004A5562">
        <w:rPr>
          <w:rFonts w:eastAsia="Microsoft YaHei" w:cs="Times New Roman"/>
          <w:color w:val="000000" w:themeColor="text1"/>
          <w:szCs w:val="24"/>
        </w:rPr>
        <w:t xml:space="preserve">scalp tissue sample was fixed in 10% neutral buffered formalin and was embedded in paraffin. From this, 3-μm-thick sections were sliced and prepared for hematoxylin and eosin (H&amp;E)-staining and immunofluorescence. The remaining tissues were stored in </w:t>
      </w:r>
      <w:proofErr w:type="spellStart"/>
      <w:r w:rsidRPr="004A5562">
        <w:rPr>
          <w:rFonts w:eastAsia="Microsoft YaHei" w:cs="Times New Roman"/>
          <w:color w:val="000000" w:themeColor="text1"/>
          <w:szCs w:val="24"/>
        </w:rPr>
        <w:t>RNAlater</w:t>
      </w:r>
      <w:proofErr w:type="spellEnd"/>
      <w:r w:rsidRPr="004A5562">
        <w:rPr>
          <w:rFonts w:eastAsia="Microsoft YaHei" w:cs="Times New Roman"/>
          <w:color w:val="000000" w:themeColor="text1"/>
          <w:szCs w:val="24"/>
        </w:rPr>
        <w:t xml:space="preserve"> (Invitrogen, Waltham, MA, USA) at -20°C. </w:t>
      </w:r>
    </w:p>
    <w:p w14:paraId="60AC40E7" w14:textId="77777777" w:rsidR="00D31AFF" w:rsidRPr="004A5562" w:rsidRDefault="00D31AFF" w:rsidP="00721DEA">
      <w:pPr>
        <w:pStyle w:val="Heading2"/>
        <w:spacing w:before="120" w:after="240"/>
        <w:ind w:left="0" w:firstLine="0"/>
        <w:rPr>
          <w:color w:val="000000" w:themeColor="text1"/>
        </w:rPr>
      </w:pPr>
      <w:r w:rsidRPr="004A5562">
        <w:rPr>
          <w:color w:val="000000" w:themeColor="text1"/>
        </w:rPr>
        <w:t>H&amp;E-staining and immunofluorescence</w:t>
      </w:r>
    </w:p>
    <w:p w14:paraId="4B42C671" w14:textId="35B3D0AD" w:rsidR="00D31AFF" w:rsidRPr="004A5562" w:rsidRDefault="00D31AFF" w:rsidP="00721DEA">
      <w:pPr>
        <w:spacing w:beforeLines="100" w:before="240" w:afterLines="100"/>
        <w:rPr>
          <w:rFonts w:eastAsia="Microsoft YaHei" w:cs="Times New Roman"/>
          <w:color w:val="000000" w:themeColor="text1"/>
          <w:szCs w:val="24"/>
        </w:rPr>
      </w:pPr>
      <w:r w:rsidRPr="004A5562">
        <w:rPr>
          <w:rFonts w:eastAsia="Microsoft YaHei" w:cs="Times New Roman"/>
          <w:color w:val="000000" w:themeColor="text1"/>
          <w:szCs w:val="24"/>
        </w:rPr>
        <w:t>Tissue sections were stained with H&amp;E according to routine procedures. For immunohistochemistry, tissue sections were submitted to an antigen retrieval step at 96</w:t>
      </w:r>
      <w:r w:rsidR="009747CB" w:rsidRPr="004A5562">
        <w:rPr>
          <w:rFonts w:eastAsia="Microsoft YaHei" w:cs="Times New Roman"/>
          <w:color w:val="000000" w:themeColor="text1"/>
          <w:szCs w:val="24"/>
        </w:rPr>
        <w:t>°C</w:t>
      </w:r>
      <w:r w:rsidRPr="004A5562">
        <w:rPr>
          <w:rFonts w:eastAsia="Microsoft YaHei" w:cs="Times New Roman"/>
          <w:color w:val="000000" w:themeColor="text1"/>
          <w:szCs w:val="24"/>
        </w:rPr>
        <w:t xml:space="preserve"> for 20 min in citrate buffer at PH 6.0, blocked for 1 h, after which they were incubated with primary antibody overnight at 4°C in a humid chamber. The antibodies were mouse anti-rat CD68 (1:100, </w:t>
      </w:r>
      <w:r w:rsidRPr="004A5562">
        <w:rPr>
          <w:rFonts w:eastAsia="Microsoft YaHei" w:cs="Times New Roman" w:hint="eastAsia"/>
          <w:color w:val="000000" w:themeColor="text1"/>
          <w:szCs w:val="24"/>
        </w:rPr>
        <w:t>ab</w:t>
      </w:r>
      <w:r w:rsidRPr="004A5562">
        <w:rPr>
          <w:rFonts w:eastAsia="Microsoft YaHei" w:cs="Times New Roman"/>
          <w:color w:val="000000" w:themeColor="text1"/>
          <w:szCs w:val="24"/>
        </w:rPr>
        <w:t xml:space="preserve">31630, Abcam, Cambridge, UK), and rabbit anti-rat alpha smooth muscle actin (1:100, 14395-1-AP, α-SMA, </w:t>
      </w:r>
      <w:proofErr w:type="spellStart"/>
      <w:r w:rsidRPr="004A5562">
        <w:rPr>
          <w:rFonts w:eastAsia="Microsoft YaHei" w:cs="Times New Roman"/>
          <w:color w:val="000000" w:themeColor="text1"/>
          <w:szCs w:val="24"/>
        </w:rPr>
        <w:t>ProteinTech</w:t>
      </w:r>
      <w:proofErr w:type="spellEnd"/>
      <w:r w:rsidRPr="004A5562">
        <w:rPr>
          <w:rFonts w:eastAsia="Microsoft YaHei" w:cs="Times New Roman"/>
          <w:color w:val="000000" w:themeColor="text1"/>
          <w:szCs w:val="24"/>
        </w:rPr>
        <w:t xml:space="preserve"> Group, Wuhan, China).  After washing in PBST (PBS with 0.1% Tween‒20), Fluorescently labeled secondary antibodies (antibody to mouse or rabbit) were applied for 1 h at 37℃ in a humid chamber (1:1000, Invitrogen, Carlsbad, CA,</w:t>
      </w:r>
      <w:r w:rsidRPr="004A5562">
        <w:rPr>
          <w:rFonts w:eastAsia="Microsoft YaHei" w:cs="Times New Roman" w:hint="eastAsia"/>
          <w:color w:val="000000" w:themeColor="text1"/>
          <w:szCs w:val="24"/>
        </w:rPr>
        <w:t xml:space="preserve"> </w:t>
      </w:r>
      <w:r w:rsidRPr="004A5562">
        <w:rPr>
          <w:rFonts w:eastAsia="Microsoft YaHei" w:cs="Times New Roman"/>
          <w:color w:val="000000" w:themeColor="text1"/>
          <w:szCs w:val="24"/>
        </w:rPr>
        <w:t>United States). After that, tissue sections were</w:t>
      </w:r>
      <w:r w:rsidRPr="004A5562">
        <w:rPr>
          <w:rFonts w:eastAsia="Microsoft YaHei" w:cs="Times New Roman" w:hint="eastAsia"/>
          <w:color w:val="000000" w:themeColor="text1"/>
          <w:szCs w:val="24"/>
        </w:rPr>
        <w:t xml:space="preserve"> </w:t>
      </w:r>
      <w:r w:rsidRPr="004A5562">
        <w:rPr>
          <w:rFonts w:eastAsia="Microsoft YaHei" w:cs="Times New Roman"/>
          <w:color w:val="000000" w:themeColor="text1"/>
          <w:szCs w:val="24"/>
        </w:rPr>
        <w:t xml:space="preserve">washed for 5 min with PBST, which was repeated three times. Nuclei were counterstained with 10 </w:t>
      </w:r>
      <w:proofErr w:type="spellStart"/>
      <w:r w:rsidRPr="004A5562">
        <w:rPr>
          <w:rFonts w:eastAsia="Microsoft YaHei" w:cs="Times New Roman"/>
          <w:color w:val="000000" w:themeColor="text1"/>
          <w:szCs w:val="24"/>
        </w:rPr>
        <w:t>μg</w:t>
      </w:r>
      <w:proofErr w:type="spellEnd"/>
      <w:r w:rsidRPr="004A5562">
        <w:rPr>
          <w:rFonts w:eastAsia="Microsoft YaHei" w:cs="Times New Roman"/>
          <w:color w:val="000000" w:themeColor="text1"/>
          <w:szCs w:val="24"/>
        </w:rPr>
        <w:t>/ml DAPI (</w:t>
      </w:r>
      <w:proofErr w:type="spellStart"/>
      <w:r w:rsidRPr="004A5562">
        <w:rPr>
          <w:rFonts w:eastAsia="Microsoft YaHei" w:cs="Times New Roman"/>
          <w:color w:val="000000" w:themeColor="text1"/>
          <w:szCs w:val="24"/>
        </w:rPr>
        <w:t>Solarbio</w:t>
      </w:r>
      <w:proofErr w:type="spellEnd"/>
      <w:r w:rsidRPr="004A5562">
        <w:rPr>
          <w:rFonts w:eastAsia="Microsoft YaHei" w:cs="Times New Roman"/>
          <w:color w:val="000000" w:themeColor="text1"/>
          <w:szCs w:val="24"/>
        </w:rPr>
        <w:t>, Beijing, China). Then, PBST solution was added again to rinse the tissue section three times. Immunofluorescent staining was examined using Nikon laser scanning confocal microscope (Nikon, Tokyo, Japan).</w:t>
      </w:r>
    </w:p>
    <w:p w14:paraId="5BC3C5CD" w14:textId="77777777" w:rsidR="00D31AFF" w:rsidRPr="004A5562" w:rsidRDefault="00D31AFF" w:rsidP="00721DEA">
      <w:pPr>
        <w:pStyle w:val="Heading2"/>
        <w:spacing w:before="120" w:after="240"/>
        <w:ind w:left="0" w:firstLine="0"/>
        <w:rPr>
          <w:color w:val="000000" w:themeColor="text1"/>
        </w:rPr>
      </w:pPr>
      <w:r w:rsidRPr="004A5562">
        <w:rPr>
          <w:color w:val="000000" w:themeColor="text1"/>
        </w:rPr>
        <w:t xml:space="preserve">RNA Extraction </w:t>
      </w:r>
      <w:bookmarkStart w:id="1" w:name="_Hlk90650633"/>
      <w:r w:rsidRPr="004A5562">
        <w:rPr>
          <w:color w:val="000000" w:themeColor="text1"/>
        </w:rPr>
        <w:t>and Quality Examination</w:t>
      </w:r>
      <w:bookmarkEnd w:id="1"/>
    </w:p>
    <w:p w14:paraId="008820C5" w14:textId="77777777" w:rsidR="00D31AFF" w:rsidRPr="004A5562" w:rsidRDefault="00D31AFF" w:rsidP="00721DEA">
      <w:pPr>
        <w:spacing w:beforeLines="100" w:before="240" w:afterLines="100"/>
        <w:rPr>
          <w:rFonts w:eastAsia="Microsoft YaHei" w:cs="Times New Roman"/>
          <w:color w:val="000000" w:themeColor="text1"/>
          <w:szCs w:val="24"/>
        </w:rPr>
      </w:pPr>
      <w:r w:rsidRPr="004A5562">
        <w:rPr>
          <w:rFonts w:eastAsia="Microsoft YaHei" w:cs="Times New Roman"/>
          <w:color w:val="000000" w:themeColor="text1"/>
          <w:szCs w:val="24"/>
        </w:rPr>
        <w:t xml:space="preserve">RNA extraction and quality examination were performed by </w:t>
      </w:r>
      <w:proofErr w:type="spellStart"/>
      <w:r w:rsidRPr="004A5562">
        <w:rPr>
          <w:rFonts w:eastAsia="Microsoft YaHei" w:cs="Times New Roman"/>
          <w:color w:val="000000" w:themeColor="text1"/>
          <w:szCs w:val="24"/>
        </w:rPr>
        <w:t>Annoroad</w:t>
      </w:r>
      <w:proofErr w:type="spellEnd"/>
      <w:r w:rsidRPr="004A5562">
        <w:rPr>
          <w:rFonts w:eastAsia="Microsoft YaHei" w:cs="Times New Roman"/>
          <w:color w:val="000000" w:themeColor="text1"/>
          <w:szCs w:val="24"/>
        </w:rPr>
        <w:t xml:space="preserve"> Gene Technology Co. Ltd. (Beijing, China; http://www.annoroad.com/). Total RNA was extracted using </w:t>
      </w:r>
      <w:proofErr w:type="spellStart"/>
      <w:r w:rsidRPr="004A5562">
        <w:rPr>
          <w:rFonts w:eastAsia="Microsoft YaHei" w:cs="Times New Roman"/>
          <w:color w:val="000000" w:themeColor="text1"/>
          <w:szCs w:val="24"/>
        </w:rPr>
        <w:t>Trizol</w:t>
      </w:r>
      <w:proofErr w:type="spellEnd"/>
      <w:r w:rsidRPr="004A5562">
        <w:rPr>
          <w:rFonts w:eastAsia="Microsoft YaHei" w:cs="Times New Roman"/>
          <w:color w:val="000000" w:themeColor="text1"/>
          <w:szCs w:val="24"/>
        </w:rPr>
        <w:t xml:space="preserve"> reagent according to the manufacturer’s recommendations. RNA purity was checked using the KaiaoK5500® Spectrophotometer (</w:t>
      </w:r>
      <w:proofErr w:type="spellStart"/>
      <w:r w:rsidRPr="004A5562">
        <w:rPr>
          <w:rFonts w:eastAsia="Microsoft YaHei" w:cs="Times New Roman"/>
          <w:color w:val="000000" w:themeColor="text1"/>
          <w:szCs w:val="24"/>
        </w:rPr>
        <w:t>Kaiao</w:t>
      </w:r>
      <w:proofErr w:type="spellEnd"/>
      <w:r w:rsidRPr="004A5562">
        <w:rPr>
          <w:rFonts w:eastAsia="Microsoft YaHei" w:cs="Times New Roman"/>
          <w:color w:val="000000" w:themeColor="text1"/>
          <w:szCs w:val="24"/>
        </w:rPr>
        <w:t>, Beijing, China). RNA integrity and concentration were assessed using the RNA Nano 6000 Assay Kit of the Bioanalyzer 2100 system (Agilent Technologies, Santa Clara, CA, USA).</w:t>
      </w:r>
    </w:p>
    <w:p w14:paraId="015DCA23" w14:textId="77777777" w:rsidR="00D31AFF" w:rsidRPr="004A5562" w:rsidRDefault="00D31AFF" w:rsidP="00721DEA">
      <w:pPr>
        <w:pStyle w:val="Heading2"/>
        <w:spacing w:before="120" w:after="240"/>
        <w:ind w:left="0" w:firstLine="0"/>
        <w:rPr>
          <w:color w:val="000000" w:themeColor="text1"/>
        </w:rPr>
      </w:pPr>
      <w:bookmarkStart w:id="2" w:name="_Hlk90664185"/>
      <w:r w:rsidRPr="004A5562">
        <w:rPr>
          <w:color w:val="000000" w:themeColor="text1"/>
        </w:rPr>
        <w:t>Library construction, examination, clustering and sequencing</w:t>
      </w:r>
    </w:p>
    <w:p w14:paraId="06204669" w14:textId="77777777" w:rsidR="00D31AFF" w:rsidRPr="004A5562" w:rsidRDefault="00D31AFF" w:rsidP="00721DEA">
      <w:pPr>
        <w:spacing w:beforeLines="100" w:before="240" w:afterLines="100"/>
        <w:rPr>
          <w:rFonts w:eastAsia="Microsoft YaHei" w:cs="Times New Roman"/>
          <w:color w:val="000000" w:themeColor="text1"/>
          <w:szCs w:val="24"/>
        </w:rPr>
      </w:pPr>
      <w:r w:rsidRPr="004A5562">
        <w:rPr>
          <w:rFonts w:eastAsia="Microsoft YaHei" w:cs="Times New Roman"/>
          <w:color w:val="000000" w:themeColor="text1"/>
          <w:szCs w:val="24"/>
        </w:rPr>
        <w:t xml:space="preserve">A total of 2 </w:t>
      </w:r>
      <w:proofErr w:type="spellStart"/>
      <w:r w:rsidRPr="004A5562">
        <w:rPr>
          <w:rFonts w:eastAsia="Microsoft YaHei" w:cs="Times New Roman"/>
          <w:color w:val="000000" w:themeColor="text1"/>
          <w:szCs w:val="24"/>
        </w:rPr>
        <w:t>μg</w:t>
      </w:r>
      <w:proofErr w:type="spellEnd"/>
      <w:r w:rsidRPr="004A5562">
        <w:rPr>
          <w:rFonts w:eastAsia="Microsoft YaHei" w:cs="Times New Roman"/>
          <w:color w:val="000000" w:themeColor="text1"/>
          <w:szCs w:val="24"/>
        </w:rPr>
        <w:t xml:space="preserve"> RNA per sample was used to generate cDNA libraries using </w:t>
      </w:r>
      <w:proofErr w:type="spellStart"/>
      <w:r w:rsidRPr="004A5562">
        <w:rPr>
          <w:rFonts w:eastAsia="Microsoft YaHei" w:cs="Times New Roman"/>
          <w:color w:val="000000" w:themeColor="text1"/>
          <w:szCs w:val="24"/>
        </w:rPr>
        <w:t>NEBNext</w:t>
      </w:r>
      <w:proofErr w:type="spellEnd"/>
      <w:r w:rsidRPr="004A5562">
        <w:rPr>
          <w:rFonts w:eastAsia="Microsoft YaHei" w:cs="Times New Roman"/>
          <w:color w:val="000000" w:themeColor="text1"/>
          <w:szCs w:val="24"/>
        </w:rPr>
        <w:t xml:space="preserve"> ® Ultra™ RNA Library Prep Kit for Illumina ® (#E7530L, New England </w:t>
      </w:r>
      <w:proofErr w:type="spellStart"/>
      <w:r w:rsidRPr="004A5562">
        <w:rPr>
          <w:rFonts w:eastAsia="Microsoft YaHei" w:cs="Times New Roman"/>
          <w:color w:val="000000" w:themeColor="text1"/>
          <w:szCs w:val="24"/>
        </w:rPr>
        <w:t>BioLabs</w:t>
      </w:r>
      <w:proofErr w:type="spellEnd"/>
      <w:r w:rsidRPr="004A5562">
        <w:rPr>
          <w:rFonts w:eastAsia="Microsoft YaHei" w:cs="Times New Roman"/>
          <w:color w:val="000000" w:themeColor="text1"/>
          <w:szCs w:val="24"/>
        </w:rPr>
        <w:t xml:space="preserve"> Inc., Ipswich, MA, USA) following the manufacturer’s recommendations. </w:t>
      </w:r>
      <w:bookmarkEnd w:id="2"/>
      <w:r w:rsidRPr="004A5562">
        <w:rPr>
          <w:rFonts w:eastAsia="Microsoft YaHei" w:cs="Times New Roman"/>
          <w:color w:val="000000" w:themeColor="text1"/>
          <w:szCs w:val="24"/>
        </w:rPr>
        <w:t xml:space="preserve">Briefly, mRNA was purified from total RNA using poly-T oligo-attached magnetic beads.  Fragmentation was carried out using divalent cations under elevated temperature in </w:t>
      </w:r>
      <w:proofErr w:type="spellStart"/>
      <w:r w:rsidRPr="004A5562">
        <w:rPr>
          <w:rFonts w:eastAsia="Microsoft YaHei" w:cs="Times New Roman"/>
          <w:color w:val="000000" w:themeColor="text1"/>
          <w:szCs w:val="24"/>
        </w:rPr>
        <w:t>NEBNext</w:t>
      </w:r>
      <w:proofErr w:type="spellEnd"/>
      <w:r w:rsidRPr="004A5562">
        <w:rPr>
          <w:rFonts w:eastAsia="Microsoft YaHei" w:cs="Times New Roman"/>
          <w:color w:val="000000" w:themeColor="text1"/>
          <w:szCs w:val="24"/>
        </w:rPr>
        <w:t xml:space="preserve"> First Strand Synthesis Reaction Buffer (5X). First strand cDNA was synthesized using random hexamer primer and RNase H. Second strand cDNA synthesis was subsequently performed using buffer, dNTPs, DNA polymerase I and RNase H. The library fragments were purified with </w:t>
      </w:r>
      <w:proofErr w:type="spellStart"/>
      <w:r w:rsidRPr="004A5562">
        <w:rPr>
          <w:rFonts w:eastAsia="Microsoft YaHei" w:cs="Times New Roman"/>
          <w:color w:val="000000" w:themeColor="text1"/>
          <w:szCs w:val="24"/>
        </w:rPr>
        <w:t>QiaQuick</w:t>
      </w:r>
      <w:proofErr w:type="spellEnd"/>
      <w:r w:rsidRPr="004A5562">
        <w:rPr>
          <w:rFonts w:eastAsia="Microsoft YaHei" w:cs="Times New Roman"/>
          <w:color w:val="000000" w:themeColor="text1"/>
          <w:szCs w:val="24"/>
        </w:rPr>
        <w:t xml:space="preserve"> PCR kits and elution with EB buffer, then terminal repair, A-tailing and adapter added were implemented. The aimed products were retrieved and PCR was performed, then the library was completed. </w:t>
      </w:r>
      <w:bookmarkStart w:id="3" w:name="_Hlk90664639"/>
      <w:r w:rsidRPr="004A5562">
        <w:rPr>
          <w:rFonts w:eastAsia="Microsoft YaHei" w:cs="Times New Roman"/>
          <w:color w:val="000000" w:themeColor="text1"/>
          <w:szCs w:val="24"/>
        </w:rPr>
        <w:t>The RNA concentration of the library was measured using Qubit® RNA Assay Kit in Qubit® 3.0 for preliminary quantification and then diluted to 1 ng/</w:t>
      </w:r>
      <w:proofErr w:type="spellStart"/>
      <w:r w:rsidRPr="004A5562">
        <w:rPr>
          <w:rFonts w:eastAsia="Microsoft YaHei" w:cs="Times New Roman"/>
          <w:color w:val="000000" w:themeColor="text1"/>
          <w:szCs w:val="24"/>
        </w:rPr>
        <w:t>uL</w:t>
      </w:r>
      <w:proofErr w:type="spellEnd"/>
      <w:r w:rsidRPr="004A5562">
        <w:rPr>
          <w:rFonts w:eastAsia="Microsoft YaHei" w:cs="Times New Roman"/>
          <w:color w:val="000000" w:themeColor="text1"/>
          <w:szCs w:val="24"/>
        </w:rPr>
        <w:t>.</w:t>
      </w:r>
      <w:bookmarkEnd w:id="3"/>
      <w:r w:rsidRPr="004A5562">
        <w:rPr>
          <w:rFonts w:eastAsia="Microsoft YaHei" w:cs="Times New Roman"/>
          <w:color w:val="000000" w:themeColor="text1"/>
          <w:szCs w:val="24"/>
        </w:rPr>
        <w:t xml:space="preserve"> </w:t>
      </w:r>
      <w:bookmarkStart w:id="4" w:name="_Hlk90665069"/>
      <w:r w:rsidRPr="004A5562">
        <w:rPr>
          <w:rFonts w:eastAsia="Microsoft YaHei" w:cs="Times New Roman"/>
          <w:color w:val="000000" w:themeColor="text1"/>
          <w:szCs w:val="24"/>
        </w:rPr>
        <w:t>Insert size</w:t>
      </w:r>
      <w:bookmarkEnd w:id="4"/>
      <w:r w:rsidRPr="004A5562">
        <w:rPr>
          <w:rFonts w:eastAsia="Microsoft YaHei" w:cs="Times New Roman"/>
          <w:color w:val="000000" w:themeColor="text1"/>
          <w:szCs w:val="24"/>
        </w:rPr>
        <w:t xml:space="preserve"> was assessed using the Agilent Bioanalyzer 2100 system (Agilent Technologies), </w:t>
      </w:r>
      <w:bookmarkStart w:id="5" w:name="_Hlk91154125"/>
      <w:r w:rsidRPr="004A5562">
        <w:rPr>
          <w:rFonts w:eastAsia="Microsoft YaHei" w:cs="Times New Roman"/>
          <w:color w:val="000000" w:themeColor="text1"/>
          <w:szCs w:val="24"/>
        </w:rPr>
        <w:t xml:space="preserve">and </w:t>
      </w:r>
      <w:bookmarkStart w:id="6" w:name="_Hlk90664740"/>
      <w:r w:rsidRPr="004A5562">
        <w:rPr>
          <w:rFonts w:eastAsia="Microsoft YaHei" w:cs="Times New Roman"/>
          <w:color w:val="000000" w:themeColor="text1"/>
          <w:szCs w:val="24"/>
        </w:rPr>
        <w:t>the qualified insert size was accurately quantified</w:t>
      </w:r>
      <w:bookmarkEnd w:id="5"/>
      <w:r w:rsidRPr="004A5562">
        <w:rPr>
          <w:rFonts w:eastAsia="Microsoft YaHei" w:cs="Times New Roman"/>
          <w:color w:val="000000" w:themeColor="text1"/>
          <w:szCs w:val="24"/>
        </w:rPr>
        <w:t xml:space="preserve"> using the Step One Plus™ Real-Time PCR system (valid library concentration &gt; 10 </w:t>
      </w:r>
      <w:proofErr w:type="spellStart"/>
      <w:r w:rsidRPr="004A5562">
        <w:rPr>
          <w:rFonts w:eastAsia="Microsoft YaHei" w:cs="Times New Roman"/>
          <w:color w:val="000000" w:themeColor="text1"/>
          <w:szCs w:val="24"/>
        </w:rPr>
        <w:t>nM</w:t>
      </w:r>
      <w:proofErr w:type="spellEnd"/>
      <w:r w:rsidRPr="004A5562">
        <w:rPr>
          <w:rFonts w:eastAsia="Microsoft YaHei" w:cs="Times New Roman"/>
          <w:color w:val="000000" w:themeColor="text1"/>
          <w:szCs w:val="24"/>
        </w:rPr>
        <w:t xml:space="preserve">). Clustering of the index-coded samples was performed on a </w:t>
      </w:r>
      <w:proofErr w:type="spellStart"/>
      <w:r w:rsidRPr="004A5562">
        <w:rPr>
          <w:rFonts w:eastAsia="Microsoft YaHei" w:cs="Times New Roman"/>
          <w:color w:val="000000" w:themeColor="text1"/>
          <w:szCs w:val="24"/>
        </w:rPr>
        <w:t>cBot</w:t>
      </w:r>
      <w:proofErr w:type="spellEnd"/>
      <w:r w:rsidRPr="004A5562">
        <w:rPr>
          <w:rFonts w:eastAsia="Microsoft YaHei" w:cs="Times New Roman"/>
          <w:color w:val="000000" w:themeColor="text1"/>
          <w:szCs w:val="24"/>
        </w:rPr>
        <w:t xml:space="preserve"> cluster generation system using </w:t>
      </w:r>
      <w:proofErr w:type="spellStart"/>
      <w:r w:rsidRPr="004A5562">
        <w:rPr>
          <w:rFonts w:eastAsia="Microsoft YaHei" w:cs="Times New Roman"/>
          <w:color w:val="000000" w:themeColor="text1"/>
          <w:szCs w:val="24"/>
        </w:rPr>
        <w:t>HiSeq</w:t>
      </w:r>
      <w:proofErr w:type="spellEnd"/>
      <w:r w:rsidRPr="004A5562">
        <w:rPr>
          <w:rFonts w:eastAsia="Microsoft YaHei" w:cs="Times New Roman"/>
          <w:color w:val="000000" w:themeColor="text1"/>
          <w:szCs w:val="24"/>
        </w:rPr>
        <w:t xml:space="preserve"> PE Cluster Kit v4-cBot-HS (Illumina, San Diego, CA, USA) according to the manufacturer’s instructions. One silicone-implanted sample and one control sample were deleted due to the clear separation between them and other samples in their own groups. After cluster generation, the libraries were sequenced using Illumina </w:t>
      </w:r>
      <w:proofErr w:type="spellStart"/>
      <w:r w:rsidRPr="004A5562">
        <w:rPr>
          <w:rFonts w:eastAsia="Microsoft YaHei" w:cs="Times New Roman"/>
          <w:color w:val="000000" w:themeColor="text1"/>
          <w:szCs w:val="24"/>
        </w:rPr>
        <w:t>HiSeq</w:t>
      </w:r>
      <w:proofErr w:type="spellEnd"/>
      <w:r w:rsidRPr="004A5562">
        <w:rPr>
          <w:rFonts w:eastAsia="Microsoft YaHei" w:cs="Times New Roman"/>
          <w:color w:val="000000" w:themeColor="text1"/>
          <w:szCs w:val="24"/>
        </w:rPr>
        <w:t xml:space="preserve"> 4000 (</w:t>
      </w:r>
      <w:proofErr w:type="spellStart"/>
      <w:r w:rsidRPr="004A5562">
        <w:rPr>
          <w:rFonts w:eastAsia="Microsoft YaHei" w:cs="Times New Roman"/>
          <w:color w:val="000000" w:themeColor="text1"/>
          <w:szCs w:val="24"/>
        </w:rPr>
        <w:t>Annoroad</w:t>
      </w:r>
      <w:proofErr w:type="spellEnd"/>
      <w:r w:rsidRPr="004A5562">
        <w:rPr>
          <w:rFonts w:eastAsia="Microsoft YaHei" w:cs="Times New Roman"/>
          <w:color w:val="000000" w:themeColor="text1"/>
          <w:szCs w:val="24"/>
        </w:rPr>
        <w:t xml:space="preserve"> Co. Ltd.) and 150 bp paired-end reads were generated.</w:t>
      </w:r>
    </w:p>
    <w:p w14:paraId="1F39D0C5" w14:textId="77777777" w:rsidR="00D31AFF" w:rsidRPr="004A5562" w:rsidRDefault="00D31AFF" w:rsidP="00721DEA">
      <w:pPr>
        <w:pStyle w:val="Heading2"/>
        <w:spacing w:before="120" w:after="240"/>
        <w:ind w:left="0" w:firstLine="0"/>
        <w:rPr>
          <w:color w:val="000000" w:themeColor="text1"/>
        </w:rPr>
      </w:pPr>
      <w:bookmarkStart w:id="7" w:name="_Hlk90666851"/>
      <w:bookmarkEnd w:id="6"/>
      <w:r w:rsidRPr="004A5562">
        <w:rPr>
          <w:color w:val="000000" w:themeColor="text1"/>
        </w:rPr>
        <w:t>Data filtering and alignment</w:t>
      </w:r>
    </w:p>
    <w:bookmarkEnd w:id="7"/>
    <w:p w14:paraId="080ADDA0" w14:textId="77777777" w:rsidR="00D31AFF" w:rsidRPr="004A5562" w:rsidRDefault="00D31AFF" w:rsidP="00721DEA">
      <w:pPr>
        <w:spacing w:beforeLines="100" w:before="240" w:afterLines="100"/>
        <w:rPr>
          <w:rFonts w:eastAsia="Microsoft YaHei" w:cs="Times New Roman"/>
          <w:color w:val="000000" w:themeColor="text1"/>
          <w:szCs w:val="24"/>
        </w:rPr>
      </w:pPr>
      <w:r w:rsidRPr="004A5562">
        <w:rPr>
          <w:rFonts w:eastAsia="Microsoft YaHei" w:cs="Times New Roman"/>
          <w:color w:val="000000" w:themeColor="text1"/>
          <w:szCs w:val="24"/>
        </w:rPr>
        <w:t>In order to guarantee the data quality which was used to analysis, the useful Perl</w:t>
      </w:r>
      <w:r w:rsidRPr="004A5562">
        <w:rPr>
          <w:rFonts w:eastAsia="Microsoft YaHei" w:cs="Times New Roman" w:hint="eastAsia"/>
          <w:color w:val="000000" w:themeColor="text1"/>
          <w:szCs w:val="24"/>
        </w:rPr>
        <w:t xml:space="preserve"> </w:t>
      </w:r>
      <w:r w:rsidRPr="004A5562">
        <w:rPr>
          <w:rFonts w:eastAsia="Microsoft YaHei" w:cs="Times New Roman"/>
          <w:color w:val="000000" w:themeColor="text1"/>
          <w:szCs w:val="24"/>
        </w:rPr>
        <w:t>script (https://github.com/mdshw5/fastqp) was used to filter the original data. Removing the adapter, low-quality of bases and N-bases were processed. The reference genomes and the annotation file were downloaded from ENSEMBL database</w:t>
      </w:r>
      <w:r w:rsidRPr="004A5562">
        <w:rPr>
          <w:rFonts w:eastAsia="Microsoft YaHei" w:cs="Times New Roman" w:hint="eastAsia"/>
          <w:color w:val="000000" w:themeColor="text1"/>
          <w:szCs w:val="24"/>
        </w:rPr>
        <w:t xml:space="preserve"> </w:t>
      </w:r>
      <w:r w:rsidRPr="004A5562">
        <w:rPr>
          <w:rFonts w:eastAsia="Microsoft YaHei" w:cs="Times New Roman"/>
          <w:color w:val="000000" w:themeColor="text1"/>
          <w:szCs w:val="24"/>
        </w:rPr>
        <w:t>(</w:t>
      </w:r>
      <w:hyperlink r:id="rId8" w:history="1">
        <w:r w:rsidRPr="004A5562">
          <w:rPr>
            <w:rStyle w:val="Hyperlink"/>
            <w:rFonts w:eastAsia="Microsoft YaHei" w:cs="Times New Roman"/>
            <w:color w:val="000000" w:themeColor="text1"/>
            <w:szCs w:val="24"/>
          </w:rPr>
          <w:t>http://www.ensembl.org/index.html</w:t>
        </w:r>
      </w:hyperlink>
      <w:r w:rsidRPr="004A5562">
        <w:rPr>
          <w:rFonts w:eastAsia="Microsoft YaHei" w:cs="Times New Roman"/>
          <w:color w:val="000000" w:themeColor="text1"/>
          <w:szCs w:val="24"/>
        </w:rPr>
        <w:t>). Bowtie2 v2.2.3 was used for building the genome index,</w:t>
      </w:r>
      <w:r w:rsidRPr="004A5562">
        <w:rPr>
          <w:rFonts w:eastAsia="Microsoft YaHei" w:cs="Times New Roman" w:hint="eastAsia"/>
          <w:color w:val="000000" w:themeColor="text1"/>
          <w:szCs w:val="24"/>
        </w:rPr>
        <w:t xml:space="preserve"> </w:t>
      </w:r>
      <w:r w:rsidRPr="004A5562">
        <w:rPr>
          <w:rFonts w:eastAsia="Microsoft YaHei" w:cs="Times New Roman"/>
          <w:color w:val="000000" w:themeColor="text1"/>
          <w:szCs w:val="24"/>
        </w:rPr>
        <w:t>and clean data was then aligned to the reference genomes and annotation file (</w:t>
      </w:r>
      <w:proofErr w:type="spellStart"/>
      <w:r w:rsidRPr="004A5562">
        <w:rPr>
          <w:rFonts w:eastAsia="Microsoft YaHei" w:cs="Times New Roman"/>
          <w:color w:val="000000" w:themeColor="text1"/>
          <w:szCs w:val="24"/>
        </w:rPr>
        <w:t>Ensembl</w:t>
      </w:r>
      <w:proofErr w:type="spellEnd"/>
      <w:r w:rsidRPr="004A5562">
        <w:rPr>
          <w:rFonts w:eastAsia="Microsoft YaHei" w:cs="Times New Roman"/>
          <w:color w:val="000000" w:themeColor="text1"/>
          <w:szCs w:val="24"/>
        </w:rPr>
        <w:t xml:space="preserve">, v. </w:t>
      </w:r>
      <w:proofErr w:type="spellStart"/>
      <w:r w:rsidRPr="004A5562">
        <w:rPr>
          <w:rFonts w:eastAsia="Microsoft YaHei" w:cs="Times New Roman"/>
          <w:color w:val="000000" w:themeColor="text1"/>
          <w:szCs w:val="24"/>
        </w:rPr>
        <w:t>Rnor</w:t>
      </w:r>
      <w:proofErr w:type="spellEnd"/>
      <w:r w:rsidRPr="004A5562">
        <w:rPr>
          <w:rFonts w:eastAsia="Microsoft YaHei" w:cs="Times New Roman"/>
          <w:color w:val="000000" w:themeColor="text1"/>
          <w:szCs w:val="24"/>
        </w:rPr>
        <w:t xml:space="preserve"> 6.0.87) using HISAT2 v2.1.0. Reads count for each gene in each sample was counted by </w:t>
      </w:r>
      <w:proofErr w:type="spellStart"/>
      <w:r w:rsidRPr="004A5562">
        <w:rPr>
          <w:rFonts w:eastAsia="Microsoft YaHei" w:cs="Times New Roman"/>
          <w:color w:val="000000" w:themeColor="text1"/>
          <w:szCs w:val="24"/>
        </w:rPr>
        <w:t>HTSeq</w:t>
      </w:r>
      <w:proofErr w:type="spellEnd"/>
      <w:r w:rsidRPr="004A5562">
        <w:rPr>
          <w:rFonts w:eastAsia="Microsoft YaHei" w:cs="Times New Roman"/>
          <w:color w:val="000000" w:themeColor="text1"/>
          <w:szCs w:val="24"/>
        </w:rPr>
        <w:t xml:space="preserve"> v0.6.0, and FPKM (Fragments</w:t>
      </w:r>
      <w:r w:rsidRPr="004A5562">
        <w:rPr>
          <w:rFonts w:eastAsia="Microsoft YaHei" w:cs="Times New Roman" w:hint="eastAsia"/>
          <w:color w:val="000000" w:themeColor="text1"/>
          <w:szCs w:val="24"/>
        </w:rPr>
        <w:t xml:space="preserve"> </w:t>
      </w:r>
      <w:r w:rsidRPr="004A5562">
        <w:rPr>
          <w:rFonts w:eastAsia="Microsoft YaHei" w:cs="Times New Roman"/>
          <w:color w:val="000000" w:themeColor="text1"/>
          <w:szCs w:val="24"/>
        </w:rPr>
        <w:t xml:space="preserve">Per Kilobase </w:t>
      </w:r>
      <w:proofErr w:type="spellStart"/>
      <w:r w:rsidRPr="004A5562">
        <w:rPr>
          <w:rFonts w:eastAsia="Microsoft YaHei" w:cs="Times New Roman"/>
          <w:color w:val="000000" w:themeColor="text1"/>
          <w:szCs w:val="24"/>
        </w:rPr>
        <w:t>Millon</w:t>
      </w:r>
      <w:proofErr w:type="spellEnd"/>
      <w:r w:rsidRPr="004A5562">
        <w:rPr>
          <w:rFonts w:eastAsia="Microsoft YaHei" w:cs="Times New Roman"/>
          <w:color w:val="000000" w:themeColor="text1"/>
          <w:szCs w:val="24"/>
        </w:rPr>
        <w:t xml:space="preserve"> Mapped Reads) was then calculated to estimate the expression level of genes. FPKM could</w:t>
      </w:r>
      <w:r w:rsidRPr="004A5562">
        <w:rPr>
          <w:rFonts w:eastAsia="Microsoft YaHei" w:cs="Times New Roman" w:hint="eastAsia"/>
          <w:color w:val="000000" w:themeColor="text1"/>
          <w:szCs w:val="24"/>
        </w:rPr>
        <w:t xml:space="preserve"> </w:t>
      </w:r>
      <w:r w:rsidRPr="004A5562">
        <w:rPr>
          <w:rFonts w:eastAsia="Microsoft YaHei" w:cs="Times New Roman"/>
          <w:color w:val="000000" w:themeColor="text1"/>
          <w:szCs w:val="24"/>
        </w:rPr>
        <w:t>eliminate the effect of sequencing depth and gene length on gene expression levels in each sample.</w:t>
      </w:r>
    </w:p>
    <w:p w14:paraId="23E4E525" w14:textId="77777777" w:rsidR="00D31AFF" w:rsidRPr="004A5562" w:rsidRDefault="00D31AFF" w:rsidP="00721DEA">
      <w:pPr>
        <w:pStyle w:val="Heading2"/>
        <w:spacing w:before="120" w:after="240"/>
        <w:ind w:left="0" w:firstLine="0"/>
        <w:rPr>
          <w:color w:val="000000" w:themeColor="text1"/>
        </w:rPr>
      </w:pPr>
      <w:bookmarkStart w:id="8" w:name="_Hlk90667403"/>
      <w:r w:rsidRPr="004A5562">
        <w:rPr>
          <w:color w:val="000000" w:themeColor="text1"/>
        </w:rPr>
        <w:t>Differential gene expression analysis</w:t>
      </w:r>
    </w:p>
    <w:p w14:paraId="0090C57F" w14:textId="77777777" w:rsidR="00D16E50" w:rsidRPr="004A5562" w:rsidRDefault="00D31AFF" w:rsidP="00D16E50">
      <w:pPr>
        <w:rPr>
          <w:rFonts w:eastAsia="Microsoft YaHei" w:cs="Times New Roman"/>
          <w:color w:val="000000" w:themeColor="text1"/>
          <w:szCs w:val="24"/>
        </w:rPr>
      </w:pPr>
      <w:proofErr w:type="spellStart"/>
      <w:r w:rsidRPr="004A5562">
        <w:rPr>
          <w:rFonts w:eastAsia="Microsoft YaHei" w:cs="Times New Roman"/>
          <w:color w:val="000000" w:themeColor="text1"/>
          <w:szCs w:val="24"/>
        </w:rPr>
        <w:t>DEGseq</w:t>
      </w:r>
      <w:proofErr w:type="spellEnd"/>
      <w:r w:rsidRPr="004A5562">
        <w:rPr>
          <w:rFonts w:eastAsia="Microsoft YaHei" w:cs="Times New Roman"/>
          <w:color w:val="000000" w:themeColor="text1"/>
          <w:szCs w:val="24"/>
        </w:rPr>
        <w:t xml:space="preserve"> v1.18.0 was used for differential gene expression analysis. </w:t>
      </w:r>
      <w:bookmarkStart w:id="9" w:name="_Hlk90667587"/>
      <w:r w:rsidRPr="004A5562">
        <w:rPr>
          <w:rFonts w:eastAsia="Microsoft YaHei" w:cs="Times New Roman"/>
          <w:color w:val="000000" w:themeColor="text1"/>
          <w:szCs w:val="24"/>
        </w:rPr>
        <w:t>DESeq2 estimated the expression level of each gene in each sample</w:t>
      </w:r>
      <w:bookmarkEnd w:id="9"/>
      <w:r w:rsidRPr="004A5562">
        <w:rPr>
          <w:rFonts w:eastAsia="Microsoft YaHei" w:cs="Times New Roman"/>
          <w:color w:val="000000" w:themeColor="text1"/>
          <w:szCs w:val="24"/>
        </w:rPr>
        <w:t xml:space="preserve"> by linear regression. </w:t>
      </w:r>
      <w:bookmarkStart w:id="10" w:name="_Hlk90667629"/>
      <w:r w:rsidRPr="004A5562">
        <w:rPr>
          <w:rFonts w:eastAsia="Microsoft YaHei" w:cs="Times New Roman"/>
          <w:color w:val="000000" w:themeColor="text1"/>
          <w:szCs w:val="24"/>
        </w:rPr>
        <w:t xml:space="preserve">The p-value </w:t>
      </w:r>
      <w:bookmarkEnd w:id="10"/>
      <w:r w:rsidRPr="004A5562">
        <w:rPr>
          <w:rFonts w:eastAsia="Microsoft YaHei" w:cs="Times New Roman"/>
          <w:color w:val="000000" w:themeColor="text1"/>
          <w:szCs w:val="24"/>
        </w:rPr>
        <w:t xml:space="preserve">was then calculated via Wald test. Finally, the p-value was corrected by the </w:t>
      </w:r>
      <w:proofErr w:type="spellStart"/>
      <w:r w:rsidRPr="004A5562">
        <w:rPr>
          <w:rFonts w:eastAsia="Microsoft YaHei" w:cs="Times New Roman"/>
          <w:color w:val="000000" w:themeColor="text1"/>
          <w:szCs w:val="24"/>
        </w:rPr>
        <w:t>Benjamini</w:t>
      </w:r>
      <w:proofErr w:type="spellEnd"/>
      <w:r w:rsidRPr="004A5562">
        <w:rPr>
          <w:rFonts w:eastAsia="Microsoft YaHei" w:cs="Times New Roman"/>
          <w:color w:val="000000" w:themeColor="text1"/>
          <w:szCs w:val="24"/>
        </w:rPr>
        <w:t>–Ho</w:t>
      </w:r>
      <w:r w:rsidRPr="004A5562">
        <w:rPr>
          <w:rFonts w:eastAsia="Microsoft YaHei" w:cs="Times New Roman" w:hint="eastAsia"/>
          <w:color w:val="000000" w:themeColor="text1"/>
          <w:szCs w:val="24"/>
        </w:rPr>
        <w:t xml:space="preserve">chberg method. Genes with |log2FC| </w:t>
      </w:r>
      <w:r w:rsidRPr="004A5562">
        <w:rPr>
          <w:rFonts w:eastAsia="Microsoft YaHei" w:cs="Times New Roman" w:hint="eastAsia"/>
          <w:color w:val="000000" w:themeColor="text1"/>
          <w:szCs w:val="24"/>
        </w:rPr>
        <w:t>≥</w:t>
      </w:r>
      <w:r w:rsidRPr="004A5562">
        <w:rPr>
          <w:rFonts w:eastAsia="Microsoft YaHei" w:cs="Times New Roman" w:hint="eastAsia"/>
          <w:color w:val="000000" w:themeColor="text1"/>
          <w:szCs w:val="24"/>
        </w:rPr>
        <w:t xml:space="preserve"> 1.5 and p &lt; 0.05, q &lt; 0.05 were classified as </w:t>
      </w:r>
      <w:proofErr w:type="spellStart"/>
      <w:r w:rsidRPr="004A5562">
        <w:rPr>
          <w:rFonts w:eastAsia="Microsoft YaHei" w:cs="Times New Roman" w:hint="eastAsia"/>
          <w:color w:val="000000" w:themeColor="text1"/>
          <w:szCs w:val="24"/>
        </w:rPr>
        <w:t>DEmRNAs</w:t>
      </w:r>
      <w:proofErr w:type="spellEnd"/>
      <w:r w:rsidRPr="004A5562">
        <w:rPr>
          <w:rFonts w:eastAsia="Microsoft YaHei" w:cs="Times New Roman" w:hint="eastAsia"/>
          <w:color w:val="000000" w:themeColor="text1"/>
          <w:szCs w:val="24"/>
        </w:rPr>
        <w:t xml:space="preserve">. </w:t>
      </w:r>
      <w:r w:rsidR="00D16E50" w:rsidRPr="004A5562">
        <w:rPr>
          <w:rFonts w:eastAsia="Microsoft YaHei" w:cs="Times New Roman"/>
          <w:color w:val="000000" w:themeColor="text1"/>
          <w:szCs w:val="24"/>
        </w:rPr>
        <w:t xml:space="preserve">Volcano plots of </w:t>
      </w:r>
      <w:proofErr w:type="spellStart"/>
      <w:r w:rsidR="00D16E50" w:rsidRPr="004A5562">
        <w:rPr>
          <w:rFonts w:eastAsia="Microsoft YaHei" w:cs="Times New Roman"/>
          <w:color w:val="000000" w:themeColor="text1"/>
          <w:szCs w:val="24"/>
        </w:rPr>
        <w:t>DEmRNAs</w:t>
      </w:r>
      <w:proofErr w:type="spellEnd"/>
      <w:r w:rsidR="00D16E50" w:rsidRPr="004A5562">
        <w:rPr>
          <w:rFonts w:eastAsia="Microsoft YaHei" w:cs="Times New Roman"/>
          <w:color w:val="000000" w:themeColor="text1"/>
          <w:szCs w:val="24"/>
        </w:rPr>
        <w:t xml:space="preserve"> were prepared using the “ggplot2” library of the R software. The correlation coefficient of every two samples was calculated using the “</w:t>
      </w:r>
      <w:proofErr w:type="spellStart"/>
      <w:r w:rsidR="00D16E50" w:rsidRPr="004A5562">
        <w:rPr>
          <w:rFonts w:eastAsia="Microsoft YaHei" w:cs="Times New Roman"/>
          <w:color w:val="000000" w:themeColor="text1"/>
          <w:szCs w:val="24"/>
        </w:rPr>
        <w:t>pearson</w:t>
      </w:r>
      <w:proofErr w:type="spellEnd"/>
      <w:r w:rsidR="00D16E50" w:rsidRPr="004A5562">
        <w:rPr>
          <w:rFonts w:eastAsia="Microsoft YaHei" w:cs="Times New Roman"/>
          <w:color w:val="000000" w:themeColor="text1"/>
          <w:szCs w:val="24"/>
        </w:rPr>
        <w:t>” function in the “stats” package, and the results were visualized in R using the “</w:t>
      </w:r>
      <w:proofErr w:type="spellStart"/>
      <w:r w:rsidR="00D16E50" w:rsidRPr="004A5562">
        <w:rPr>
          <w:rFonts w:eastAsia="Microsoft YaHei" w:cs="Times New Roman"/>
          <w:color w:val="000000" w:themeColor="text1"/>
          <w:szCs w:val="24"/>
        </w:rPr>
        <w:t>pheatmap</w:t>
      </w:r>
      <w:proofErr w:type="spellEnd"/>
      <w:r w:rsidR="00D16E50" w:rsidRPr="004A5562">
        <w:rPr>
          <w:rFonts w:eastAsia="Microsoft YaHei" w:cs="Times New Roman"/>
          <w:color w:val="000000" w:themeColor="text1"/>
          <w:szCs w:val="24"/>
        </w:rPr>
        <w:t xml:space="preserve">” package. </w:t>
      </w:r>
      <w:bookmarkStart w:id="11" w:name="_Hlk90668711"/>
      <w:bookmarkEnd w:id="8"/>
    </w:p>
    <w:p w14:paraId="2F797D44" w14:textId="293565D8" w:rsidR="00D31AFF" w:rsidRPr="004A5562" w:rsidRDefault="00D31AFF" w:rsidP="00D16E50">
      <w:pPr>
        <w:pStyle w:val="Heading2"/>
        <w:rPr>
          <w:color w:val="000000" w:themeColor="text1"/>
        </w:rPr>
      </w:pPr>
      <w:r w:rsidRPr="004A5562">
        <w:rPr>
          <w:color w:val="000000" w:themeColor="text1"/>
        </w:rPr>
        <w:t>Principal component analysis (PCA)</w:t>
      </w:r>
    </w:p>
    <w:p w14:paraId="62C75D5D" w14:textId="444B2D0E" w:rsidR="00D31AFF" w:rsidRPr="004A5562" w:rsidRDefault="00D31AFF" w:rsidP="00721DEA">
      <w:pPr>
        <w:spacing w:beforeLines="100" w:before="240" w:afterLines="100"/>
        <w:rPr>
          <w:rFonts w:eastAsia="Microsoft YaHei" w:cs="Times New Roman"/>
          <w:color w:val="000000" w:themeColor="text1"/>
          <w:szCs w:val="24"/>
        </w:rPr>
      </w:pPr>
      <w:r w:rsidRPr="004A5562">
        <w:rPr>
          <w:rFonts w:eastAsia="Microsoft YaHei" w:cs="Times New Roman"/>
          <w:color w:val="000000" w:themeColor="text1"/>
          <w:szCs w:val="24"/>
        </w:rPr>
        <w:t>PCA is used to reduce the dimensionality of large datasets and increase interpretability while minimizing information loss. PCA of the transcriptome data was performed using the “</w:t>
      </w:r>
      <w:proofErr w:type="spellStart"/>
      <w:r w:rsidRPr="004A5562">
        <w:rPr>
          <w:rFonts w:eastAsia="Microsoft YaHei" w:cs="Times New Roman"/>
          <w:color w:val="000000" w:themeColor="text1"/>
          <w:szCs w:val="24"/>
        </w:rPr>
        <w:t>prcomp</w:t>
      </w:r>
      <w:proofErr w:type="spellEnd"/>
      <w:r w:rsidRPr="004A5562">
        <w:rPr>
          <w:rFonts w:eastAsia="Microsoft YaHei" w:cs="Times New Roman"/>
          <w:color w:val="000000" w:themeColor="text1"/>
          <w:szCs w:val="24"/>
        </w:rPr>
        <w:t>” function in “stats” package to assess resemblance between samples. The obtained results were visualized in R using the “scatterplot” package.</w:t>
      </w:r>
    </w:p>
    <w:p w14:paraId="15559374" w14:textId="77777777" w:rsidR="00D31AFF" w:rsidRPr="004A5562" w:rsidRDefault="00D31AFF" w:rsidP="00721DEA">
      <w:pPr>
        <w:pStyle w:val="Heading2"/>
        <w:spacing w:before="120" w:after="240"/>
        <w:ind w:left="0" w:firstLine="0"/>
        <w:rPr>
          <w:color w:val="000000" w:themeColor="text1"/>
        </w:rPr>
      </w:pPr>
      <w:bookmarkStart w:id="12" w:name="_Hlk90668857"/>
      <w:bookmarkEnd w:id="11"/>
      <w:r w:rsidRPr="004A5562">
        <w:rPr>
          <w:color w:val="000000" w:themeColor="text1"/>
        </w:rPr>
        <w:t>GO and KEGG analysis</w:t>
      </w:r>
    </w:p>
    <w:p w14:paraId="0F067461" w14:textId="77777777" w:rsidR="00D31AFF" w:rsidRPr="004A5562" w:rsidRDefault="00D31AFF" w:rsidP="00721DEA">
      <w:pPr>
        <w:spacing w:beforeLines="100" w:before="240" w:afterLines="100"/>
        <w:rPr>
          <w:rFonts w:eastAsia="Microsoft YaHei" w:cs="Times New Roman"/>
          <w:color w:val="000000" w:themeColor="text1"/>
          <w:szCs w:val="24"/>
        </w:rPr>
      </w:pPr>
      <w:proofErr w:type="spellStart"/>
      <w:r w:rsidRPr="004A5562">
        <w:rPr>
          <w:rFonts w:eastAsia="Microsoft YaHei" w:cs="Times New Roman"/>
          <w:color w:val="000000" w:themeColor="text1"/>
          <w:szCs w:val="24"/>
        </w:rPr>
        <w:t>Metascape</w:t>
      </w:r>
      <w:proofErr w:type="spellEnd"/>
      <w:r w:rsidRPr="004A5562">
        <w:rPr>
          <w:rFonts w:eastAsia="Microsoft YaHei" w:cs="Times New Roman"/>
          <w:color w:val="000000" w:themeColor="text1"/>
          <w:szCs w:val="24"/>
        </w:rPr>
        <w:t xml:space="preserve"> (http://metascape.org)</w:t>
      </w:r>
      <w:r w:rsidRPr="004A5562">
        <w:rPr>
          <w:rFonts w:eastAsia="Microsoft YaHei" w:cs="Times New Roman"/>
          <w:color w:val="000000" w:themeColor="text1"/>
          <w:szCs w:val="24"/>
        </w:rPr>
        <w:fldChar w:fldCharType="begin">
          <w:fldData xml:space="preserve">PEVuZE5vdGU+PENpdGU+PEF1dGhvcj5aaG91PC9BdXRob3I+PFllYXI+MjAxOTwvWWVhcj48UmVj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</w:fldData>
        </w:fldChar>
      </w:r>
      <w:r w:rsidRPr="004A5562">
        <w:rPr>
          <w:rFonts w:eastAsia="Microsoft YaHei" w:cs="Times New Roman"/>
          <w:color w:val="000000" w:themeColor="text1"/>
          <w:szCs w:val="24"/>
        </w:rPr>
        <w:instrText xml:space="preserve"> ADDIN EN.CITE </w:instrText>
      </w:r>
      <w:r w:rsidRPr="004A5562">
        <w:rPr>
          <w:rFonts w:eastAsia="Microsoft YaHei" w:cs="Times New Roman"/>
          <w:color w:val="000000" w:themeColor="text1"/>
          <w:szCs w:val="24"/>
        </w:rPr>
        <w:fldChar w:fldCharType="begin">
          <w:fldData xml:space="preserve">PEVuZE5vdGU+PENpdGU+PEF1dGhvcj5aaG91PC9BdXRob3I+PFllYXI+MjAxOTwvWWVhcj48UmVj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</w:fldData>
        </w:fldChar>
      </w:r>
      <w:r w:rsidRPr="004A5562">
        <w:rPr>
          <w:rFonts w:eastAsia="Microsoft YaHei" w:cs="Times New Roman"/>
          <w:color w:val="000000" w:themeColor="text1"/>
          <w:szCs w:val="24"/>
        </w:rPr>
        <w:instrText xml:space="preserve"> ADDIN EN.CITE.DATA </w:instrText>
      </w:r>
      <w:r w:rsidRPr="004A5562">
        <w:rPr>
          <w:rFonts w:eastAsia="Microsoft YaHei" w:cs="Times New Roman"/>
          <w:color w:val="000000" w:themeColor="text1"/>
          <w:szCs w:val="24"/>
        </w:rPr>
      </w:r>
      <w:r w:rsidRPr="004A5562">
        <w:rPr>
          <w:rFonts w:eastAsia="Microsoft YaHei" w:cs="Times New Roman"/>
          <w:color w:val="000000" w:themeColor="text1"/>
          <w:szCs w:val="24"/>
        </w:rPr>
        <w:fldChar w:fldCharType="end"/>
      </w:r>
      <w:r w:rsidRPr="004A5562">
        <w:rPr>
          <w:rFonts w:eastAsia="Microsoft YaHei" w:cs="Times New Roman"/>
          <w:color w:val="000000" w:themeColor="text1"/>
          <w:szCs w:val="24"/>
        </w:rPr>
      </w:r>
      <w:r w:rsidRPr="004A5562">
        <w:rPr>
          <w:rFonts w:eastAsia="Microsoft YaHei" w:cs="Times New Roman"/>
          <w:color w:val="000000" w:themeColor="text1"/>
          <w:szCs w:val="24"/>
        </w:rPr>
        <w:fldChar w:fldCharType="separate"/>
      </w:r>
      <w:r w:rsidRPr="004A5562">
        <w:rPr>
          <w:rFonts w:eastAsia="Microsoft YaHei" w:cs="Times New Roman"/>
          <w:noProof/>
          <w:color w:val="000000" w:themeColor="text1"/>
          <w:szCs w:val="24"/>
        </w:rPr>
        <w:t>(Zhou et al., 2019)</w:t>
      </w:r>
      <w:r w:rsidRPr="004A5562">
        <w:rPr>
          <w:rFonts w:eastAsia="Microsoft YaHei" w:cs="Times New Roman"/>
          <w:color w:val="000000" w:themeColor="text1"/>
          <w:szCs w:val="24"/>
        </w:rPr>
        <w:fldChar w:fldCharType="end"/>
      </w:r>
      <w:r w:rsidRPr="004A5562">
        <w:rPr>
          <w:rFonts w:eastAsia="Microsoft YaHei" w:cs="Times New Roman"/>
          <w:color w:val="000000" w:themeColor="text1"/>
          <w:szCs w:val="24"/>
        </w:rPr>
        <w:t xml:space="preserve"> was used to conduct GO and pathway enrichment analysis of </w:t>
      </w:r>
      <w:proofErr w:type="spellStart"/>
      <w:r w:rsidRPr="004A5562">
        <w:rPr>
          <w:rFonts w:eastAsia="Microsoft YaHei" w:cs="Times New Roman"/>
          <w:color w:val="000000" w:themeColor="text1"/>
          <w:szCs w:val="24"/>
        </w:rPr>
        <w:t>DEmRNAs</w:t>
      </w:r>
      <w:proofErr w:type="spellEnd"/>
      <w:r w:rsidRPr="004A5562">
        <w:rPr>
          <w:rFonts w:eastAsia="Microsoft YaHei" w:cs="Times New Roman"/>
          <w:color w:val="000000" w:themeColor="text1"/>
          <w:szCs w:val="24"/>
        </w:rPr>
        <w:t xml:space="preserve"> (p-value &lt; 0.01, minimum count of 3, and enrichment factor &gt;1.5). The GO annotations (version:1.2, http://purl.obolibrary.org/obo/go/go-basic.obo) for the biological process, cellular component, and molecular function categories and KEGG pathways (version: 99.0) were enriched based on the </w:t>
      </w:r>
      <w:proofErr w:type="spellStart"/>
      <w:r w:rsidRPr="004A5562">
        <w:rPr>
          <w:rFonts w:eastAsia="Microsoft YaHei" w:cs="Times New Roman"/>
          <w:color w:val="000000" w:themeColor="text1"/>
          <w:szCs w:val="24"/>
        </w:rPr>
        <w:t>Metascape</w:t>
      </w:r>
      <w:proofErr w:type="spellEnd"/>
      <w:r w:rsidRPr="004A5562">
        <w:rPr>
          <w:rFonts w:eastAsia="Microsoft YaHei" w:cs="Times New Roman"/>
          <w:color w:val="000000" w:themeColor="text1"/>
          <w:szCs w:val="24"/>
        </w:rPr>
        <w:t xml:space="preserve"> online tool. Functional enrichment analysis was also performed by using GO (version:1.2)/KEGG (version:99.0) tools in </w:t>
      </w:r>
      <w:proofErr w:type="spellStart"/>
      <w:r w:rsidRPr="004A5562">
        <w:rPr>
          <w:rFonts w:eastAsia="Microsoft YaHei" w:cs="Times New Roman"/>
          <w:color w:val="000000" w:themeColor="text1"/>
          <w:szCs w:val="24"/>
        </w:rPr>
        <w:t>Hiplot</w:t>
      </w:r>
      <w:proofErr w:type="spellEnd"/>
      <w:r w:rsidRPr="004A5562">
        <w:rPr>
          <w:rFonts w:eastAsia="Microsoft YaHei" w:cs="Times New Roman"/>
          <w:color w:val="000000" w:themeColor="text1"/>
          <w:szCs w:val="24"/>
        </w:rPr>
        <w:t xml:space="preserve"> (https://hiplot.com.cn/advance/clusterprofiler-go-kegg), a comprehensive web platform for scientific data visualization. The most statistically significant term within a cluster was considered to represent the cluster. </w:t>
      </w:r>
    </w:p>
    <w:p w14:paraId="05AB594D" w14:textId="77777777" w:rsidR="00D31AFF" w:rsidRPr="004A5562" w:rsidRDefault="00D31AFF" w:rsidP="00721DEA">
      <w:pPr>
        <w:pStyle w:val="Heading2"/>
        <w:spacing w:before="120" w:after="240"/>
        <w:ind w:left="0" w:firstLine="0"/>
        <w:rPr>
          <w:color w:val="000000" w:themeColor="text1"/>
        </w:rPr>
      </w:pPr>
      <w:bookmarkStart w:id="13" w:name="_Hlk90669121"/>
      <w:bookmarkEnd w:id="12"/>
      <w:r w:rsidRPr="004A5562">
        <w:rPr>
          <w:color w:val="000000" w:themeColor="text1"/>
        </w:rPr>
        <w:t>Gene set enrichment analysis (GSEA)</w:t>
      </w:r>
    </w:p>
    <w:p w14:paraId="198D8AF5" w14:textId="77777777" w:rsidR="00D31AFF" w:rsidRPr="004A5562" w:rsidRDefault="00D31AFF" w:rsidP="00721DEA">
      <w:pPr>
        <w:spacing w:beforeLines="100" w:before="240" w:afterLines="100"/>
        <w:rPr>
          <w:rFonts w:eastAsia="Microsoft YaHei" w:cs="Times New Roman"/>
          <w:color w:val="000000" w:themeColor="text1"/>
          <w:szCs w:val="24"/>
        </w:rPr>
      </w:pPr>
      <w:r w:rsidRPr="004A5562">
        <w:rPr>
          <w:rFonts w:eastAsia="Microsoft YaHei" w:cs="Times New Roman"/>
          <w:color w:val="000000" w:themeColor="text1"/>
          <w:szCs w:val="24"/>
        </w:rPr>
        <w:t xml:space="preserve">GSEA (https://software.broadinstitute.org/gsea/index.jsp) was performed using GSEA software version 2.2.2.0, which detects whether a series of a priori defined biological processes were enriched in the gene rank derived from </w:t>
      </w:r>
      <w:proofErr w:type="spellStart"/>
      <w:r w:rsidRPr="004A5562">
        <w:rPr>
          <w:rFonts w:eastAsia="Microsoft YaHei" w:cs="Times New Roman"/>
          <w:color w:val="000000" w:themeColor="text1"/>
          <w:szCs w:val="24"/>
        </w:rPr>
        <w:t>DEmRNAs</w:t>
      </w:r>
      <w:proofErr w:type="spellEnd"/>
      <w:r w:rsidRPr="004A5562">
        <w:rPr>
          <w:rFonts w:eastAsia="Microsoft YaHei" w:cs="Times New Roman"/>
          <w:color w:val="000000" w:themeColor="text1"/>
          <w:szCs w:val="24"/>
        </w:rPr>
        <w:t xml:space="preserve"> between the silicone group and the control group. We used the H, C2, and C5 collections from the Molecular Signatures Database (</w:t>
      </w:r>
      <w:proofErr w:type="spellStart"/>
      <w:r w:rsidRPr="004A5562">
        <w:rPr>
          <w:rFonts w:eastAsia="Microsoft YaHei" w:cs="Times New Roman"/>
          <w:color w:val="000000" w:themeColor="text1"/>
          <w:szCs w:val="24"/>
        </w:rPr>
        <w:t>MSigDB</w:t>
      </w:r>
      <w:proofErr w:type="spellEnd"/>
      <w:r w:rsidRPr="004A5562">
        <w:rPr>
          <w:rFonts w:eastAsia="Microsoft YaHei" w:cs="Times New Roman"/>
          <w:color w:val="000000" w:themeColor="text1"/>
          <w:szCs w:val="24"/>
        </w:rPr>
        <w:t xml:space="preserve"> v5.0). A threshold of p &lt; 0.05 was applied for the analysis.</w:t>
      </w:r>
    </w:p>
    <w:p w14:paraId="6618A461" w14:textId="77777777" w:rsidR="00D31AFF" w:rsidRPr="004A5562" w:rsidRDefault="00D31AFF" w:rsidP="00721DEA">
      <w:pPr>
        <w:pStyle w:val="Heading2"/>
        <w:spacing w:before="120" w:after="240"/>
        <w:ind w:left="0" w:firstLine="0"/>
        <w:rPr>
          <w:color w:val="000000" w:themeColor="text1"/>
        </w:rPr>
      </w:pPr>
      <w:bookmarkStart w:id="14" w:name="_Hlk90669729"/>
      <w:r w:rsidRPr="004A5562">
        <w:rPr>
          <w:color w:val="000000" w:themeColor="text1"/>
        </w:rPr>
        <w:t>PPI Network Analysis</w:t>
      </w:r>
    </w:p>
    <w:bookmarkEnd w:id="13"/>
    <w:p w14:paraId="5A671319" w14:textId="77777777" w:rsidR="00D31AFF" w:rsidRPr="004A5562" w:rsidRDefault="00D31AFF" w:rsidP="00721DEA">
      <w:pPr>
        <w:spacing w:beforeLines="100" w:before="240" w:afterLines="100"/>
        <w:rPr>
          <w:rFonts w:eastAsia="Microsoft YaHei" w:cs="Times New Roman"/>
          <w:color w:val="000000" w:themeColor="text1"/>
          <w:szCs w:val="24"/>
        </w:rPr>
      </w:pPr>
      <w:r w:rsidRPr="004A5562">
        <w:rPr>
          <w:rFonts w:eastAsia="Microsoft YaHei" w:cs="Times New Roman"/>
          <w:color w:val="000000" w:themeColor="text1"/>
          <w:szCs w:val="24"/>
        </w:rPr>
        <w:t>PPI network analysis was performed using the Search Tool for the Retrieval of Interacting Genes (STRING) database (</w:t>
      </w:r>
      <w:r w:rsidRPr="004A5562">
        <w:rPr>
          <w:rStyle w:val="Hyperlink"/>
          <w:color w:val="000000" w:themeColor="text1"/>
        </w:rPr>
        <w:t>https://string-db.org/</w:t>
      </w:r>
      <w:r w:rsidRPr="004A5562">
        <w:rPr>
          <w:rFonts w:eastAsia="Microsoft YaHei" w:cs="Times New Roman"/>
          <w:color w:val="000000" w:themeColor="text1"/>
          <w:szCs w:val="24"/>
        </w:rPr>
        <w:t xml:space="preserve">). PPIs derived from experiments and databases with a combined score &gt; 0.4 were reserved for further analysis. </w:t>
      </w:r>
      <w:proofErr w:type="spellStart"/>
      <w:r w:rsidRPr="004A5562">
        <w:rPr>
          <w:rFonts w:eastAsia="Microsoft YaHei" w:cs="Times New Roman"/>
          <w:color w:val="000000" w:themeColor="text1"/>
          <w:szCs w:val="24"/>
        </w:rPr>
        <w:t>Cytoscape</w:t>
      </w:r>
      <w:proofErr w:type="spellEnd"/>
      <w:r w:rsidRPr="004A5562">
        <w:rPr>
          <w:rFonts w:eastAsia="Microsoft YaHei" w:cs="Times New Roman"/>
          <w:color w:val="000000" w:themeColor="text1"/>
          <w:szCs w:val="24"/>
        </w:rPr>
        <w:t xml:space="preserve"> software version 3.8.0 (</w:t>
      </w:r>
      <w:hyperlink r:id="rId9" w:history="1">
        <w:r w:rsidRPr="004A5562">
          <w:rPr>
            <w:rStyle w:val="Hyperlink"/>
            <w:rFonts w:eastAsia="Microsoft YaHei" w:cs="Times New Roman"/>
            <w:color w:val="000000" w:themeColor="text1"/>
            <w:szCs w:val="24"/>
          </w:rPr>
          <w:t>http://www.cytoscape.org/</w:t>
        </w:r>
      </w:hyperlink>
      <w:r w:rsidRPr="004A5562">
        <w:rPr>
          <w:rFonts w:eastAsia="Microsoft YaHei" w:cs="Times New Roman"/>
          <w:color w:val="000000" w:themeColor="text1"/>
          <w:szCs w:val="24"/>
        </w:rPr>
        <w:t>) was used to visualize PPI networks. To infer more biologically interpretable results, the Molecular Complex Detection (MCODE) tool (</w:t>
      </w:r>
      <w:r w:rsidRPr="004A5562">
        <w:rPr>
          <w:rStyle w:val="Hyperlink"/>
          <w:color w:val="000000" w:themeColor="text1"/>
        </w:rPr>
        <w:t>https://mcodeinitiative.org/</w:t>
      </w:r>
      <w:r w:rsidRPr="004A5562">
        <w:rPr>
          <w:rFonts w:eastAsia="Microsoft YaHei" w:cs="Times New Roman"/>
          <w:color w:val="000000" w:themeColor="text1"/>
          <w:szCs w:val="24"/>
        </w:rPr>
        <w:t xml:space="preserve">) was used to search for high modularity clusters within the network (degree cutoff = 2, node score cutoff = 0.2, k-score = 2, maximum depth = 100). Clusters (nodes&gt;=10, score&gt;5) were considered significant. </w:t>
      </w:r>
      <w:proofErr w:type="spellStart"/>
      <w:r w:rsidRPr="004A5562">
        <w:rPr>
          <w:rFonts w:eastAsia="Microsoft YaHei" w:cs="Times New Roman"/>
          <w:color w:val="000000" w:themeColor="text1"/>
          <w:szCs w:val="24"/>
        </w:rPr>
        <w:t>CytoHubba</w:t>
      </w:r>
      <w:proofErr w:type="spellEnd"/>
      <w:r w:rsidRPr="004A5562">
        <w:rPr>
          <w:rFonts w:eastAsia="Microsoft YaHei" w:cs="Times New Roman"/>
          <w:color w:val="000000" w:themeColor="text1"/>
          <w:szCs w:val="24"/>
        </w:rPr>
        <w:t xml:space="preserve"> (</w:t>
      </w:r>
      <w:r w:rsidRPr="004A5562">
        <w:rPr>
          <w:rStyle w:val="Hyperlink"/>
          <w:color w:val="000000" w:themeColor="text1"/>
        </w:rPr>
        <w:t>https://apps.cytoscape.org/apps/cytohubba</w:t>
      </w:r>
      <w:r w:rsidRPr="004A5562">
        <w:rPr>
          <w:rFonts w:eastAsia="Microsoft YaHei" w:cs="Times New Roman"/>
          <w:color w:val="000000" w:themeColor="text1"/>
          <w:szCs w:val="24"/>
        </w:rPr>
        <w:t xml:space="preserve">) was utilized to identify the top hub genes. All nodes not connected to the main network were excluded from this analysis to obtain reliable results. To identify pathways associated with </w:t>
      </w:r>
      <w:proofErr w:type="spellStart"/>
      <w:r w:rsidRPr="004A5562">
        <w:rPr>
          <w:rFonts w:eastAsia="Microsoft YaHei" w:cs="Times New Roman"/>
          <w:color w:val="000000" w:themeColor="text1"/>
          <w:szCs w:val="24"/>
        </w:rPr>
        <w:t>DEmRNAs</w:t>
      </w:r>
      <w:proofErr w:type="spellEnd"/>
      <w:r w:rsidRPr="004A5562">
        <w:rPr>
          <w:rFonts w:eastAsia="Microsoft YaHei" w:cs="Times New Roman"/>
          <w:color w:val="000000" w:themeColor="text1"/>
          <w:szCs w:val="24"/>
        </w:rPr>
        <w:t xml:space="preserve"> in each cluster, we used the </w:t>
      </w:r>
      <w:proofErr w:type="spellStart"/>
      <w:r w:rsidRPr="004A5562">
        <w:rPr>
          <w:rFonts w:eastAsia="Microsoft YaHei" w:cs="Times New Roman"/>
          <w:color w:val="000000" w:themeColor="text1"/>
          <w:szCs w:val="24"/>
        </w:rPr>
        <w:t>ClueGO</w:t>
      </w:r>
      <w:proofErr w:type="spellEnd"/>
      <w:r w:rsidRPr="004A5562">
        <w:rPr>
          <w:rFonts w:eastAsia="Microsoft YaHei" w:cs="Times New Roman"/>
          <w:color w:val="000000" w:themeColor="text1"/>
          <w:szCs w:val="24"/>
        </w:rPr>
        <w:t xml:space="preserve"> (</w:t>
      </w:r>
      <w:r w:rsidRPr="004A5562">
        <w:rPr>
          <w:rStyle w:val="Hyperlink"/>
          <w:color w:val="000000" w:themeColor="text1"/>
        </w:rPr>
        <w:t>https://apps.cytoscape.org/apps/cluego</w:t>
      </w:r>
      <w:r w:rsidRPr="004A5562">
        <w:rPr>
          <w:rFonts w:eastAsia="Microsoft YaHei" w:cs="Times New Roman"/>
          <w:color w:val="000000" w:themeColor="text1"/>
          <w:szCs w:val="24"/>
        </w:rPr>
        <w:t xml:space="preserve">) plugin of </w:t>
      </w:r>
      <w:proofErr w:type="spellStart"/>
      <w:r w:rsidRPr="004A5562">
        <w:rPr>
          <w:rFonts w:eastAsia="Microsoft YaHei" w:cs="Times New Roman"/>
          <w:color w:val="000000" w:themeColor="text1"/>
          <w:szCs w:val="24"/>
        </w:rPr>
        <w:t>Cytoscape</w:t>
      </w:r>
      <w:proofErr w:type="spellEnd"/>
      <w:r w:rsidRPr="004A5562">
        <w:rPr>
          <w:rFonts w:eastAsia="Microsoft YaHei" w:cs="Times New Roman"/>
          <w:color w:val="000000" w:themeColor="text1"/>
          <w:szCs w:val="24"/>
        </w:rPr>
        <w:t>.</w:t>
      </w:r>
    </w:p>
    <w:p w14:paraId="37FB69B4" w14:textId="77777777" w:rsidR="00D46BF2" w:rsidRPr="004A5562" w:rsidRDefault="00D46BF2" w:rsidP="00D46BF2">
      <w:pPr>
        <w:pStyle w:val="Heading2"/>
        <w:spacing w:before="120" w:after="240"/>
        <w:rPr>
          <w:color w:val="000000" w:themeColor="text1"/>
        </w:rPr>
      </w:pPr>
      <w:bookmarkStart w:id="15" w:name="_Hlk90671558"/>
      <w:bookmarkEnd w:id="14"/>
      <w:r w:rsidRPr="004A5562">
        <w:rPr>
          <w:color w:val="000000" w:themeColor="text1"/>
        </w:rPr>
        <w:t>Transcription Factor Identification and TF–mRNA Regulation Relationship Construction</w:t>
      </w:r>
    </w:p>
    <w:p w14:paraId="2BE102B0" w14:textId="178178B7" w:rsidR="00D31AFF" w:rsidRPr="004A5562" w:rsidRDefault="00D31AFF" w:rsidP="00721DEA">
      <w:pPr>
        <w:spacing w:beforeLines="100" w:before="240" w:afterLines="100"/>
        <w:rPr>
          <w:rFonts w:eastAsia="Microsoft YaHei" w:cs="Times New Roman"/>
          <w:color w:val="000000" w:themeColor="text1"/>
          <w:szCs w:val="24"/>
        </w:rPr>
      </w:pPr>
      <w:r w:rsidRPr="004A5562">
        <w:rPr>
          <w:rFonts w:eastAsia="Microsoft YaHei" w:cs="Times New Roman"/>
          <w:color w:val="000000" w:themeColor="text1"/>
          <w:szCs w:val="24"/>
        </w:rPr>
        <w:t xml:space="preserve">The Animal Transcription Factors Database (TFDB) provides comprehensive annotation and classification of TFs and cofactors; as such, TFDB was employed to identify interactive transcription factors </w:t>
      </w:r>
      <w:r w:rsidRPr="004A5562">
        <w:rPr>
          <w:rFonts w:eastAsia="Microsoft YaHei" w:cs="Times New Roman"/>
          <w:color w:val="000000" w:themeColor="text1"/>
          <w:szCs w:val="24"/>
        </w:rPr>
        <w:fldChar w:fldCharType="begin"/>
      </w:r>
      <w:r w:rsidRPr="004A5562">
        <w:rPr>
          <w:rFonts w:eastAsia="Microsoft YaHei" w:cs="Times New Roman"/>
          <w:color w:val="000000" w:themeColor="text1"/>
          <w:szCs w:val="24"/>
        </w:rPr>
        <w:instrText xml:space="preserve"> ADDIN EN.CITE &lt;EndNote&gt;&lt;Cite&gt;&lt;Author&gt;Hu&lt;/Author&gt;&lt;Year&gt;2019&lt;/Year&gt;&lt;RecNum&gt;237&lt;/RecNum&gt;&lt;DisplayText&gt;(Hu et al., 2019)&lt;/DisplayText&gt;&lt;record&gt;&lt;rec-number&gt;237&lt;/rec-number&gt;&lt;foreign-keys&gt;&lt;key app="EN" db-id="pftzverd2wz0atep5p55zpvtsdsvedzwze9e" timestamp="1620657373"&gt;237&lt;/key&gt;&lt;/foreign-keys&gt;&lt;ref-type name="Journal Article"&gt;17&lt;/ref-type&gt;&lt;contributors&gt;&lt;authors&gt;&lt;author&gt;Hu, Hui&lt;/author&gt;&lt;author&gt;Miao, Ya-Ru&lt;/author&gt;&lt;author&gt;Jia, Long-Hao&lt;/author&gt;&lt;author&gt;Yu, Qing-Yang&lt;/author&gt;&lt;author&gt;Zhang, Qiong&lt;/author&gt;&lt;author&gt;Guo, An-Yuan&lt;/author&gt;&lt;/authors&gt;&lt;/contributors&gt;&lt;auth-address&gt;Department of Bioinformatics and Systems Biology, Key Laboratory of Molecular Biophysics of the Ministry of Education, Hubei Bioinformatics and Molecular Imaging Key Laboratory, College of Life Science and Technology, Huazhong University of Science and Technology, Wuhan, Hubei 430074, PR China.&lt;/auth-address&gt;&lt;titles&gt;&lt;title&gt;AnimalTFDB 3.0: a comprehensive resource for annotation and prediction of animal transcription factors&lt;/title&gt;&lt;secondary-title&gt;Nucleic acids research&lt;/secondary-title&gt;&lt;alt-title&gt;Nucleic Acids Res&lt;/alt-title&gt;&lt;/titles&gt;&lt;periodical&gt;&lt;full-title&gt;Nucleic Acids Research&lt;/full-title&gt;&lt;abbr-1&gt;Nucleic Acids Res.&lt;/abbr-1&gt;&lt;abbr-2&gt;Nucleic Acids Res&lt;/abbr-2&gt;&lt;/periodical&gt;&lt;alt-periodical&gt;&lt;full-title&gt;Nucleic Acids Research&lt;/full-title&gt;&lt;abbr-1&gt;Nucleic Acids Res.&lt;/abbr-1&gt;&lt;abbr-2&gt;Nucleic Acids Res&lt;/abbr-2&gt;&lt;/alt-periodical&gt;&lt;pages&gt;D33-D38&lt;/pages&gt;&lt;volume&gt;47&lt;/volume&gt;&lt;number&gt;D1&lt;/number&gt;&lt;dates&gt;&lt;year&gt;2019&lt;/year&gt;&lt;/dates&gt;&lt;isbn&gt;1362-4962&lt;/isbn&gt;&lt;accession-num&gt;30204897&lt;/accession-num&gt;&lt;urls&gt;&lt;related-urls&gt;&lt;url&gt;https://pubmed.ncbi.nlm.nih.gov/30204897&lt;/url&gt;&lt;/related-urls&gt;&lt;/urls&gt;&lt;electronic-resource-num&gt;10.1093/nar/gky822&lt;/electronic-resource-num&gt;&lt;remote-database-name&gt;PubMed&lt;/remote-database-name&gt;&lt;language&gt;eng&lt;/language&gt;&lt;/record&gt;&lt;/Cite&gt;&lt;/EndNote&gt;</w:instrText>
      </w:r>
      <w:r w:rsidRPr="004A5562">
        <w:rPr>
          <w:rFonts w:eastAsia="Microsoft YaHei" w:cs="Times New Roman"/>
          <w:color w:val="000000" w:themeColor="text1"/>
          <w:szCs w:val="24"/>
        </w:rPr>
        <w:fldChar w:fldCharType="separate"/>
      </w:r>
      <w:r w:rsidRPr="004A5562">
        <w:rPr>
          <w:rFonts w:eastAsia="Microsoft YaHei" w:cs="Times New Roman"/>
          <w:noProof/>
          <w:color w:val="000000" w:themeColor="text1"/>
          <w:szCs w:val="24"/>
        </w:rPr>
        <w:t>(Hu et al., 2019)</w:t>
      </w:r>
      <w:r w:rsidRPr="004A5562">
        <w:rPr>
          <w:rFonts w:eastAsia="Microsoft YaHei" w:cs="Times New Roman"/>
          <w:color w:val="000000" w:themeColor="text1"/>
          <w:szCs w:val="24"/>
        </w:rPr>
        <w:fldChar w:fldCharType="end"/>
      </w:r>
      <w:r w:rsidRPr="004A5562">
        <w:rPr>
          <w:rFonts w:eastAsia="Microsoft YaHei" w:cs="Times New Roman"/>
          <w:color w:val="000000" w:themeColor="text1"/>
          <w:szCs w:val="24"/>
        </w:rPr>
        <w:t xml:space="preserve">. Then, </w:t>
      </w:r>
      <w:proofErr w:type="spellStart"/>
      <w:r w:rsidRPr="004A5562">
        <w:rPr>
          <w:rFonts w:eastAsia="Microsoft YaHei" w:cs="Times New Roman"/>
          <w:color w:val="000000" w:themeColor="text1"/>
          <w:szCs w:val="24"/>
        </w:rPr>
        <w:t>ChIP</w:t>
      </w:r>
      <w:proofErr w:type="spellEnd"/>
      <w:r w:rsidRPr="004A5562">
        <w:rPr>
          <w:rFonts w:eastAsia="Microsoft YaHei" w:cs="Times New Roman"/>
          <w:color w:val="000000" w:themeColor="text1"/>
          <w:szCs w:val="24"/>
        </w:rPr>
        <w:t xml:space="preserve"> Enrichment Analysis (</w:t>
      </w:r>
      <w:proofErr w:type="spellStart"/>
      <w:r w:rsidRPr="004A5562">
        <w:rPr>
          <w:rFonts w:eastAsia="Microsoft YaHei" w:cs="Times New Roman"/>
          <w:color w:val="000000" w:themeColor="text1"/>
          <w:szCs w:val="24"/>
        </w:rPr>
        <w:t>ChEA</w:t>
      </w:r>
      <w:proofErr w:type="spellEnd"/>
      <w:r w:rsidRPr="004A5562">
        <w:rPr>
          <w:rFonts w:eastAsia="Microsoft YaHei" w:cs="Times New Roman"/>
          <w:color w:val="000000" w:themeColor="text1"/>
          <w:szCs w:val="24"/>
        </w:rPr>
        <w:t xml:space="preserve">): Transcription Factor Binding Site Profiles, JASPAR Predicted Transcription Factor Targets, </w:t>
      </w:r>
      <w:bookmarkStart w:id="16" w:name="_Hlk91342373"/>
      <w:r w:rsidR="00D46BF2" w:rsidRPr="004A5562">
        <w:rPr>
          <w:rFonts w:eastAsia="Microsoft YaHei" w:cs="Times New Roman"/>
          <w:color w:val="000000" w:themeColor="text1"/>
          <w:szCs w:val="24"/>
        </w:rPr>
        <w:t>ENCODE Transcription Factor Targets</w:t>
      </w:r>
      <w:r w:rsidR="00D46BF2" w:rsidRPr="004A5562">
        <w:rPr>
          <w:rFonts w:eastAsia="Microsoft YaHei" w:cs="Times New Roman" w:hint="eastAsia"/>
          <w:color w:val="000000" w:themeColor="text1"/>
          <w:szCs w:val="24"/>
          <w:lang w:eastAsia="zh-CN"/>
        </w:rPr>
        <w:t>,</w:t>
      </w:r>
      <w:bookmarkEnd w:id="16"/>
      <w:r w:rsidR="00D46BF2" w:rsidRPr="004A5562">
        <w:rPr>
          <w:rFonts w:eastAsia="Microsoft YaHei" w:cs="Times New Roman"/>
          <w:color w:val="000000" w:themeColor="text1"/>
          <w:szCs w:val="24"/>
          <w:lang w:eastAsia="zh-CN"/>
        </w:rPr>
        <w:t xml:space="preserve"> </w:t>
      </w:r>
      <w:r w:rsidRPr="004A5562">
        <w:rPr>
          <w:rFonts w:eastAsia="Microsoft YaHei" w:cs="Times New Roman"/>
          <w:color w:val="000000" w:themeColor="text1"/>
          <w:szCs w:val="24"/>
        </w:rPr>
        <w:t xml:space="preserve">and TRANSFAC Curated Transcription Factor Targets were used to predict target genes. The predicted target genes were compared with </w:t>
      </w:r>
      <w:proofErr w:type="spellStart"/>
      <w:r w:rsidRPr="004A5562">
        <w:rPr>
          <w:rFonts w:eastAsia="Microsoft YaHei" w:cs="Times New Roman"/>
          <w:color w:val="000000" w:themeColor="text1"/>
          <w:szCs w:val="24"/>
        </w:rPr>
        <w:t>DEmRNAs</w:t>
      </w:r>
      <w:proofErr w:type="spellEnd"/>
      <w:r w:rsidRPr="004A5562">
        <w:rPr>
          <w:rFonts w:eastAsia="Microsoft YaHei" w:cs="Times New Roman"/>
          <w:color w:val="000000" w:themeColor="text1"/>
          <w:szCs w:val="24"/>
        </w:rPr>
        <w:t xml:space="preserve"> to obtain the overlapping </w:t>
      </w:r>
      <w:proofErr w:type="spellStart"/>
      <w:r w:rsidRPr="004A5562">
        <w:rPr>
          <w:rFonts w:eastAsia="Microsoft YaHei" w:cs="Times New Roman"/>
          <w:color w:val="000000" w:themeColor="text1"/>
          <w:szCs w:val="24"/>
        </w:rPr>
        <w:t>DEmRNAs</w:t>
      </w:r>
      <w:proofErr w:type="spellEnd"/>
      <w:r w:rsidRPr="004A5562">
        <w:rPr>
          <w:rFonts w:eastAsia="Microsoft YaHei" w:cs="Times New Roman"/>
          <w:color w:val="000000" w:themeColor="text1"/>
          <w:szCs w:val="24"/>
        </w:rPr>
        <w:t xml:space="preserve">, and the TF–mRNA interactions were visualized by </w:t>
      </w:r>
      <w:proofErr w:type="spellStart"/>
      <w:r w:rsidRPr="004A5562">
        <w:rPr>
          <w:rFonts w:eastAsia="Microsoft YaHei" w:cs="Times New Roman"/>
          <w:color w:val="000000" w:themeColor="text1"/>
          <w:szCs w:val="24"/>
        </w:rPr>
        <w:t>Cytoscape</w:t>
      </w:r>
      <w:proofErr w:type="spellEnd"/>
      <w:r w:rsidRPr="004A5562">
        <w:rPr>
          <w:rFonts w:eastAsia="Microsoft YaHei" w:cs="Times New Roman"/>
          <w:color w:val="000000" w:themeColor="text1"/>
          <w:szCs w:val="24"/>
        </w:rPr>
        <w:t>.</w:t>
      </w:r>
    </w:p>
    <w:p w14:paraId="7230DAD3" w14:textId="29978B59" w:rsidR="00D31AFF" w:rsidRPr="004A5562" w:rsidRDefault="00D31AFF" w:rsidP="00721DEA">
      <w:pPr>
        <w:pStyle w:val="Heading2"/>
        <w:spacing w:before="120" w:after="240"/>
        <w:ind w:left="0" w:firstLine="0"/>
        <w:rPr>
          <w:color w:val="000000" w:themeColor="text1"/>
        </w:rPr>
      </w:pPr>
      <w:bookmarkStart w:id="17" w:name="_Hlk90671701"/>
      <w:bookmarkStart w:id="18" w:name="_Hlk91342552"/>
      <w:bookmarkEnd w:id="15"/>
      <w:r w:rsidRPr="004A5562">
        <w:rPr>
          <w:color w:val="000000" w:themeColor="text1"/>
        </w:rPr>
        <w:t>Quantitative</w:t>
      </w:r>
      <w:r w:rsidR="00D46BF2" w:rsidRPr="004A5562">
        <w:rPr>
          <w:color w:val="000000" w:themeColor="text1"/>
        </w:rPr>
        <w:t xml:space="preserve"> reverse transcription</w:t>
      </w:r>
      <w:r w:rsidRPr="004A5562">
        <w:rPr>
          <w:color w:val="000000" w:themeColor="text1"/>
        </w:rPr>
        <w:t xml:space="preserve"> polymerase chain reaction (</w:t>
      </w:r>
      <w:proofErr w:type="spellStart"/>
      <w:r w:rsidR="00D46BF2" w:rsidRPr="004A5562">
        <w:rPr>
          <w:color w:val="000000" w:themeColor="text1"/>
        </w:rPr>
        <w:t>qRT</w:t>
      </w:r>
      <w:proofErr w:type="spellEnd"/>
      <w:r w:rsidR="00D46BF2" w:rsidRPr="004A5562">
        <w:rPr>
          <w:color w:val="000000" w:themeColor="text1"/>
        </w:rPr>
        <w:t>-</w:t>
      </w:r>
      <w:r w:rsidRPr="004A5562">
        <w:rPr>
          <w:color w:val="000000" w:themeColor="text1"/>
        </w:rPr>
        <w:t>PCR) analysis</w:t>
      </w:r>
    </w:p>
    <w:p w14:paraId="2A97C4AD" w14:textId="77777777" w:rsidR="00D46BF2" w:rsidRPr="004A5562" w:rsidRDefault="00D46BF2" w:rsidP="00D46BF2">
      <w:pPr>
        <w:rPr>
          <w:rFonts w:eastAsia="Microsoft YaHei" w:cs="Times New Roman"/>
          <w:color w:val="000000" w:themeColor="text1"/>
          <w:szCs w:val="24"/>
        </w:rPr>
      </w:pPr>
      <w:bookmarkStart w:id="19" w:name="_Hlk90679843"/>
      <w:bookmarkEnd w:id="17"/>
      <w:bookmarkEnd w:id="18"/>
      <w:r w:rsidRPr="004A5562">
        <w:rPr>
          <w:rFonts w:eastAsia="Microsoft YaHei" w:cs="Times New Roman"/>
          <w:color w:val="000000" w:themeColor="text1"/>
          <w:szCs w:val="24"/>
        </w:rPr>
        <w:t xml:space="preserve">Total RNA from the tissues was extracted with the </w:t>
      </w:r>
      <w:proofErr w:type="spellStart"/>
      <w:r w:rsidRPr="004A5562">
        <w:rPr>
          <w:rFonts w:eastAsia="Microsoft YaHei" w:cs="Times New Roman"/>
          <w:color w:val="000000" w:themeColor="text1"/>
          <w:szCs w:val="24"/>
        </w:rPr>
        <w:t>TRIzol</w:t>
      </w:r>
      <w:proofErr w:type="spellEnd"/>
      <w:r w:rsidRPr="004A5562">
        <w:rPr>
          <w:rFonts w:eastAsia="Microsoft YaHei" w:cs="Times New Roman"/>
          <w:color w:val="000000" w:themeColor="text1"/>
          <w:szCs w:val="24"/>
        </w:rPr>
        <w:t xml:space="preserve"> reagent (Invitrogen, Camarillo, CA, USA). Subsequently, 1000 ng of the extracted RNA was reverse transcribed into cDNA using the </w:t>
      </w:r>
      <w:proofErr w:type="spellStart"/>
      <w:r w:rsidRPr="004A5562">
        <w:rPr>
          <w:rFonts w:eastAsia="Microsoft YaHei" w:cs="Times New Roman"/>
          <w:color w:val="000000" w:themeColor="text1"/>
          <w:szCs w:val="24"/>
        </w:rPr>
        <w:t>PrimeScript</w:t>
      </w:r>
      <w:proofErr w:type="spellEnd"/>
      <w:r w:rsidRPr="004A5562">
        <w:rPr>
          <w:rFonts w:eastAsia="Microsoft YaHei" w:cs="Times New Roman"/>
          <w:color w:val="000000" w:themeColor="text1"/>
          <w:szCs w:val="24"/>
        </w:rPr>
        <w:t xml:space="preserve"> RT reagent Kit with gDNA Remover (Takara, Shiga, Japan). We performed </w:t>
      </w:r>
      <w:proofErr w:type="spellStart"/>
      <w:r w:rsidRPr="004A5562">
        <w:rPr>
          <w:rFonts w:eastAsia="Microsoft YaHei" w:cs="Times New Roman"/>
          <w:color w:val="000000" w:themeColor="text1"/>
          <w:szCs w:val="24"/>
        </w:rPr>
        <w:t>qRT</w:t>
      </w:r>
      <w:proofErr w:type="spellEnd"/>
      <w:r w:rsidRPr="004A5562">
        <w:rPr>
          <w:rFonts w:eastAsia="Microsoft YaHei" w:cs="Times New Roman"/>
          <w:color w:val="000000" w:themeColor="text1"/>
          <w:szCs w:val="24"/>
        </w:rPr>
        <w:t>-PCR using the TB Green Premix Ex Taq II (Takara, Shiga, Japan) on a BIO-RAD CFX C</w:t>
      </w:r>
      <w:r w:rsidRPr="004A5562">
        <w:rPr>
          <w:rFonts w:eastAsia="Microsoft YaHei" w:cs="Times New Roman" w:hint="eastAsia"/>
          <w:color w:val="000000" w:themeColor="text1"/>
          <w:szCs w:val="24"/>
        </w:rPr>
        <w:t>onnect</w:t>
      </w:r>
      <w:r w:rsidRPr="004A5562">
        <w:rPr>
          <w:rFonts w:eastAsia="Microsoft YaHei" w:cs="Times New Roman"/>
          <w:color w:val="000000" w:themeColor="text1"/>
          <w:szCs w:val="24"/>
        </w:rPr>
        <w:t xml:space="preserve"> R</w:t>
      </w:r>
      <w:r w:rsidRPr="004A5562">
        <w:rPr>
          <w:rFonts w:eastAsia="Microsoft YaHei" w:cs="Times New Roman" w:hint="eastAsia"/>
          <w:color w:val="000000" w:themeColor="text1"/>
          <w:szCs w:val="24"/>
        </w:rPr>
        <w:t>eal</w:t>
      </w:r>
      <w:r w:rsidRPr="004A5562">
        <w:rPr>
          <w:rFonts w:eastAsia="Microsoft YaHei" w:cs="Times New Roman"/>
          <w:color w:val="000000" w:themeColor="text1"/>
          <w:szCs w:val="24"/>
        </w:rPr>
        <w:t xml:space="preserve">-Time System (Bio-Rad, Munich, Germany). The relative expression levels of target genes were normalized with that of </w:t>
      </w:r>
      <w:r w:rsidRPr="004A5562">
        <w:rPr>
          <w:rFonts w:eastAsia="Microsoft YaHei" w:cs="Times New Roman"/>
          <w:i/>
          <w:iCs/>
          <w:color w:val="000000" w:themeColor="text1"/>
          <w:szCs w:val="24"/>
        </w:rPr>
        <w:t>GAPDH</w:t>
      </w:r>
      <w:r w:rsidRPr="004A5562">
        <w:rPr>
          <w:rFonts w:eastAsia="Microsoft YaHei" w:cs="Times New Roman"/>
          <w:color w:val="000000" w:themeColor="text1"/>
          <w:szCs w:val="24"/>
        </w:rPr>
        <w:t xml:space="preserve"> using the 2</w:t>
      </w:r>
      <w:r w:rsidRPr="004A5562">
        <w:rPr>
          <w:rFonts w:eastAsia="Microsoft YaHei" w:cs="Times New Roman"/>
          <w:color w:val="000000" w:themeColor="text1"/>
          <w:szCs w:val="24"/>
          <w:vertAlign w:val="superscript"/>
        </w:rPr>
        <w:t>-ΔΔCt</w:t>
      </w:r>
      <w:r w:rsidRPr="004A5562">
        <w:rPr>
          <w:rFonts w:eastAsia="Microsoft YaHei" w:cs="Times New Roman"/>
          <w:color w:val="000000" w:themeColor="text1"/>
          <w:szCs w:val="24"/>
        </w:rPr>
        <w:t xml:space="preserve"> method. The hub genes (</w:t>
      </w:r>
      <w:proofErr w:type="spellStart"/>
      <w:r w:rsidRPr="004A5562">
        <w:rPr>
          <w:rFonts w:eastAsia="Microsoft YaHei" w:cs="Times New Roman"/>
          <w:i/>
          <w:iCs/>
          <w:color w:val="000000" w:themeColor="text1"/>
          <w:szCs w:val="24"/>
        </w:rPr>
        <w:t>Fos</w:t>
      </w:r>
      <w:proofErr w:type="spellEnd"/>
      <w:r w:rsidRPr="004A5562">
        <w:rPr>
          <w:rFonts w:eastAsia="Microsoft YaHei" w:cs="Times New Roman"/>
          <w:i/>
          <w:iCs/>
          <w:color w:val="000000" w:themeColor="text1"/>
          <w:szCs w:val="24"/>
        </w:rPr>
        <w:t xml:space="preserve">, Spp1, Fn1, </w:t>
      </w:r>
      <w:proofErr w:type="spellStart"/>
      <w:r w:rsidRPr="004A5562">
        <w:rPr>
          <w:rFonts w:eastAsia="Microsoft YaHei" w:cs="Times New Roman"/>
          <w:i/>
          <w:iCs/>
          <w:color w:val="000000" w:themeColor="text1"/>
          <w:szCs w:val="24"/>
        </w:rPr>
        <w:t>Ctgf</w:t>
      </w:r>
      <w:proofErr w:type="spellEnd"/>
      <w:r w:rsidRPr="004A5562">
        <w:rPr>
          <w:rFonts w:eastAsia="Microsoft YaHei" w:cs="Times New Roman"/>
          <w:i/>
          <w:iCs/>
          <w:color w:val="000000" w:themeColor="text1"/>
          <w:szCs w:val="24"/>
        </w:rPr>
        <w:t xml:space="preserve">, Tlr2, Itgb2, </w:t>
      </w:r>
      <w:proofErr w:type="spellStart"/>
      <w:r w:rsidRPr="004A5562">
        <w:rPr>
          <w:rFonts w:eastAsia="Microsoft YaHei" w:cs="Times New Roman"/>
          <w:i/>
          <w:iCs/>
          <w:color w:val="000000" w:themeColor="text1"/>
          <w:szCs w:val="24"/>
        </w:rPr>
        <w:t>Itgax</w:t>
      </w:r>
      <w:proofErr w:type="spellEnd"/>
      <w:r w:rsidRPr="004A5562">
        <w:rPr>
          <w:rFonts w:eastAsia="Microsoft YaHei" w:cs="Times New Roman"/>
          <w:i/>
          <w:iCs/>
          <w:color w:val="000000" w:themeColor="text1"/>
          <w:szCs w:val="24"/>
        </w:rPr>
        <w:t>, Ccl2</w:t>
      </w:r>
      <w:r w:rsidRPr="004A5562">
        <w:rPr>
          <w:i/>
          <w:color w:val="000000" w:themeColor="text1"/>
        </w:rPr>
        <w:t>,</w:t>
      </w:r>
      <w:r w:rsidRPr="004A5562">
        <w:rPr>
          <w:rFonts w:eastAsia="Microsoft YaHei" w:cs="Times New Roman"/>
          <w:color w:val="000000" w:themeColor="text1"/>
          <w:szCs w:val="24"/>
        </w:rPr>
        <w:t xml:space="preserve"> </w:t>
      </w:r>
      <w:r w:rsidRPr="004A5562">
        <w:rPr>
          <w:rFonts w:eastAsia="Microsoft YaHei" w:cs="Times New Roman"/>
          <w:i/>
          <w:iCs/>
          <w:color w:val="000000" w:themeColor="text1"/>
          <w:szCs w:val="24"/>
        </w:rPr>
        <w:t>Mmp9</w:t>
      </w:r>
      <w:r w:rsidRPr="004A5562">
        <w:rPr>
          <w:rFonts w:eastAsia="Microsoft YaHei" w:cs="Times New Roman"/>
          <w:i/>
          <w:iCs/>
          <w:color w:val="000000" w:themeColor="text1"/>
          <w:szCs w:val="24"/>
          <w:lang w:eastAsia="zh-CN"/>
        </w:rPr>
        <w:t>,</w:t>
      </w:r>
      <w:r w:rsidRPr="004A5562">
        <w:rPr>
          <w:rFonts w:eastAsia="Microsoft YaHei" w:cs="Times New Roman"/>
          <w:i/>
          <w:iCs/>
          <w:color w:val="000000" w:themeColor="text1"/>
          <w:szCs w:val="24"/>
        </w:rPr>
        <w:t xml:space="preserve"> </w:t>
      </w:r>
      <w:r w:rsidRPr="004A5562">
        <w:rPr>
          <w:rFonts w:eastAsia="Microsoft YaHei" w:cs="Times New Roman" w:hint="eastAsia"/>
          <w:color w:val="000000" w:themeColor="text1"/>
          <w:szCs w:val="24"/>
          <w:lang w:eastAsia="zh-CN"/>
        </w:rPr>
        <w:t>and</w:t>
      </w:r>
      <w:r w:rsidRPr="004A5562">
        <w:rPr>
          <w:rFonts w:eastAsia="Microsoft YaHei" w:cs="Times New Roman"/>
          <w:color w:val="000000" w:themeColor="text1"/>
          <w:szCs w:val="24"/>
        </w:rPr>
        <w:t xml:space="preserve"> </w:t>
      </w:r>
      <w:r w:rsidRPr="004A5562">
        <w:rPr>
          <w:rFonts w:eastAsia="Microsoft YaHei" w:cs="Times New Roman"/>
          <w:i/>
          <w:iCs/>
          <w:color w:val="000000" w:themeColor="text1"/>
          <w:szCs w:val="24"/>
        </w:rPr>
        <w:t>Serpine1</w:t>
      </w:r>
      <w:r w:rsidRPr="004A5562">
        <w:rPr>
          <w:rFonts w:eastAsia="Microsoft YaHei" w:cs="Times New Roman"/>
          <w:color w:val="000000" w:themeColor="text1"/>
          <w:szCs w:val="24"/>
        </w:rPr>
        <w:t xml:space="preserve">) and TFs (FOS, SPI1, IRF4, MYOG, CTGF, MEF2C, and SREBF1) were analyzed by </w:t>
      </w:r>
      <w:proofErr w:type="spellStart"/>
      <w:r w:rsidRPr="004A5562">
        <w:rPr>
          <w:rFonts w:eastAsia="Microsoft YaHei" w:cs="Times New Roman"/>
          <w:color w:val="000000" w:themeColor="text1"/>
          <w:szCs w:val="24"/>
        </w:rPr>
        <w:t>qRT</w:t>
      </w:r>
      <w:proofErr w:type="spellEnd"/>
      <w:r w:rsidRPr="004A5562">
        <w:rPr>
          <w:rFonts w:eastAsia="Microsoft YaHei" w:cs="Times New Roman"/>
          <w:color w:val="000000" w:themeColor="text1"/>
          <w:szCs w:val="24"/>
        </w:rPr>
        <w:t>-PCR. The primer sequences are listed in Supplementary Table S1.</w:t>
      </w:r>
    </w:p>
    <w:p w14:paraId="751F219A" w14:textId="77777777" w:rsidR="00D31AFF" w:rsidRPr="004A5562" w:rsidRDefault="00D31AFF" w:rsidP="00721DEA">
      <w:pPr>
        <w:pStyle w:val="Heading2"/>
        <w:spacing w:before="120" w:after="240"/>
        <w:ind w:left="0" w:firstLine="0"/>
        <w:rPr>
          <w:color w:val="000000" w:themeColor="text1"/>
        </w:rPr>
      </w:pPr>
      <w:r w:rsidRPr="004A5562">
        <w:rPr>
          <w:color w:val="000000" w:themeColor="text1"/>
        </w:rPr>
        <w:t>Statistical analysis</w:t>
      </w:r>
    </w:p>
    <w:p w14:paraId="465902D6" w14:textId="77777777" w:rsidR="00D31AFF" w:rsidRPr="004A5562" w:rsidRDefault="00D31AFF" w:rsidP="00721DEA">
      <w:pPr>
        <w:spacing w:beforeLines="100" w:before="240" w:afterLines="100"/>
        <w:rPr>
          <w:rFonts w:eastAsia="Microsoft YaHei" w:cs="Times New Roman"/>
          <w:color w:val="000000" w:themeColor="text1"/>
          <w:szCs w:val="24"/>
        </w:rPr>
      </w:pPr>
      <w:r w:rsidRPr="004A5562">
        <w:rPr>
          <w:rFonts w:eastAsia="Microsoft YaHei" w:cs="Times New Roman"/>
          <w:color w:val="000000" w:themeColor="text1"/>
          <w:szCs w:val="24"/>
        </w:rPr>
        <w:t>The differences in expression between the silicone and control group tissues were calculated using t-test or the Mann–Whitney U test. The results shown in column graphs are presented as the mean ± standard deviation (SD) from at least three experimental repeats. P-values of less than 0.05 were considered statistically significant.</w:t>
      </w:r>
      <w:r w:rsidRPr="004A5562">
        <w:rPr>
          <w:rFonts w:eastAsia="Microsoft YaHei" w:cs="Times New Roman" w:hint="eastAsia"/>
          <w:color w:val="000000" w:themeColor="text1"/>
          <w:szCs w:val="24"/>
        </w:rPr>
        <w:t xml:space="preserve"> </w:t>
      </w:r>
      <w:r w:rsidRPr="004A5562">
        <w:rPr>
          <w:rFonts w:eastAsia="Microsoft YaHei" w:cs="Times New Roman"/>
          <w:color w:val="000000" w:themeColor="text1"/>
          <w:szCs w:val="24"/>
        </w:rPr>
        <w:t>The data were plotted using GraphPad Prism 7.0 (GraphPad Software, San Diego, CA, USA).</w:t>
      </w:r>
    </w:p>
    <w:bookmarkEnd w:id="19"/>
    <w:p w14:paraId="5FCEA92D" w14:textId="77777777" w:rsidR="00D31AFF" w:rsidRPr="004A5562" w:rsidRDefault="00D31AFF" w:rsidP="00721DEA">
      <w:pPr>
        <w:rPr>
          <w:rFonts w:eastAsia="Microsoft YaHei" w:cs="Times New Roman"/>
          <w:color w:val="000000" w:themeColor="text1"/>
          <w:szCs w:val="24"/>
        </w:rPr>
      </w:pPr>
    </w:p>
    <w:p w14:paraId="163D1099" w14:textId="474D3321" w:rsidR="00D31AFF" w:rsidRPr="004A5562" w:rsidRDefault="000366F5" w:rsidP="00721DEA">
      <w:pPr>
        <w:rPr>
          <w:rFonts w:eastAsia="Microsoft YaHei" w:cs="Times New Roman"/>
          <w:color w:val="000000" w:themeColor="text1"/>
          <w:szCs w:val="24"/>
          <w:lang w:eastAsia="zh-CN"/>
        </w:rPr>
      </w:pPr>
      <w:r w:rsidRPr="004A5562">
        <w:rPr>
          <w:rFonts w:eastAsia="Microsoft YaHei" w:cs="Times New Roman" w:hint="eastAsia"/>
          <w:color w:val="000000" w:themeColor="text1"/>
          <w:szCs w:val="24"/>
          <w:lang w:eastAsia="zh-CN"/>
        </w:rPr>
        <w:t>R</w:t>
      </w:r>
      <w:r w:rsidRPr="004A5562">
        <w:rPr>
          <w:rFonts w:eastAsia="Microsoft YaHei" w:cs="Times New Roman"/>
          <w:color w:val="000000" w:themeColor="text1"/>
          <w:szCs w:val="24"/>
          <w:lang w:eastAsia="zh-CN"/>
        </w:rPr>
        <w:t>eferences:</w:t>
      </w:r>
    </w:p>
    <w:p w14:paraId="676C4C9C" w14:textId="77777777" w:rsidR="000366F5" w:rsidRPr="004A5562" w:rsidRDefault="00D31AFF" w:rsidP="000366F5">
      <w:pPr>
        <w:pStyle w:val="EndNoteBibliography"/>
        <w:ind w:left="720" w:hanging="720"/>
        <w:rPr>
          <w:color w:val="000000" w:themeColor="text1"/>
        </w:rPr>
      </w:pPr>
      <w:r w:rsidRPr="004A5562">
        <w:rPr>
          <w:rFonts w:ascii="Times New Roman" w:eastAsia="Microsoft YaHei" w:hAnsi="Times New Roman" w:cs="Times New Roman"/>
          <w:color w:val="000000" w:themeColor="text1"/>
          <w:sz w:val="24"/>
          <w:szCs w:val="24"/>
        </w:rPr>
        <w:fldChar w:fldCharType="begin"/>
      </w:r>
      <w:r w:rsidRPr="004A5562">
        <w:rPr>
          <w:rFonts w:ascii="Times New Roman" w:eastAsia="Microsoft YaHei" w:hAnsi="Times New Roman" w:cs="Times New Roman"/>
          <w:color w:val="000000" w:themeColor="text1"/>
          <w:sz w:val="24"/>
          <w:szCs w:val="24"/>
        </w:rPr>
        <w:instrText xml:space="preserve"> ADDIN EN.REFLIST </w:instrText>
      </w:r>
      <w:r w:rsidRPr="004A5562">
        <w:rPr>
          <w:rFonts w:ascii="Times New Roman" w:eastAsia="Microsoft YaHei" w:hAnsi="Times New Roman" w:cs="Times New Roman"/>
          <w:color w:val="000000" w:themeColor="text1"/>
          <w:sz w:val="24"/>
          <w:szCs w:val="24"/>
        </w:rPr>
        <w:fldChar w:fldCharType="separate"/>
      </w:r>
      <w:r w:rsidR="000366F5" w:rsidRPr="004A5562">
        <w:rPr>
          <w:color w:val="000000" w:themeColor="text1"/>
        </w:rPr>
        <w:t xml:space="preserve">Hu, H., Miao, Y.-R., Jia, L.-H., Yu, Q.-Y., Zhang, Q., and Guo, A.-Y. (2019). AnimalTFDB 3.0: a comprehensive resource for annotation and prediction of animal transcription factors. </w:t>
      </w:r>
      <w:r w:rsidR="000366F5" w:rsidRPr="004A5562">
        <w:rPr>
          <w:i/>
          <w:color w:val="000000" w:themeColor="text1"/>
        </w:rPr>
        <w:t>Nucleic Acids Res.</w:t>
      </w:r>
      <w:r w:rsidR="000366F5" w:rsidRPr="004A5562">
        <w:rPr>
          <w:color w:val="000000" w:themeColor="text1"/>
        </w:rPr>
        <w:t xml:space="preserve"> 47</w:t>
      </w:r>
      <w:r w:rsidR="000366F5" w:rsidRPr="004A5562">
        <w:rPr>
          <w:b/>
          <w:color w:val="000000" w:themeColor="text1"/>
        </w:rPr>
        <w:t>,</w:t>
      </w:r>
      <w:r w:rsidR="000366F5" w:rsidRPr="004A5562">
        <w:rPr>
          <w:color w:val="000000" w:themeColor="text1"/>
        </w:rPr>
        <w:t xml:space="preserve"> D33-D38.</w:t>
      </w:r>
    </w:p>
    <w:p w14:paraId="3BA4F2FA" w14:textId="77777777" w:rsidR="000366F5" w:rsidRPr="004A5562" w:rsidRDefault="000366F5" w:rsidP="000366F5">
      <w:pPr>
        <w:pStyle w:val="EndNoteBibliography"/>
        <w:ind w:left="720" w:hanging="720"/>
        <w:rPr>
          <w:color w:val="000000" w:themeColor="text1"/>
        </w:rPr>
      </w:pPr>
      <w:r w:rsidRPr="004A5562">
        <w:rPr>
          <w:color w:val="000000" w:themeColor="text1"/>
        </w:rPr>
        <w:t xml:space="preserve">Zhou, Y., Zhou, B., Pache, L., Chang, M., Khodabakhshi, A.H., Tanaseichuk, O., Benner, C., and Chanda, S.K. (2019). Metascape provides a biologist-oriented resource for the analysis of systems-level datasets. </w:t>
      </w:r>
      <w:r w:rsidRPr="004A5562">
        <w:rPr>
          <w:i/>
          <w:color w:val="000000" w:themeColor="text1"/>
        </w:rPr>
        <w:t>Nat. Commun.</w:t>
      </w:r>
      <w:r w:rsidRPr="004A5562">
        <w:rPr>
          <w:color w:val="000000" w:themeColor="text1"/>
        </w:rPr>
        <w:t xml:space="preserve"> 10</w:t>
      </w:r>
      <w:r w:rsidRPr="004A5562">
        <w:rPr>
          <w:b/>
          <w:color w:val="000000" w:themeColor="text1"/>
        </w:rPr>
        <w:t>,</w:t>
      </w:r>
      <w:r w:rsidRPr="004A5562">
        <w:rPr>
          <w:color w:val="000000" w:themeColor="text1"/>
        </w:rPr>
        <w:t xml:space="preserve"> 1523.</w:t>
      </w:r>
    </w:p>
    <w:p w14:paraId="44E980F8" w14:textId="37B526F9" w:rsidR="00994A3D" w:rsidRPr="004A5562" w:rsidRDefault="00D31AFF" w:rsidP="00721DEA">
      <w:pPr>
        <w:rPr>
          <w:rFonts w:eastAsia="Microsoft YaHei" w:cs="Times New Roman"/>
          <w:color w:val="000000" w:themeColor="text1"/>
          <w:szCs w:val="24"/>
        </w:rPr>
      </w:pPr>
      <w:r w:rsidRPr="004A5562">
        <w:rPr>
          <w:rFonts w:eastAsia="Microsoft YaHei" w:cs="Times New Roman"/>
          <w:color w:val="000000" w:themeColor="text1"/>
          <w:szCs w:val="24"/>
        </w:rPr>
        <w:fldChar w:fldCharType="end"/>
      </w:r>
    </w:p>
    <w:p w14:paraId="6D60626F" w14:textId="1A25AF68" w:rsidR="008F1A54" w:rsidRPr="004A5562" w:rsidRDefault="008F1A54" w:rsidP="008F1A54">
      <w:pPr>
        <w:pStyle w:val="Heading1"/>
        <w:spacing w:before="120"/>
        <w:ind w:left="0" w:firstLine="0"/>
        <w:rPr>
          <w:color w:val="000000" w:themeColor="text1"/>
        </w:rPr>
      </w:pPr>
      <w:r w:rsidRPr="004A5562">
        <w:rPr>
          <w:color w:val="000000" w:themeColor="text1"/>
        </w:rPr>
        <w:t>Supplementary Figures</w:t>
      </w:r>
    </w:p>
    <w:p w14:paraId="32C6DA89" w14:textId="22039DC8" w:rsidR="008F1A54" w:rsidRPr="004A5562" w:rsidRDefault="00602486" w:rsidP="00EF5B71">
      <w:pPr>
        <w:ind w:left="720" w:hanging="720"/>
        <w:jc w:val="center"/>
        <w:rPr>
          <w:color w:val="000000" w:themeColor="text1"/>
        </w:rPr>
      </w:pPr>
      <w:r w:rsidRPr="004A5562">
        <w:rPr>
          <w:noProof/>
          <w:color w:val="000000" w:themeColor="text1"/>
        </w:rPr>
        <w:drawing>
          <wp:inline distT="0" distB="0" distL="0" distR="0" wp14:anchorId="7FC8CADC" wp14:editId="0096A3C0">
            <wp:extent cx="3378200" cy="285991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3481" cy="2864385"/>
                    </a:xfrm>
                    <a:prstGeom prst="rect">
                      <a:avLst/>
                    </a:prstGeom>
                  </pic:spPr>
                </pic:pic>
              </a:graphicData>
            </a:graphic>
          </wp:inline>
        </w:drawing>
      </w:r>
    </w:p>
    <w:p w14:paraId="1B6EF639" w14:textId="4A329371" w:rsidR="00C30E3E" w:rsidRPr="004A5562" w:rsidRDefault="00C30E3E" w:rsidP="00127DCD">
      <w:pPr>
        <w:rPr>
          <w:color w:val="000000" w:themeColor="text1"/>
          <w:lang w:eastAsia="zh-CN"/>
        </w:rPr>
      </w:pPr>
      <w:bookmarkStart w:id="20" w:name="_Hlk95924226"/>
      <w:r w:rsidRPr="004A5562">
        <w:rPr>
          <w:rFonts w:cs="Times New Roman"/>
          <w:b/>
          <w:color w:val="000000" w:themeColor="text1"/>
          <w:szCs w:val="24"/>
        </w:rPr>
        <w:t>Supplementary Figure 1.</w:t>
      </w:r>
      <w:r w:rsidRPr="004A5562">
        <w:rPr>
          <w:color w:val="000000" w:themeColor="text1"/>
          <w:lang w:eastAsia="zh-CN"/>
        </w:rPr>
        <w:t xml:space="preserve">  </w:t>
      </w:r>
      <w:r w:rsidR="00127DCD" w:rsidRPr="004A5562">
        <w:rPr>
          <w:color w:val="000000" w:themeColor="text1"/>
          <w:lang w:eastAsia="zh-CN"/>
        </w:rPr>
        <w:t xml:space="preserve">H&amp;E staining showed </w:t>
      </w:r>
      <w:r w:rsidR="00BC211E" w:rsidRPr="004A5562">
        <w:rPr>
          <w:color w:val="000000" w:themeColor="text1"/>
          <w:lang w:eastAsia="zh-CN"/>
        </w:rPr>
        <w:t>foreign body giant cell (FBGC). White a</w:t>
      </w:r>
      <w:r w:rsidR="00BC211E" w:rsidRPr="004A5562">
        <w:rPr>
          <w:rFonts w:hint="eastAsia"/>
          <w:color w:val="000000" w:themeColor="text1"/>
          <w:lang w:eastAsia="zh-CN"/>
        </w:rPr>
        <w:t>rrows point to</w:t>
      </w:r>
      <w:r w:rsidR="00602486" w:rsidRPr="004A5562">
        <w:rPr>
          <w:color w:val="000000" w:themeColor="text1"/>
          <w:lang w:eastAsia="zh-CN"/>
        </w:rPr>
        <w:t xml:space="preserve"> a FBGC</w:t>
      </w:r>
      <w:r w:rsidR="00BC211E" w:rsidRPr="004A5562">
        <w:rPr>
          <w:rFonts w:hint="eastAsia"/>
          <w:color w:val="000000" w:themeColor="text1"/>
          <w:lang w:eastAsia="zh-CN"/>
        </w:rPr>
        <w:t>. Scale bar</w:t>
      </w:r>
      <w:r w:rsidR="00BC211E" w:rsidRPr="004A5562">
        <w:rPr>
          <w:rFonts w:hint="eastAsia"/>
          <w:color w:val="000000" w:themeColor="text1"/>
          <w:lang w:eastAsia="zh-CN"/>
        </w:rPr>
        <w:t>＝</w:t>
      </w:r>
      <w:r w:rsidR="00BC211E" w:rsidRPr="004A5562">
        <w:rPr>
          <w:rFonts w:hint="eastAsia"/>
          <w:color w:val="000000" w:themeColor="text1"/>
          <w:lang w:eastAsia="zh-CN"/>
        </w:rPr>
        <w:t>100</w:t>
      </w:r>
      <w:r w:rsidR="00F15916" w:rsidRPr="004A5562">
        <w:rPr>
          <w:rFonts w:cs="Times New Roman"/>
          <w:bCs/>
          <w:color w:val="000000" w:themeColor="text1"/>
          <w:szCs w:val="24"/>
        </w:rPr>
        <w:t>μ</w:t>
      </w:r>
      <w:r w:rsidR="00BC211E" w:rsidRPr="004A5562">
        <w:rPr>
          <w:rFonts w:hint="eastAsia"/>
          <w:color w:val="000000" w:themeColor="text1"/>
          <w:lang w:eastAsia="zh-CN"/>
        </w:rPr>
        <w:t>m.</w:t>
      </w:r>
    </w:p>
    <w:p w14:paraId="5CC4E4BE" w14:textId="3AC41236" w:rsidR="00C30E3E" w:rsidRPr="004A5562" w:rsidRDefault="00BB4170" w:rsidP="00C30E3E">
      <w:pPr>
        <w:jc w:val="center"/>
        <w:rPr>
          <w:color w:val="000000" w:themeColor="text1"/>
          <w:lang w:eastAsia="zh-CN"/>
        </w:rPr>
      </w:pPr>
      <w:bookmarkStart w:id="21" w:name="_Hlk95861370"/>
      <w:bookmarkEnd w:id="20"/>
      <w:r w:rsidRPr="004A5562">
        <w:rPr>
          <w:noProof/>
          <w:color w:val="000000" w:themeColor="text1"/>
          <w:lang w:eastAsia="zh-CN"/>
        </w:rPr>
        <w:drawing>
          <wp:inline distT="0" distB="0" distL="0" distR="0" wp14:anchorId="0EFB71A5" wp14:editId="3E24EC3A">
            <wp:extent cx="5638800" cy="8039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11" cstate="print">
                      <a:extLst>
                        <a:ext uri="{28A0092B-C50C-407E-A947-70E740481C1C}">
                          <a14:useLocalDpi xmlns:a14="http://schemas.microsoft.com/office/drawing/2010/main" val="0"/>
                        </a:ext>
                      </a:extLst>
                    </a:blip>
                    <a:srcRect r="1791" b="6665"/>
                    <a:stretch/>
                  </pic:blipFill>
                  <pic:spPr bwMode="auto">
                    <a:xfrm>
                      <a:off x="0" y="0"/>
                      <a:ext cx="5638800" cy="8039100"/>
                    </a:xfrm>
                    <a:prstGeom prst="rect">
                      <a:avLst/>
                    </a:prstGeom>
                    <a:ln>
                      <a:noFill/>
                    </a:ln>
                    <a:extLst>
                      <a:ext uri="{53640926-AAD7-44D8-BBD7-CCE9431645EC}">
                        <a14:shadowObscured xmlns:a14="http://schemas.microsoft.com/office/drawing/2010/main"/>
                      </a:ext>
                    </a:extLst>
                  </pic:spPr>
                </pic:pic>
              </a:graphicData>
            </a:graphic>
          </wp:inline>
        </w:drawing>
      </w:r>
    </w:p>
    <w:p w14:paraId="3AEB9EBE" w14:textId="0AB2580E" w:rsidR="00C30E3E" w:rsidRPr="004A5562" w:rsidRDefault="00710B90" w:rsidP="008F1A54">
      <w:pPr>
        <w:rPr>
          <w:color w:val="000000" w:themeColor="text1"/>
          <w:lang w:eastAsia="zh-CN"/>
        </w:rPr>
      </w:pPr>
      <w:bookmarkStart w:id="22" w:name="_Hlk95941429"/>
      <w:bookmarkEnd w:id="21"/>
      <w:r w:rsidRPr="004A5562">
        <w:rPr>
          <w:rFonts w:cs="Times New Roman"/>
          <w:b/>
          <w:color w:val="000000" w:themeColor="text1"/>
          <w:szCs w:val="24"/>
        </w:rPr>
        <w:t xml:space="preserve">Supplementary Figure 2. </w:t>
      </w:r>
      <w:r w:rsidRPr="004A5562">
        <w:rPr>
          <w:rFonts w:cs="Times New Roman"/>
          <w:bCs/>
          <w:color w:val="000000" w:themeColor="text1"/>
          <w:szCs w:val="24"/>
        </w:rPr>
        <w:t xml:space="preserve">(A) The immunofluorescence staining of α-SMA in control group. (B) The immunofluorescence staining of CD68 in control group. (C) The immunofluorescence staining of CD68 and CD206 in control group. Because there was no capsule present in the control skin, no α-SMA, CD68, and CD206 were detected. (D) The immunofluorescence staining of CD68 and </w:t>
      </w:r>
      <w:proofErr w:type="spellStart"/>
      <w:r w:rsidRPr="004A5562">
        <w:rPr>
          <w:rFonts w:cs="Times New Roman"/>
          <w:bCs/>
          <w:color w:val="000000" w:themeColor="text1"/>
          <w:szCs w:val="24"/>
        </w:rPr>
        <w:t>iNOS</w:t>
      </w:r>
      <w:proofErr w:type="spellEnd"/>
      <w:r w:rsidRPr="004A5562">
        <w:rPr>
          <w:rFonts w:cs="Times New Roman"/>
          <w:bCs/>
          <w:color w:val="000000" w:themeColor="text1"/>
          <w:szCs w:val="24"/>
        </w:rPr>
        <w:t xml:space="preserve"> in silicone group and control group showed a few CD68</w:t>
      </w:r>
      <w:r w:rsidRPr="004A5562">
        <w:rPr>
          <w:rFonts w:cs="Times New Roman"/>
          <w:bCs/>
          <w:color w:val="000000" w:themeColor="text1"/>
          <w:szCs w:val="24"/>
          <w:vertAlign w:val="superscript"/>
        </w:rPr>
        <w:t>+</w:t>
      </w:r>
      <w:r w:rsidRPr="004A5562">
        <w:rPr>
          <w:rFonts w:cs="Times New Roman"/>
          <w:bCs/>
          <w:color w:val="000000" w:themeColor="text1"/>
          <w:szCs w:val="24"/>
        </w:rPr>
        <w:t>/</w:t>
      </w:r>
      <w:proofErr w:type="spellStart"/>
      <w:r w:rsidRPr="004A5562">
        <w:rPr>
          <w:rFonts w:cs="Times New Roman"/>
          <w:bCs/>
          <w:color w:val="000000" w:themeColor="text1"/>
          <w:szCs w:val="24"/>
        </w:rPr>
        <w:t>iNOS</w:t>
      </w:r>
      <w:proofErr w:type="spellEnd"/>
      <w:r w:rsidRPr="004A5562">
        <w:rPr>
          <w:rFonts w:cs="Times New Roman"/>
          <w:bCs/>
          <w:color w:val="000000" w:themeColor="text1"/>
          <w:szCs w:val="24"/>
          <w:vertAlign w:val="superscript"/>
        </w:rPr>
        <w:t>+</w:t>
      </w:r>
      <w:r w:rsidRPr="004A5562">
        <w:rPr>
          <w:rFonts w:cs="Times New Roman"/>
          <w:bCs/>
          <w:color w:val="000000" w:themeColor="text1"/>
          <w:szCs w:val="24"/>
        </w:rPr>
        <w:t xml:space="preserve"> double-positive M1 macrophages. Insets show high-magnification images of the CD68</w:t>
      </w:r>
      <w:r w:rsidRPr="004A5562">
        <w:rPr>
          <w:rFonts w:cs="Times New Roman"/>
          <w:bCs/>
          <w:color w:val="000000" w:themeColor="text1"/>
          <w:szCs w:val="24"/>
          <w:vertAlign w:val="superscript"/>
        </w:rPr>
        <w:t>+</w:t>
      </w:r>
      <w:r w:rsidRPr="004A5562">
        <w:rPr>
          <w:rFonts w:cs="Times New Roman"/>
          <w:bCs/>
          <w:color w:val="000000" w:themeColor="text1"/>
          <w:szCs w:val="24"/>
        </w:rPr>
        <w:t xml:space="preserve">(green) or </w:t>
      </w:r>
      <w:proofErr w:type="spellStart"/>
      <w:r w:rsidRPr="004A5562">
        <w:rPr>
          <w:rFonts w:cs="Times New Roman"/>
          <w:bCs/>
          <w:color w:val="000000" w:themeColor="text1"/>
          <w:szCs w:val="24"/>
        </w:rPr>
        <w:t>iNOS</w:t>
      </w:r>
      <w:proofErr w:type="spellEnd"/>
      <w:r w:rsidRPr="004A5562">
        <w:rPr>
          <w:rFonts w:cs="Times New Roman"/>
          <w:bCs/>
          <w:color w:val="000000" w:themeColor="text1"/>
          <w:szCs w:val="24"/>
          <w:vertAlign w:val="superscript"/>
        </w:rPr>
        <w:t>+</w:t>
      </w:r>
      <w:r w:rsidRPr="004A5562">
        <w:rPr>
          <w:rFonts w:cs="Times New Roman"/>
          <w:bCs/>
          <w:color w:val="000000" w:themeColor="text1"/>
          <w:szCs w:val="24"/>
        </w:rPr>
        <w:t>(red) cells. White dotted line marks the underside of muscle layer. Red dotted line marks the interface between fibrous capsule and silicone implant. Scale bar</w:t>
      </w:r>
      <w:r w:rsidRPr="004A5562">
        <w:rPr>
          <w:rFonts w:cs="Times New Roman"/>
          <w:bCs/>
          <w:color w:val="000000" w:themeColor="text1"/>
          <w:szCs w:val="24"/>
        </w:rPr>
        <w:t>＝</w:t>
      </w:r>
      <w:r w:rsidRPr="004A5562">
        <w:rPr>
          <w:rFonts w:cs="Times New Roman"/>
          <w:bCs/>
          <w:color w:val="000000" w:themeColor="text1"/>
          <w:szCs w:val="24"/>
        </w:rPr>
        <w:t>100μm.</w:t>
      </w:r>
      <w:bookmarkEnd w:id="22"/>
      <w:r w:rsidR="00876C9B" w:rsidRPr="004A5562">
        <w:rPr>
          <w:noProof/>
          <w:color w:val="000000" w:themeColor="text1"/>
        </w:rPr>
        <w:drawing>
          <wp:inline distT="0" distB="0" distL="0" distR="0" wp14:anchorId="2CAE5663" wp14:editId="62A3B36C">
            <wp:extent cx="6038850" cy="1847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8850" cy="1847850"/>
                    </a:xfrm>
                    <a:prstGeom prst="rect">
                      <a:avLst/>
                    </a:prstGeom>
                    <a:noFill/>
                    <a:ln>
                      <a:noFill/>
                    </a:ln>
                  </pic:spPr>
                </pic:pic>
              </a:graphicData>
            </a:graphic>
          </wp:inline>
        </w:drawing>
      </w:r>
    </w:p>
    <w:p w14:paraId="46EE27F2" w14:textId="00257D60" w:rsidR="00C30E3E" w:rsidRPr="004A5562" w:rsidRDefault="00C30E3E" w:rsidP="00C30E3E">
      <w:pPr>
        <w:rPr>
          <w:rFonts w:cs="Times New Roman"/>
          <w:b/>
          <w:color w:val="000000" w:themeColor="text1"/>
          <w:szCs w:val="24"/>
        </w:rPr>
      </w:pPr>
      <w:r w:rsidRPr="004A5562">
        <w:rPr>
          <w:rFonts w:cs="Times New Roman"/>
          <w:b/>
          <w:color w:val="000000" w:themeColor="text1"/>
          <w:szCs w:val="24"/>
        </w:rPr>
        <w:t xml:space="preserve">Supplementary Figure </w:t>
      </w:r>
      <w:r w:rsidR="00876C9B" w:rsidRPr="004A5562">
        <w:rPr>
          <w:rFonts w:cs="Times New Roman"/>
          <w:b/>
          <w:color w:val="000000" w:themeColor="text1"/>
          <w:szCs w:val="24"/>
        </w:rPr>
        <w:t>3</w:t>
      </w:r>
      <w:r w:rsidRPr="004A5562">
        <w:rPr>
          <w:rFonts w:cs="Times New Roman"/>
          <w:b/>
          <w:color w:val="000000" w:themeColor="text1"/>
          <w:szCs w:val="24"/>
        </w:rPr>
        <w:t>.</w:t>
      </w:r>
      <w:r w:rsidR="00541F17" w:rsidRPr="004A5562">
        <w:rPr>
          <w:rFonts w:cs="Times New Roman"/>
          <w:b/>
          <w:color w:val="000000" w:themeColor="text1"/>
          <w:szCs w:val="24"/>
        </w:rPr>
        <w:t xml:space="preserve"> </w:t>
      </w:r>
      <w:r w:rsidR="00602486" w:rsidRPr="004A5562">
        <w:rPr>
          <w:rFonts w:cs="Times New Roman"/>
          <w:color w:val="000000" w:themeColor="text1"/>
          <w:szCs w:val="24"/>
        </w:rPr>
        <w:t>Immunohistochemistry</w:t>
      </w:r>
      <w:r w:rsidR="00541F17" w:rsidRPr="004A5562">
        <w:rPr>
          <w:rFonts w:cs="Times New Roman"/>
          <w:bCs/>
          <w:color w:val="000000" w:themeColor="text1"/>
          <w:szCs w:val="24"/>
        </w:rPr>
        <w:t xml:space="preserve"> staining of CTGF showed </w:t>
      </w:r>
      <w:r w:rsidR="00541F17" w:rsidRPr="004A5562">
        <w:rPr>
          <w:rFonts w:cs="Times New Roman"/>
          <w:color w:val="000000" w:themeColor="text1"/>
          <w:szCs w:val="24"/>
        </w:rPr>
        <w:t>CTGF markedly increased in fibrous capsule, and mainly localized in the cytoplasm of macrophages and fibroblasts.</w:t>
      </w:r>
      <w:r w:rsidR="00F62D20" w:rsidRPr="004A5562">
        <w:rPr>
          <w:rFonts w:cs="Times New Roman" w:hint="eastAsia"/>
          <w:bCs/>
          <w:color w:val="000000" w:themeColor="text1"/>
          <w:szCs w:val="24"/>
        </w:rPr>
        <w:t xml:space="preserve"> Scale bar</w:t>
      </w:r>
      <w:r w:rsidR="00F62D20" w:rsidRPr="004A5562">
        <w:rPr>
          <w:rFonts w:cs="Times New Roman" w:hint="eastAsia"/>
          <w:bCs/>
          <w:color w:val="000000" w:themeColor="text1"/>
          <w:szCs w:val="24"/>
        </w:rPr>
        <w:t>＝</w:t>
      </w:r>
      <w:r w:rsidR="00F62D20" w:rsidRPr="004A5562">
        <w:rPr>
          <w:rFonts w:cs="Times New Roman" w:hint="eastAsia"/>
          <w:bCs/>
          <w:color w:val="000000" w:themeColor="text1"/>
          <w:szCs w:val="24"/>
        </w:rPr>
        <w:t>100</w:t>
      </w:r>
      <w:r w:rsidR="00934A79" w:rsidRPr="004A5562">
        <w:rPr>
          <w:rFonts w:cs="Times New Roman"/>
          <w:bCs/>
          <w:color w:val="000000" w:themeColor="text1"/>
          <w:szCs w:val="24"/>
        </w:rPr>
        <w:t>μ</w:t>
      </w:r>
      <w:r w:rsidR="00F62D20" w:rsidRPr="004A5562">
        <w:rPr>
          <w:rFonts w:cs="Times New Roman" w:hint="eastAsia"/>
          <w:bCs/>
          <w:color w:val="000000" w:themeColor="text1"/>
          <w:szCs w:val="24"/>
        </w:rPr>
        <w:t>m.</w:t>
      </w:r>
    </w:p>
    <w:p w14:paraId="10C33B17" w14:textId="77777777" w:rsidR="00C30E3E" w:rsidRPr="004A5562" w:rsidRDefault="00C30E3E" w:rsidP="00C30E3E">
      <w:pPr>
        <w:jc w:val="center"/>
        <w:rPr>
          <w:color w:val="000000" w:themeColor="text1"/>
          <w:lang w:eastAsia="zh-CN"/>
        </w:rPr>
      </w:pPr>
    </w:p>
    <w:sectPr w:rsidR="00C30E3E" w:rsidRPr="004A5562"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1DA87" w14:textId="77777777" w:rsidR="00437FFE" w:rsidRDefault="00437FFE" w:rsidP="00117666">
      <w:pPr>
        <w:spacing w:after="0"/>
      </w:pPr>
      <w:r>
        <w:separator/>
      </w:r>
    </w:p>
  </w:endnote>
  <w:endnote w:type="continuationSeparator" w:id="0">
    <w:p w14:paraId="2BFFD426" w14:textId="77777777" w:rsidR="00437FFE" w:rsidRDefault="00437FF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9CA99" w14:textId="77777777" w:rsidR="00437FFE" w:rsidRDefault="00437FFE" w:rsidP="00117666">
      <w:pPr>
        <w:spacing w:after="0"/>
      </w:pPr>
      <w:r>
        <w:separator/>
      </w:r>
    </w:p>
  </w:footnote>
  <w:footnote w:type="continuationSeparator" w:id="0">
    <w:p w14:paraId="782BC4AF" w14:textId="77777777" w:rsidR="00437FFE" w:rsidRDefault="00437FF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2"/>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Frontiers Science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tzverd2wz0atep5p55zpvtsdsvedzwze9e&quot;&gt;LW EndNote Library&lt;record-ids&gt;&lt;item&gt;237&lt;/item&gt;&lt;item&gt;448&lt;/item&gt;&lt;/record-ids&gt;&lt;/item&gt;&lt;/Libraries&gt;"/>
  </w:docVars>
  <w:rsids>
    <w:rsidRoot w:val="00ED20B5"/>
    <w:rsid w:val="0001436A"/>
    <w:rsid w:val="00034304"/>
    <w:rsid w:val="00035434"/>
    <w:rsid w:val="000366F5"/>
    <w:rsid w:val="00052A14"/>
    <w:rsid w:val="00076B3E"/>
    <w:rsid w:val="00077D53"/>
    <w:rsid w:val="00105FD9"/>
    <w:rsid w:val="00117666"/>
    <w:rsid w:val="00126E30"/>
    <w:rsid w:val="00127DCD"/>
    <w:rsid w:val="001549D3"/>
    <w:rsid w:val="00160065"/>
    <w:rsid w:val="00177D84"/>
    <w:rsid w:val="001E58BA"/>
    <w:rsid w:val="00241F84"/>
    <w:rsid w:val="00267D18"/>
    <w:rsid w:val="00274347"/>
    <w:rsid w:val="002868E2"/>
    <w:rsid w:val="002869C3"/>
    <w:rsid w:val="002936E4"/>
    <w:rsid w:val="002B4A57"/>
    <w:rsid w:val="002C74CA"/>
    <w:rsid w:val="002D074E"/>
    <w:rsid w:val="002D1005"/>
    <w:rsid w:val="003123F4"/>
    <w:rsid w:val="003544FB"/>
    <w:rsid w:val="00377DCB"/>
    <w:rsid w:val="003D2F2D"/>
    <w:rsid w:val="003D5C7A"/>
    <w:rsid w:val="00401590"/>
    <w:rsid w:val="00437FFE"/>
    <w:rsid w:val="00447801"/>
    <w:rsid w:val="00452E9C"/>
    <w:rsid w:val="004735C8"/>
    <w:rsid w:val="004947A6"/>
    <w:rsid w:val="004961FF"/>
    <w:rsid w:val="004A5562"/>
    <w:rsid w:val="00500373"/>
    <w:rsid w:val="00502BE1"/>
    <w:rsid w:val="00517A89"/>
    <w:rsid w:val="005250F2"/>
    <w:rsid w:val="005258BE"/>
    <w:rsid w:val="00541F17"/>
    <w:rsid w:val="00593EEA"/>
    <w:rsid w:val="005A5EEE"/>
    <w:rsid w:val="00602486"/>
    <w:rsid w:val="006375C7"/>
    <w:rsid w:val="00654E8F"/>
    <w:rsid w:val="00660D05"/>
    <w:rsid w:val="006820B1"/>
    <w:rsid w:val="006B7D14"/>
    <w:rsid w:val="00701727"/>
    <w:rsid w:val="0070566C"/>
    <w:rsid w:val="00710B90"/>
    <w:rsid w:val="00714C50"/>
    <w:rsid w:val="00721DEA"/>
    <w:rsid w:val="00725A7D"/>
    <w:rsid w:val="007501BE"/>
    <w:rsid w:val="00790BB3"/>
    <w:rsid w:val="007C206C"/>
    <w:rsid w:val="007D3B56"/>
    <w:rsid w:val="007F0218"/>
    <w:rsid w:val="007F5BDF"/>
    <w:rsid w:val="00817DD6"/>
    <w:rsid w:val="0083759F"/>
    <w:rsid w:val="00876C9B"/>
    <w:rsid w:val="00885156"/>
    <w:rsid w:val="008F1A54"/>
    <w:rsid w:val="009151AA"/>
    <w:rsid w:val="0092570A"/>
    <w:rsid w:val="0093429D"/>
    <w:rsid w:val="00934A79"/>
    <w:rsid w:val="00943573"/>
    <w:rsid w:val="009627F8"/>
    <w:rsid w:val="00964134"/>
    <w:rsid w:val="00967932"/>
    <w:rsid w:val="00970F7D"/>
    <w:rsid w:val="009747CB"/>
    <w:rsid w:val="00994A3D"/>
    <w:rsid w:val="009B6DBA"/>
    <w:rsid w:val="009C2B12"/>
    <w:rsid w:val="00A0168C"/>
    <w:rsid w:val="00A174D9"/>
    <w:rsid w:val="00A774D3"/>
    <w:rsid w:val="00AA4D24"/>
    <w:rsid w:val="00AB6715"/>
    <w:rsid w:val="00AD3845"/>
    <w:rsid w:val="00B02B63"/>
    <w:rsid w:val="00B1671E"/>
    <w:rsid w:val="00B25EB8"/>
    <w:rsid w:val="00B37F4D"/>
    <w:rsid w:val="00B64B85"/>
    <w:rsid w:val="00BB4170"/>
    <w:rsid w:val="00BC211E"/>
    <w:rsid w:val="00BC2652"/>
    <w:rsid w:val="00BF4177"/>
    <w:rsid w:val="00C30E3E"/>
    <w:rsid w:val="00C52A7B"/>
    <w:rsid w:val="00C56BAF"/>
    <w:rsid w:val="00C66237"/>
    <w:rsid w:val="00C679AA"/>
    <w:rsid w:val="00C75972"/>
    <w:rsid w:val="00CD066B"/>
    <w:rsid w:val="00CE4FEE"/>
    <w:rsid w:val="00D060CF"/>
    <w:rsid w:val="00D16E50"/>
    <w:rsid w:val="00D31AFF"/>
    <w:rsid w:val="00D36337"/>
    <w:rsid w:val="00D46BF2"/>
    <w:rsid w:val="00DB59C3"/>
    <w:rsid w:val="00DC259A"/>
    <w:rsid w:val="00DD59A7"/>
    <w:rsid w:val="00DD77A1"/>
    <w:rsid w:val="00DE23E8"/>
    <w:rsid w:val="00E52377"/>
    <w:rsid w:val="00E537AD"/>
    <w:rsid w:val="00E64E17"/>
    <w:rsid w:val="00E866C9"/>
    <w:rsid w:val="00EA3D3C"/>
    <w:rsid w:val="00EC090A"/>
    <w:rsid w:val="00ED20B5"/>
    <w:rsid w:val="00EF5B71"/>
    <w:rsid w:val="00F15916"/>
    <w:rsid w:val="00F34CDB"/>
    <w:rsid w:val="00F46900"/>
    <w:rsid w:val="00F47A38"/>
    <w:rsid w:val="00F612D2"/>
    <w:rsid w:val="00F61D89"/>
    <w:rsid w:val="00F62D20"/>
    <w:rsid w:val="00F84CC7"/>
    <w:rsid w:val="00FC2927"/>
    <w:rsid w:val="00FE6F70"/>
    <w:rsid w:val="00FF1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E3E"/>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
    <w:name w:val="EndNote Bibliography"/>
    <w:basedOn w:val="Normal"/>
    <w:link w:val="EndNoteBibliography0"/>
    <w:rsid w:val="00D31AFF"/>
    <w:pPr>
      <w:widowControl w:val="0"/>
      <w:spacing w:before="0" w:after="0"/>
      <w:jc w:val="both"/>
    </w:pPr>
    <w:rPr>
      <w:rFonts w:ascii="Calibri" w:hAnsi="Calibri" w:cs="Calibri"/>
      <w:noProof/>
      <w:kern w:val="2"/>
      <w:sz w:val="20"/>
      <w:lang w:eastAsia="zh-CN"/>
    </w:rPr>
  </w:style>
  <w:style w:type="character" w:customStyle="1" w:styleId="EndNoteBibliography0">
    <w:name w:val="EndNote Bibliography 字符"/>
    <w:basedOn w:val="DefaultParagraphFont"/>
    <w:link w:val="EndNoteBibliography"/>
    <w:rsid w:val="00D31AFF"/>
    <w:rPr>
      <w:rFonts w:ascii="Calibri" w:hAnsi="Calibri" w:cs="Calibri"/>
      <w:noProof/>
      <w:kern w:val="2"/>
      <w:sz w:val="20"/>
      <w:lang w:eastAsia="zh-CN"/>
    </w:rPr>
  </w:style>
  <w:style w:type="paragraph" w:customStyle="1" w:styleId="EndNoteBibliographyTitle">
    <w:name w:val="EndNote Bibliography Title"/>
    <w:basedOn w:val="Normal"/>
    <w:link w:val="EndNoteBibliographyTitle0"/>
    <w:rsid w:val="000366F5"/>
    <w:pPr>
      <w:spacing w:after="0"/>
      <w:jc w:val="center"/>
    </w:pPr>
    <w:rPr>
      <w:rFonts w:ascii="Calibri" w:hAnsi="Calibri" w:cs="Calibri"/>
      <w:noProof/>
      <w:sz w:val="20"/>
    </w:rPr>
  </w:style>
  <w:style w:type="character" w:customStyle="1" w:styleId="EndNoteBibliographyTitle0">
    <w:name w:val="EndNote Bibliography Title 字符"/>
    <w:basedOn w:val="DefaultParagraphFont"/>
    <w:link w:val="EndNoteBibliographyTitle"/>
    <w:rsid w:val="000366F5"/>
    <w:rPr>
      <w:rFonts w:ascii="Calibri" w:hAnsi="Calibri" w:cs="Calibri"/>
      <w:noProof/>
      <w:sz w:val="20"/>
    </w:rPr>
  </w:style>
  <w:style w:type="paragraph" w:styleId="Revision">
    <w:name w:val="Revision"/>
    <w:hidden/>
    <w:uiPriority w:val="99"/>
    <w:semiHidden/>
    <w:rsid w:val="007F0218"/>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sembl.org/index.htm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cytoscape.org/"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1</Pages>
  <Words>2240</Words>
  <Characters>12768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Bindhu Krishnan</cp:lastModifiedBy>
  <cp:revision>2</cp:revision>
  <cp:lastPrinted>2013-10-03T12:51:00Z</cp:lastPrinted>
  <dcterms:created xsi:type="dcterms:W3CDTF">2022-02-21T21:23:00Z</dcterms:created>
  <dcterms:modified xsi:type="dcterms:W3CDTF">2022-02-21T21:23:00Z</dcterms:modified>
</cp:coreProperties>
</file>