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5C5" w14:textId="77777777" w:rsidR="002F4CEC" w:rsidRDefault="00175878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Supplementary material</w:t>
      </w:r>
    </w:p>
    <w:p w14:paraId="097DF758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bCs/>
          <w:sz w:val="24"/>
          <w:szCs w:val="24"/>
        </w:rPr>
        <w:t>S1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Association between visit-to-visit heart rate variability</w:t>
      </w:r>
      <w:r>
        <w:rPr>
          <w:rFonts w:ascii="Times New Roman" w:hAnsi="Times New Roman" w:hint="eastAsia"/>
          <w:sz w:val="24"/>
          <w:szCs w:val="24"/>
        </w:rPr>
        <w:t>(measured by HRSD)</w:t>
      </w:r>
      <w:r>
        <w:rPr>
          <w:rFonts w:ascii="Times New Roman" w:hAnsi="Times New Roman"/>
          <w:sz w:val="24"/>
          <w:szCs w:val="24"/>
        </w:rPr>
        <w:t xml:space="preserve"> and composite cardiovascular outcomes in different models</w:t>
      </w:r>
    </w:p>
    <w:tbl>
      <w:tblPr>
        <w:tblW w:w="10359" w:type="dxa"/>
        <w:jc w:val="center"/>
        <w:tblLook w:val="04A0" w:firstRow="1" w:lastRow="0" w:firstColumn="1" w:lastColumn="0" w:noHBand="0" w:noVBand="1"/>
      </w:tblPr>
      <w:tblGrid>
        <w:gridCol w:w="1937"/>
        <w:gridCol w:w="2807"/>
        <w:gridCol w:w="2807"/>
        <w:gridCol w:w="2808"/>
      </w:tblGrid>
      <w:tr w:rsidR="002F4CEC" w14:paraId="1C9A9519" w14:textId="77777777">
        <w:trPr>
          <w:trHeight w:val="367"/>
          <w:jc w:val="center"/>
        </w:trPr>
        <w:tc>
          <w:tcPr>
            <w:tcW w:w="19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4086971A" w14:textId="77777777" w:rsidR="002F4CEC" w:rsidRDefault="00175878">
            <w:pPr>
              <w:widowControl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>VVHRV</w:t>
            </w:r>
          </w:p>
        </w:tc>
        <w:tc>
          <w:tcPr>
            <w:tcW w:w="8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65F99C4" w14:textId="77777777" w:rsidR="002F4CEC" w:rsidRDefault="00175878">
            <w:pPr>
              <w:widowControl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Hazard ratio (95% CI)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2F4CEC" w14:paraId="5D26922F" w14:textId="77777777">
        <w:trPr>
          <w:trHeight w:val="36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56AFF4" w14:textId="77777777" w:rsidR="002F4CEC" w:rsidRDefault="002F4CEC">
            <w:pPr>
              <w:widowControl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25A9159C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>Model 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2AEBFC9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>Model 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500721C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24"/>
                <w:szCs w:val="24"/>
              </w:rPr>
              <w:t>Model 3</w:t>
            </w:r>
          </w:p>
        </w:tc>
      </w:tr>
      <w:tr w:rsidR="002F4CEC" w14:paraId="27DDAEAE" w14:textId="77777777">
        <w:trPr>
          <w:trHeight w:val="33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2F223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SD in heart rate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FF31E" w14:textId="77777777" w:rsidR="002F4CEC" w:rsidRDefault="002F4CEC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EADE5" w14:textId="77777777" w:rsidR="002F4CEC" w:rsidRDefault="002F4C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22EE3" w14:textId="77777777" w:rsidR="002F4CEC" w:rsidRDefault="002F4CE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F4CEC" w14:paraId="09353370" w14:textId="77777777">
        <w:trPr>
          <w:trHeight w:val="33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3188E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 xml:space="preserve">  T1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20D81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CC28A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FF635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</w:tr>
      <w:tr w:rsidR="002F4CEC" w14:paraId="01D188AF" w14:textId="77777777">
        <w:trPr>
          <w:trHeight w:val="330"/>
          <w:jc w:val="center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2FD9E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 xml:space="preserve">  T2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87D7F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1.04 (0.83, 1.30) P=0.72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36EF1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1.13 (0.90, 1.41) P=0.30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3EC6B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 xml:space="preserve">1.11 (0.88, 1.40) P=0.37 </w:t>
            </w:r>
          </w:p>
        </w:tc>
      </w:tr>
      <w:tr w:rsidR="002F4CEC" w14:paraId="2BADB170" w14:textId="77777777">
        <w:trPr>
          <w:trHeight w:val="682"/>
          <w:jc w:val="center"/>
        </w:trPr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E7563CF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 xml:space="preserve">  T3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882EBEB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1.57 (1.28, 1.92) P&lt;0.001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31A1808C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>1.68 (1.37, 2.06) P&lt;0.001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BCD3D19" w14:textId="77777777" w:rsidR="002F4CEC" w:rsidRDefault="00175878">
            <w:pPr>
              <w:widowControl/>
              <w:jc w:val="left"/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24"/>
                <w:szCs w:val="24"/>
              </w:rPr>
              <w:t xml:space="preserve">1.67 (1.34, 2.07) P&lt;0.001 </w:t>
            </w:r>
          </w:p>
        </w:tc>
      </w:tr>
    </w:tbl>
    <w:p w14:paraId="417CE8DC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 1 adjusted for none.</w:t>
      </w:r>
    </w:p>
    <w:p w14:paraId="6FFE0B39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odel 2 adjusted for age, sex, race </w:t>
      </w:r>
      <w:r>
        <w:rPr>
          <w:rFonts w:ascii="Times New Roman" w:hAnsi="Times New Roman"/>
          <w:sz w:val="24"/>
          <w:szCs w:val="24"/>
        </w:rPr>
        <w:t>and treatment arms.</w:t>
      </w:r>
    </w:p>
    <w:p w14:paraId="0001789B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3 adjusted for age, sex, race, treatment arms, baseline systolic BP, baseline heart rate, smoking status, eGFR, serum creatinine, urine albumin/creatinine ratio, fasting triglycerides, Framingham 10-y CVD risk score, prior CVD and</w:t>
      </w:r>
      <w:r>
        <w:rPr>
          <w:rFonts w:ascii="Times New Roman" w:hAnsi="Times New Roman"/>
          <w:sz w:val="24"/>
          <w:szCs w:val="24"/>
        </w:rPr>
        <w:t xml:space="preserve"> prior CKD.</w:t>
      </w:r>
    </w:p>
    <w:p w14:paraId="537C7F31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6A284D12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hint="eastAsia"/>
          <w:b/>
          <w:bCs/>
          <w:sz w:val="24"/>
          <w:szCs w:val="24"/>
        </w:rPr>
        <w:t>S2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Continuous Association between visit-to-visit heart rate variability</w:t>
      </w:r>
      <w:r>
        <w:rPr>
          <w:rFonts w:ascii="Times New Roman" w:hAnsi="Times New Roman" w:hint="eastAsia"/>
          <w:sz w:val="24"/>
          <w:szCs w:val="24"/>
        </w:rPr>
        <w:t>(measured by HRSD)</w:t>
      </w:r>
      <w:r>
        <w:rPr>
          <w:rFonts w:ascii="Times New Roman" w:hAnsi="Times New Roman"/>
          <w:sz w:val="24"/>
          <w:szCs w:val="24"/>
        </w:rPr>
        <w:t xml:space="preserve"> and composite cardiovascular outcomes in different models</w:t>
      </w:r>
    </w:p>
    <w:tbl>
      <w:tblPr>
        <w:tblW w:w="112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2765"/>
        <w:gridCol w:w="2732"/>
        <w:gridCol w:w="2734"/>
      </w:tblGrid>
      <w:tr w:rsidR="002F4CEC" w14:paraId="4209E419" w14:textId="77777777">
        <w:trPr>
          <w:trHeight w:val="373"/>
          <w:jc w:val="center"/>
        </w:trPr>
        <w:tc>
          <w:tcPr>
            <w:tcW w:w="302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721A42D" w14:textId="77777777" w:rsidR="002F4CEC" w:rsidRDefault="00175878">
            <w:pPr>
              <w:widowControl/>
              <w:jc w:val="center"/>
              <w:textAlignment w:val="center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VVHRV</w:t>
            </w:r>
          </w:p>
        </w:tc>
        <w:tc>
          <w:tcPr>
            <w:tcW w:w="823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0A416C2" w14:textId="77777777" w:rsidR="002F4CEC" w:rsidRDefault="00175878">
            <w:pPr>
              <w:widowControl/>
              <w:jc w:val="center"/>
              <w:textAlignment w:val="center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Hazard ratio (95%CI) P-Value</w:t>
            </w:r>
          </w:p>
        </w:tc>
      </w:tr>
      <w:tr w:rsidR="002F4CEC" w14:paraId="2383ACC3" w14:textId="77777777">
        <w:trPr>
          <w:trHeight w:val="37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08061D6" w14:textId="77777777" w:rsidR="002F4CEC" w:rsidRDefault="002F4CEC">
            <w:pPr>
              <w:widowControl/>
              <w:jc w:val="left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835FE8C" w14:textId="77777777" w:rsidR="002F4CEC" w:rsidRDefault="00175878">
            <w:pPr>
              <w:widowControl/>
              <w:jc w:val="left"/>
              <w:textAlignment w:val="center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Model 1</w:t>
            </w:r>
          </w:p>
        </w:tc>
        <w:tc>
          <w:tcPr>
            <w:tcW w:w="27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A73165A" w14:textId="77777777" w:rsidR="002F4CEC" w:rsidRDefault="00175878">
            <w:pPr>
              <w:widowControl/>
              <w:jc w:val="left"/>
              <w:textAlignment w:val="center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Model 2</w:t>
            </w:r>
          </w:p>
        </w:tc>
        <w:tc>
          <w:tcPr>
            <w:tcW w:w="27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C2D5E33" w14:textId="77777777" w:rsidR="002F4CEC" w:rsidRDefault="00175878">
            <w:pPr>
              <w:widowControl/>
              <w:jc w:val="left"/>
              <w:textAlignment w:val="center"/>
              <w:rPr>
                <w:rFonts w:ascii="Times New Roman Bold" w:eastAsia="SimSun" w:hAnsi="Times New Roman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Model 3</w:t>
            </w:r>
          </w:p>
        </w:tc>
      </w:tr>
      <w:tr w:rsidR="002F4CEC" w14:paraId="343244EB" w14:textId="77777777">
        <w:trPr>
          <w:trHeight w:val="656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6D6A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 xml:space="preserve">HRSD (per 1 SD </w:t>
            </w:r>
            <w:r>
              <w:rPr>
                <w:rFonts w:ascii="Times New Roman Bold" w:eastAsia="SimSun" w:hAnsi="Times New Roman Bold"/>
                <w:b/>
                <w:bCs/>
                <w:color w:val="000000"/>
                <w:kern w:val="0"/>
                <w:sz w:val="24"/>
                <w:szCs w:val="24"/>
              </w:rPr>
              <w:t>increment)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344E" w14:textId="77777777" w:rsidR="002F4CEC" w:rsidRDefault="002F4CEC">
            <w:pPr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620A" w14:textId="77777777" w:rsidR="002F4CEC" w:rsidRDefault="002F4CEC">
            <w:pPr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DAF9" w14:textId="77777777" w:rsidR="002F4CEC" w:rsidRDefault="002F4CEC">
            <w:pPr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</w:p>
        </w:tc>
      </w:tr>
      <w:tr w:rsidR="002F4CEC" w14:paraId="76C9AC8D" w14:textId="77777777">
        <w:trPr>
          <w:trHeight w:val="656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C9A2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12A8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1.08 (1.05, 1.10) P&lt;0.001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A9D2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1.08 (1.06, 1.10) P&lt;0.001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C19E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1.08 (1.06, 1.10) P&lt;0.001</w:t>
            </w:r>
          </w:p>
        </w:tc>
      </w:tr>
      <w:tr w:rsidR="002F4CEC" w14:paraId="70BF204B" w14:textId="77777777">
        <w:trPr>
          <w:trHeight w:val="656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9B7A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Standard BP control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73B6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1.05 (1.02, 1.09) P&lt;0.001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BF2B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1.06 (1.02, 1.09) P&lt;0.001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BB58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1.06 (1.03, 1.09) P&lt;0.001</w:t>
            </w:r>
          </w:p>
        </w:tc>
      </w:tr>
      <w:tr w:rsidR="002F4CEC" w14:paraId="24A8C66E" w14:textId="77777777">
        <w:trPr>
          <w:trHeight w:val="686"/>
          <w:jc w:val="center"/>
        </w:trPr>
        <w:tc>
          <w:tcPr>
            <w:tcW w:w="302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46CAB7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Intensive BP control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9DBB6DC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1.11 (1.07, 1.14) P&lt;0.001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D02CA72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 xml:space="preserve">1.11 </w:t>
            </w: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(1.08, 1.14) P&lt;0.001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F1D5DEA" w14:textId="77777777" w:rsidR="002F4CEC" w:rsidRDefault="00175878">
            <w:pPr>
              <w:widowControl/>
              <w:jc w:val="left"/>
              <w:textAlignment w:val="center"/>
              <w:rPr>
                <w:rFonts w:ascii="Times New Roman Regular" w:eastAsia="SimSun" w:hAnsi="Times New Roman Regular"/>
                <w:color w:val="000000"/>
                <w:sz w:val="24"/>
                <w:szCs w:val="24"/>
              </w:rPr>
            </w:pPr>
            <w:r>
              <w:rPr>
                <w:rFonts w:ascii="Times New Roman Regular" w:eastAsia="SimSun" w:hAnsi="Times New Roman Regular"/>
                <w:color w:val="000000"/>
                <w:kern w:val="0"/>
                <w:sz w:val="24"/>
                <w:szCs w:val="24"/>
              </w:rPr>
              <w:t>1.11 (1.07, 1.14) P&lt;0.001</w:t>
            </w:r>
          </w:p>
        </w:tc>
      </w:tr>
    </w:tbl>
    <w:p w14:paraId="79D13D81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 1 adjusted for none.</w:t>
      </w:r>
    </w:p>
    <w:p w14:paraId="6B316C01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 2 adjusted for age, sex, race.</w:t>
      </w:r>
    </w:p>
    <w:p w14:paraId="6209632A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3 adjusted for age, sex, race, baseline systolic BP, baseline heart rate, smoking status, eGFR, serum creatinine, urine </w:t>
      </w:r>
      <w:r>
        <w:rPr>
          <w:rFonts w:ascii="Times New Roman" w:hAnsi="Times New Roman"/>
          <w:sz w:val="24"/>
          <w:szCs w:val="24"/>
        </w:rPr>
        <w:t xml:space="preserve">albumin/creatinine ratio, fasting triglycerides, </w:t>
      </w:r>
      <w:r>
        <w:rPr>
          <w:rFonts w:ascii="Times New Roman" w:hAnsi="Times New Roman"/>
          <w:sz w:val="24"/>
          <w:szCs w:val="24"/>
        </w:rPr>
        <w:lastRenderedPageBreak/>
        <w:t>Framingham 10-y CVD risk score, prior CVD and prior CKD.</w:t>
      </w:r>
    </w:p>
    <w:p w14:paraId="1D2E2564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0E5D2CB9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27895BF2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5B99293B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1DCF9FDE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4134BC8C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1F3229D8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627BF4EB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486FD714" w14:textId="77777777" w:rsidR="002F4CEC" w:rsidRDefault="002F4CEC">
      <w:pPr>
        <w:rPr>
          <w:rFonts w:ascii="Times New Roman" w:hAnsi="Times New Roman"/>
          <w:sz w:val="24"/>
          <w:szCs w:val="24"/>
        </w:rPr>
      </w:pPr>
    </w:p>
    <w:p w14:paraId="059AEFD6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Figure S1.</w:t>
      </w:r>
      <w:r>
        <w:rPr>
          <w:rFonts w:ascii="Times New Roman" w:hAnsi="Times New Roman" w:hint="eastAsia"/>
          <w:sz w:val="24"/>
          <w:szCs w:val="24"/>
        </w:rPr>
        <w:t xml:space="preserve"> Smooth spline curves of visit-to-visit heart rate variability</w:t>
      </w:r>
      <w:r>
        <w:rPr>
          <w:rFonts w:ascii="Times New Roman" w:hAnsi="Times New Roman" w:hint="eastAsia"/>
          <w:sz w:val="24"/>
          <w:szCs w:val="24"/>
        </w:rPr>
        <w:t>(measured by HRSD)</w:t>
      </w:r>
      <w:r>
        <w:rPr>
          <w:rFonts w:ascii="Times New Roman" w:hAnsi="Times New Roman" w:hint="eastAsia"/>
          <w:sz w:val="24"/>
          <w:szCs w:val="24"/>
        </w:rPr>
        <w:t xml:space="preserve"> for the estimation of risk of composite cardiovascular outcomes.</w:t>
      </w:r>
    </w:p>
    <w:p w14:paraId="23EFA8DB" w14:textId="77777777" w:rsidR="002F4CEC" w:rsidRDefault="00175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 wp14:anchorId="27502E3D" wp14:editId="4A0A9E7F">
            <wp:extent cx="4329430" cy="4329430"/>
            <wp:effectExtent l="0" t="0" r="13970" b="13970"/>
            <wp:docPr id="1" name="图片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914E" w14:textId="77777777" w:rsidR="002F4CEC" w:rsidRDefault="00175878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The red dot is Log HR, and the blue dot is 95%CI.</w:t>
      </w:r>
    </w:p>
    <w:p w14:paraId="3B2C3C92" w14:textId="77777777" w:rsidR="002F4CEC" w:rsidRDefault="00175878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All covariables in Model 3 were adjusted.</w:t>
      </w:r>
    </w:p>
    <w:p w14:paraId="51A525D6" w14:textId="77777777" w:rsidR="002F4CEC" w:rsidRDefault="002F4CEC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47A957DD" w14:textId="77777777" w:rsidR="002F4CEC" w:rsidRDefault="002F4CEC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469C90F4" w14:textId="77777777" w:rsidR="002F4CEC" w:rsidRDefault="00175878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hint="eastAsia"/>
          <w:b/>
          <w:bCs/>
          <w:color w:val="000000"/>
          <w:kern w:val="0"/>
          <w:sz w:val="24"/>
          <w:szCs w:val="24"/>
        </w:rPr>
        <w:t>Figure S2</w:t>
      </w: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 xml:space="preserve">. Smooth spline curves of visit-to-visit heart rate </w:t>
      </w: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variability</w:t>
      </w:r>
      <w:r>
        <w:rPr>
          <w:rFonts w:ascii="Times New Roman" w:hAnsi="Times New Roman" w:hint="eastAsia"/>
          <w:sz w:val="24"/>
          <w:szCs w:val="24"/>
        </w:rPr>
        <w:t>(measured by HRSD)</w:t>
      </w: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 xml:space="preserve"> for the estimation of risk of composite cardiovascular outcomes stratified by treatment arms. </w:t>
      </w:r>
      <w:r>
        <w:rPr>
          <w:rFonts w:ascii="Times New Roman" w:eastAsia="SimSun" w:hAnsi="Times New Roman" w:hint="eastAsia"/>
          <w:noProof/>
          <w:color w:val="000000"/>
          <w:kern w:val="0"/>
          <w:sz w:val="24"/>
          <w:szCs w:val="24"/>
        </w:rPr>
        <w:drawing>
          <wp:inline distT="0" distB="0" distL="114300" distR="114300" wp14:anchorId="146F3ACB" wp14:editId="0A2F2A42">
            <wp:extent cx="4013835" cy="3519170"/>
            <wp:effectExtent l="0" t="0" r="9525" b="1270"/>
            <wp:docPr id="2" name="图片 2" descr="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A80B" w14:textId="77777777" w:rsidR="002F4CEC" w:rsidRDefault="00175878">
      <w:pPr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The red solid line(INTENSIVE 0) is standard, and the blue dotted(INTENSIVE 1) line is intensive BP control. All covariables in Mod</w:t>
      </w:r>
      <w:r>
        <w:rPr>
          <w:rFonts w:ascii="Times New Roman" w:eastAsia="SimSun" w:hAnsi="Times New Roman" w:hint="eastAsia"/>
          <w:color w:val="000000"/>
          <w:kern w:val="0"/>
          <w:sz w:val="24"/>
          <w:szCs w:val="24"/>
        </w:rPr>
        <w:t>el 3 except treatment arms were adjusted.</w:t>
      </w:r>
    </w:p>
    <w:p w14:paraId="4648B22B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6DE80558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7921E61E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2486157F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46F361B5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01F83BEB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2B1F4DB6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6AF50074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541F61F8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52FE3C70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7E616A41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3B925A93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78A98693" w14:textId="77777777" w:rsidR="002F4CEC" w:rsidRDefault="002F4CEC">
      <w:pPr>
        <w:jc w:val="center"/>
        <w:rPr>
          <w:rFonts w:ascii="Times New Roman" w:eastAsia="SimSun" w:hAnsi="Times New Roman"/>
          <w:color w:val="000000"/>
          <w:kern w:val="0"/>
          <w:sz w:val="24"/>
          <w:szCs w:val="24"/>
        </w:rPr>
      </w:pPr>
    </w:p>
    <w:p w14:paraId="1A9CB90E" w14:textId="77777777" w:rsidR="002F4CEC" w:rsidRDefault="00175878">
      <w:pPr>
        <w:spacing w:beforeLines="50" w:before="156"/>
        <w:jc w:val="left"/>
        <w:rPr>
          <w:rFonts w:ascii="Times New Roman" w:eastAsia="SimSu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 w:hint="eastAsia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Subgroup analyses of the association between CV of HR and composite cardiovascular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outcomes. </w:t>
      </w:r>
      <w:r>
        <w:rPr>
          <w:rFonts w:ascii="Times New Roman" w:eastAsia="SimSun" w:hAnsi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E74D568" wp14:editId="732BCFCB">
            <wp:extent cx="5274310" cy="5274310"/>
            <wp:effectExtent l="0" t="0" r="2540" b="2540"/>
            <wp:docPr id="7" name="图片 7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071C" w14:textId="77777777" w:rsidR="002F4CEC" w:rsidRDefault="00175878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Each subgroup analysis was adjusted for all factors in Model 3, except for the </w:t>
      </w:r>
      <w:r>
        <w:rPr>
          <w:rFonts w:ascii="Times New Roman" w:hAnsi="Times New Roman"/>
          <w:szCs w:val="21"/>
        </w:rPr>
        <w:t>stratification factor itself.</w:t>
      </w:r>
    </w:p>
    <w:p w14:paraId="4341796A" w14:textId="77777777" w:rsidR="002F4CEC" w:rsidRDefault="002F4CEC">
      <w:pPr>
        <w:rPr>
          <w:rFonts w:ascii="Times New Roman" w:hAnsi="Times New Roman"/>
          <w:szCs w:val="21"/>
        </w:rPr>
      </w:pPr>
    </w:p>
    <w:p w14:paraId="41DBB2D8" w14:textId="77777777" w:rsidR="002F4CEC" w:rsidRDefault="002F4CEC">
      <w:pPr>
        <w:rPr>
          <w:rFonts w:ascii="Times New Roman" w:hAnsi="Times New Roman"/>
          <w:szCs w:val="21"/>
        </w:rPr>
      </w:pPr>
    </w:p>
    <w:p w14:paraId="2468F26B" w14:textId="77777777" w:rsidR="002F4CEC" w:rsidRDefault="002F4CEC">
      <w:pPr>
        <w:rPr>
          <w:rFonts w:ascii="Times New Roman" w:hAnsi="Times New Roman"/>
          <w:szCs w:val="21"/>
        </w:rPr>
      </w:pPr>
    </w:p>
    <w:p w14:paraId="6928C690" w14:textId="77777777" w:rsidR="002F4CEC" w:rsidRDefault="002F4CEC">
      <w:pPr>
        <w:rPr>
          <w:rFonts w:ascii="Times New Roman" w:hAnsi="Times New Roman"/>
          <w:szCs w:val="21"/>
        </w:rPr>
      </w:pPr>
    </w:p>
    <w:p w14:paraId="5C567E64" w14:textId="77777777" w:rsidR="002F4CEC" w:rsidRDefault="002F4CEC">
      <w:pPr>
        <w:rPr>
          <w:rFonts w:ascii="Times New Roman" w:hAnsi="Times New Roman"/>
          <w:szCs w:val="21"/>
        </w:rPr>
      </w:pPr>
    </w:p>
    <w:p w14:paraId="7D3BBABC" w14:textId="77777777" w:rsidR="002F4CEC" w:rsidRDefault="002F4CEC">
      <w:pPr>
        <w:rPr>
          <w:rFonts w:ascii="Times New Roman" w:hAnsi="Times New Roman"/>
          <w:szCs w:val="21"/>
        </w:rPr>
      </w:pPr>
    </w:p>
    <w:p w14:paraId="35EE37BE" w14:textId="77777777" w:rsidR="002F4CEC" w:rsidRDefault="002F4CEC">
      <w:pPr>
        <w:rPr>
          <w:rFonts w:ascii="Times New Roman" w:hAnsi="Times New Roman"/>
          <w:szCs w:val="21"/>
        </w:rPr>
      </w:pPr>
    </w:p>
    <w:p w14:paraId="0EDD4446" w14:textId="77777777" w:rsidR="002F4CEC" w:rsidRDefault="00175878">
      <w:pPr>
        <w:pStyle w:val="AuthorList"/>
      </w:pPr>
      <w:r>
        <w:rPr>
          <w:rFonts w:ascii="Times New Roman" w:hAnsi="Times New Roman" w:hint="eastAsia"/>
          <w:bCs/>
          <w:szCs w:val="21"/>
        </w:rPr>
        <w:t>Figure S4</w:t>
      </w:r>
      <w:r>
        <w:rPr>
          <w:rFonts w:ascii="Times New Roman" w:hAnsi="Times New Roman" w:hint="eastAsia"/>
          <w:szCs w:val="21"/>
        </w:rPr>
        <w:t xml:space="preserve">. </w:t>
      </w:r>
      <w:r>
        <w:rPr>
          <w:rFonts w:ascii="Times New Roman Regular" w:hAnsi="Times New Roman Regular" w:cs="Times New Roman Regular"/>
          <w:b w:val="0"/>
        </w:rPr>
        <w:t xml:space="preserve">The impact of intensive versus standard BP control on composite cardiovascular outcomes stratified by the </w:t>
      </w:r>
      <w:proofErr w:type="spellStart"/>
      <w:r>
        <w:rPr>
          <w:rFonts w:ascii="Times New Roman Regular" w:hAnsi="Times New Roman Regular" w:cs="Times New Roman Regular"/>
          <w:b w:val="0"/>
        </w:rPr>
        <w:t>tertiles</w:t>
      </w:r>
      <w:proofErr w:type="spellEnd"/>
      <w:r>
        <w:rPr>
          <w:rFonts w:ascii="Times New Roman Regular" w:hAnsi="Times New Roman Regular" w:cs="Times New Roman Regular"/>
          <w:b w:val="0"/>
        </w:rPr>
        <w:t xml:space="preserve"> of </w:t>
      </w:r>
      <w:r>
        <w:rPr>
          <w:rFonts w:ascii="Times New Roman Regular" w:hAnsi="Times New Roman Regular" w:cs="Times New Roman Regular"/>
          <w:b w:val="0"/>
        </w:rPr>
        <w:t>HRSD</w:t>
      </w:r>
      <w:r>
        <w:rPr>
          <w:rFonts w:ascii="Times New Roman Regular" w:hAnsi="Times New Roman Regular" w:cs="Times New Roman Regular"/>
          <w:b w:val="0"/>
        </w:rPr>
        <w:t>.</w:t>
      </w:r>
      <w:r>
        <w:t xml:space="preserve"> </w:t>
      </w:r>
    </w:p>
    <w:p w14:paraId="5990F982" w14:textId="77777777" w:rsidR="002F4CEC" w:rsidRDefault="00175878">
      <w:pPr>
        <w:jc w:val="center"/>
      </w:pPr>
      <w:r>
        <w:rPr>
          <w:noProof/>
        </w:rPr>
        <w:drawing>
          <wp:inline distT="0" distB="0" distL="114300" distR="114300" wp14:anchorId="72CF96DA" wp14:editId="20DB2FFE">
            <wp:extent cx="4762500" cy="952500"/>
            <wp:effectExtent l="0" t="0" r="12700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9C0E664" w14:textId="77777777" w:rsidR="002F4CEC" w:rsidRDefault="002F4CEC">
      <w:pPr>
        <w:rPr>
          <w:rFonts w:ascii="Times New Roman" w:hAnsi="Times New Roman"/>
          <w:szCs w:val="21"/>
        </w:rPr>
      </w:pPr>
    </w:p>
    <w:p w14:paraId="68534EF6" w14:textId="77777777" w:rsidR="002F4CEC" w:rsidRDefault="00175878">
      <w:pPr>
        <w:spacing w:after="0"/>
        <w:rPr>
          <w:rFonts w:ascii="Times New Roman Regular" w:hAnsi="Times New Roman Regular" w:cs="Times New Roman Regular"/>
          <w:szCs w:val="20"/>
        </w:rPr>
      </w:pPr>
      <w:r>
        <w:rPr>
          <w:rFonts w:ascii="Times New Roman Regular" w:hAnsi="Times New Roman Regular" w:cs="Times New Roman Regular"/>
          <w:szCs w:val="20"/>
        </w:rPr>
        <w:t>All covariables in Model 3 were adjusted.</w:t>
      </w:r>
    </w:p>
    <w:p w14:paraId="5F091BE4" w14:textId="77777777" w:rsidR="002F4CEC" w:rsidRDefault="002F4CEC">
      <w:pPr>
        <w:spacing w:after="0"/>
        <w:rPr>
          <w:rFonts w:ascii="Times New Roman Regular" w:hAnsi="Times New Roman Regular" w:cs="Times New Roman Regular"/>
          <w:szCs w:val="20"/>
        </w:rPr>
      </w:pPr>
    </w:p>
    <w:p w14:paraId="7B7FE293" w14:textId="77777777" w:rsidR="002F4CEC" w:rsidRDefault="00175878">
      <w:pPr>
        <w:spacing w:after="0"/>
        <w:rPr>
          <w:rFonts w:ascii="Times New Roman Regular" w:hAnsi="Times New Roman Regular" w:cs="Times New Roman Regular"/>
          <w:szCs w:val="20"/>
          <w:lang w:eastAsia="zh-Hans"/>
        </w:rPr>
      </w:pPr>
      <w:r>
        <w:rPr>
          <w:rFonts w:ascii="Times New Roman Regular" w:hAnsi="Times New Roman Regular" w:cs="Times New Roman Regular" w:hint="eastAsia"/>
          <w:szCs w:val="20"/>
          <w:lang w:eastAsia="zh-Hans"/>
        </w:rPr>
        <w:t>Figure</w:t>
      </w:r>
      <w:r>
        <w:rPr>
          <w:rFonts w:ascii="Times New Roman Regular" w:hAnsi="Times New Roman Regular" w:cs="Times New Roman Regular"/>
          <w:szCs w:val="20"/>
          <w:lang w:eastAsia="zh-Hans"/>
        </w:rPr>
        <w:t xml:space="preserve"> S5. </w:t>
      </w:r>
    </w:p>
    <w:p w14:paraId="74241F0E" w14:textId="77777777" w:rsidR="002F4CEC" w:rsidRDefault="00175878">
      <w:pPr>
        <w:spacing w:after="0"/>
        <w:rPr>
          <w:rFonts w:ascii="Times New Roman Regular" w:hAnsi="Times New Roman Regular" w:cs="Times New Roman Regular"/>
          <w:szCs w:val="20"/>
          <w:lang w:eastAsia="zh-Hans"/>
        </w:rPr>
      </w:pPr>
      <w:r>
        <w:rPr>
          <w:noProof/>
        </w:rPr>
        <w:drawing>
          <wp:inline distT="0" distB="0" distL="0" distR="0" wp14:anchorId="13CCF46C" wp14:editId="38C9A236">
            <wp:extent cx="5941695" cy="2105025"/>
            <wp:effectExtent l="0" t="0" r="1905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4D74" w14:textId="77777777" w:rsidR="002F4CEC" w:rsidRDefault="00175878">
      <w:pPr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 xml:space="preserve">A.VVHRV in different SBP groups. B. Framingham 10-year CVD risk score in different SBP groups . </w:t>
      </w:r>
    </w:p>
    <w:sectPr w:rsidR="002F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7B"/>
    <w:rsid w:val="FFB6D0B0"/>
    <w:rsid w:val="000C487B"/>
    <w:rsid w:val="00175878"/>
    <w:rsid w:val="002F4CEC"/>
    <w:rsid w:val="00586D07"/>
    <w:rsid w:val="005C5F16"/>
    <w:rsid w:val="009A3458"/>
    <w:rsid w:val="00A61981"/>
    <w:rsid w:val="00D8040B"/>
    <w:rsid w:val="00DE2583"/>
    <w:rsid w:val="00F11019"/>
    <w:rsid w:val="00FD6E60"/>
    <w:rsid w:val="26895241"/>
    <w:rsid w:val="2E5E68DA"/>
    <w:rsid w:val="6F5FF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7DA5"/>
  <w15:docId w15:val="{3A3294B6-9994-46F8-983A-08D0732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然</dc:creator>
  <cp:lastModifiedBy>Saroop Hundal</cp:lastModifiedBy>
  <cp:revision>2</cp:revision>
  <dcterms:created xsi:type="dcterms:W3CDTF">2022-02-14T16:17:00Z</dcterms:created>
  <dcterms:modified xsi:type="dcterms:W3CDTF">2022-02-14T16:17:00Z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81BD6ECF2A484107B760043122353A37</vt:lpwstr>
  </property>
</Properties>
</file>