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00732" w14:textId="77777777" w:rsidR="008A5848" w:rsidRDefault="008A5848" w:rsidP="008A5848">
      <w:pPr>
        <w:spacing w:before="240" w:after="240"/>
        <w:jc w:val="both"/>
        <w:rPr>
          <w:rStyle w:val="Geen"/>
          <w:rFonts w:ascii="Times New Roman" w:hAnsi="Times New Roman" w:cs="Times New Roman"/>
          <w:b/>
          <w:bCs/>
          <w:color w:val="auto"/>
        </w:rPr>
      </w:pPr>
      <w:r>
        <w:rPr>
          <w:rStyle w:val="Geen"/>
          <w:rFonts w:ascii="Times New Roman" w:hAnsi="Times New Roman" w:cs="Times New Roman"/>
          <w:b/>
          <w:bCs/>
          <w:color w:val="auto"/>
        </w:rPr>
        <w:t>SUPPLEMENTAL DATA</w:t>
      </w:r>
    </w:p>
    <w:p w14:paraId="432DC9F9" w14:textId="07B92EA4" w:rsidR="004B4C93" w:rsidRPr="00F2079D" w:rsidRDefault="004B4C93" w:rsidP="004B4C93">
      <w:pPr>
        <w:spacing w:before="120" w:after="240"/>
        <w:jc w:val="both"/>
        <w:rPr>
          <w:rStyle w:val="Geen"/>
          <w:rFonts w:ascii="Times New Roman" w:eastAsia="Arial" w:hAnsi="Times New Roman" w:cs="Times New Roman"/>
          <w:b/>
          <w:i/>
          <w:iCs/>
          <w:color w:val="auto"/>
        </w:rPr>
      </w:pPr>
      <w:r w:rsidRPr="00F2079D">
        <w:rPr>
          <w:rStyle w:val="Geen"/>
          <w:rFonts w:ascii="Times New Roman" w:hAnsi="Times New Roman" w:cs="Times New Roman"/>
          <w:b/>
          <w:i/>
          <w:iCs/>
          <w:color w:val="auto"/>
        </w:rPr>
        <w:t xml:space="preserve">Table </w:t>
      </w:r>
      <w:r>
        <w:rPr>
          <w:rStyle w:val="Geen"/>
          <w:rFonts w:ascii="Times New Roman" w:hAnsi="Times New Roman" w:cs="Times New Roman"/>
          <w:b/>
          <w:i/>
          <w:iCs/>
          <w:color w:val="auto"/>
        </w:rPr>
        <w:t>S</w:t>
      </w:r>
      <w:r w:rsidRPr="00F2079D">
        <w:rPr>
          <w:rStyle w:val="Geen"/>
          <w:rFonts w:ascii="Times New Roman" w:hAnsi="Times New Roman" w:cs="Times New Roman"/>
          <w:b/>
          <w:i/>
          <w:iCs/>
          <w:color w:val="auto"/>
        </w:rPr>
        <w:t xml:space="preserve">1. </w:t>
      </w:r>
      <w:r>
        <w:rPr>
          <w:rStyle w:val="Geen"/>
          <w:rFonts w:ascii="Times New Roman" w:hAnsi="Times New Roman" w:cs="Times New Roman"/>
          <w:b/>
          <w:i/>
          <w:iCs/>
          <w:color w:val="auto"/>
        </w:rPr>
        <w:t xml:space="preserve">Survivability of embryonic and larval </w:t>
      </w:r>
      <w:r w:rsidR="005527DC">
        <w:rPr>
          <w:rStyle w:val="Geen"/>
          <w:rFonts w:ascii="Times New Roman" w:hAnsi="Times New Roman" w:cs="Times New Roman"/>
          <w:b/>
          <w:i/>
          <w:iCs/>
          <w:color w:val="auto"/>
        </w:rPr>
        <w:t xml:space="preserve">exposure to </w:t>
      </w:r>
      <w:r>
        <w:rPr>
          <w:rStyle w:val="Geen"/>
          <w:rFonts w:ascii="Times New Roman" w:hAnsi="Times New Roman" w:cs="Times New Roman"/>
          <w:b/>
          <w:i/>
          <w:iCs/>
          <w:color w:val="auto"/>
        </w:rPr>
        <w:t>sodium thiosulfate</w:t>
      </w:r>
    </w:p>
    <w:p w14:paraId="55D86DDE" w14:textId="1B3C5709" w:rsidR="004B4C93" w:rsidRPr="004B4C93" w:rsidRDefault="004B4C93" w:rsidP="004B4C93">
      <w:pPr>
        <w:spacing w:before="120" w:after="240"/>
        <w:jc w:val="both"/>
        <w:rPr>
          <w:rStyle w:val="Geen"/>
          <w:rFonts w:ascii="Times New Roman" w:eastAsia="Arial" w:hAnsi="Times New Roman" w:cs="Times New Roman"/>
          <w:color w:val="FF0000"/>
        </w:rPr>
      </w:pPr>
      <w:r>
        <w:rPr>
          <w:rStyle w:val="Geen"/>
          <w:rFonts w:ascii="Times New Roman" w:hAnsi="Times New Roman" w:cs="Times New Roman"/>
          <w:color w:val="auto"/>
        </w:rPr>
        <w:t>Survivability screening was performed for STS from 3 to 7 days post-fertilization using wild type animals. Animals were morphologically checked and relative survivability is shown in brackets. Dosage</w:t>
      </w:r>
      <w:r w:rsidR="00DD6A8F">
        <w:rPr>
          <w:rStyle w:val="Geen"/>
          <w:rFonts w:ascii="Times New Roman" w:hAnsi="Times New Roman" w:cs="Times New Roman"/>
          <w:color w:val="auto"/>
        </w:rPr>
        <w:t>s</w:t>
      </w:r>
      <w:r>
        <w:rPr>
          <w:rStyle w:val="Geen"/>
          <w:rFonts w:ascii="Times New Roman" w:hAnsi="Times New Roman" w:cs="Times New Roman"/>
          <w:color w:val="auto"/>
        </w:rPr>
        <w:t xml:space="preserve"> up to 4</w:t>
      </w:r>
      <w:r w:rsidR="00DD6A8F">
        <w:rPr>
          <w:rStyle w:val="Geen"/>
          <w:rFonts w:ascii="Times New Roman" w:hAnsi="Times New Roman" w:cs="Times New Roman"/>
          <w:color w:val="auto"/>
        </w:rPr>
        <w:t>0µM STS appear to be tolerable.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  <w:gridCol w:w="2358"/>
        <w:gridCol w:w="2358"/>
      </w:tblGrid>
      <w:tr w:rsidR="008A5848" w14:paraId="2B07340D" w14:textId="77777777" w:rsidTr="00B76DB7">
        <w:trPr>
          <w:trHeight w:hRule="exact" w:val="567"/>
        </w:trPr>
        <w:tc>
          <w:tcPr>
            <w:tcW w:w="2357" w:type="dxa"/>
            <w:vMerge w:val="restart"/>
            <w:vAlign w:val="center"/>
          </w:tcPr>
          <w:p w14:paraId="3BF0BFCA" w14:textId="77777777" w:rsidR="008A5848" w:rsidRPr="009E7B79" w:rsidRDefault="008A5848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B79">
              <w:rPr>
                <w:rFonts w:ascii="Times New Roman" w:hAnsi="Times New Roman" w:cs="Times New Roman"/>
                <w:b/>
                <w:i/>
              </w:rPr>
              <w:t>Abcc6a</w:t>
            </w:r>
            <w:r w:rsidRPr="009E7B79">
              <w:rPr>
                <w:rFonts w:ascii="Times New Roman" w:hAnsi="Times New Roman" w:cs="Times New Roman"/>
                <w:b/>
                <w:i/>
                <w:vertAlign w:val="superscript"/>
              </w:rPr>
              <w:t>+/+</w:t>
            </w:r>
          </w:p>
        </w:tc>
        <w:tc>
          <w:tcPr>
            <w:tcW w:w="11789" w:type="dxa"/>
            <w:gridSpan w:val="5"/>
            <w:tcBorders>
              <w:bottom w:val="nil"/>
            </w:tcBorders>
            <w:vAlign w:val="center"/>
          </w:tcPr>
          <w:p w14:paraId="1DFA6BD3" w14:textId="77777777" w:rsidR="008A5848" w:rsidRPr="009E657C" w:rsidRDefault="008A5848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>Morphologically healthy larvae (N) during sodium thiosulfate exposure</w:t>
            </w:r>
            <w:r w:rsidR="00A80D27" w:rsidRPr="009E657C">
              <w:rPr>
                <w:rFonts w:ascii="Times New Roman" w:hAnsi="Times New Roman" w:cs="Times New Roman"/>
                <w:b/>
              </w:rPr>
              <w:t xml:space="preserve"> 3-7 </w:t>
            </w:r>
            <w:proofErr w:type="spellStart"/>
            <w:r w:rsidR="00A80D27"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</w:tr>
      <w:tr w:rsidR="008A5848" w14:paraId="62969BFC" w14:textId="77777777" w:rsidTr="00B76DB7">
        <w:trPr>
          <w:trHeight w:hRule="exact" w:val="567"/>
        </w:trPr>
        <w:tc>
          <w:tcPr>
            <w:tcW w:w="2357" w:type="dxa"/>
            <w:vMerge/>
            <w:tcBorders>
              <w:bottom w:val="single" w:sz="4" w:space="0" w:color="auto"/>
            </w:tcBorders>
            <w:vAlign w:val="center"/>
          </w:tcPr>
          <w:p w14:paraId="4E64AB9E" w14:textId="77777777" w:rsidR="008A5848" w:rsidRPr="009E657C" w:rsidRDefault="008A5848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  <w:vAlign w:val="center"/>
          </w:tcPr>
          <w:p w14:paraId="07189E86" w14:textId="77777777" w:rsidR="008A5848" w:rsidRPr="009E657C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>0</w:t>
            </w:r>
            <w:r w:rsidR="008A5848" w:rsidRPr="009E657C">
              <w:rPr>
                <w:rFonts w:ascii="Times New Roman" w:hAnsi="Times New Roman" w:cs="Times New Roman"/>
                <w:b/>
              </w:rPr>
              <w:t>µM (Controls)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56863127" w14:textId="77777777" w:rsidR="008A5848" w:rsidRPr="009E657C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>20</w:t>
            </w:r>
            <w:r w:rsidR="008A5848" w:rsidRPr="009E657C">
              <w:rPr>
                <w:rFonts w:ascii="Times New Roman" w:hAnsi="Times New Roman" w:cs="Times New Roman"/>
                <w:b/>
              </w:rPr>
              <w:t>µM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75188107" w14:textId="77777777" w:rsidR="008A5848" w:rsidRPr="009E657C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>30µM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481ADDE8" w14:textId="77777777" w:rsidR="008A5848" w:rsidRPr="009E657C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>40µM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49BFEA91" w14:textId="77777777" w:rsidR="008A5848" w:rsidRPr="009E657C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>50µM</w:t>
            </w:r>
          </w:p>
        </w:tc>
      </w:tr>
      <w:tr w:rsidR="00A80D27" w14:paraId="3635919F" w14:textId="77777777" w:rsidTr="00B76DB7">
        <w:trPr>
          <w:trHeight w:hRule="exact" w:val="567"/>
        </w:trPr>
        <w:tc>
          <w:tcPr>
            <w:tcW w:w="2357" w:type="dxa"/>
            <w:tcBorders>
              <w:bottom w:val="dotted" w:sz="4" w:space="0" w:color="000000"/>
            </w:tcBorders>
            <w:vAlign w:val="center"/>
          </w:tcPr>
          <w:p w14:paraId="46EAEE2F" w14:textId="77777777" w:rsidR="00A80D27" w:rsidRPr="009E657C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bottom w:val="dotted" w:sz="4" w:space="0" w:color="000000"/>
            </w:tcBorders>
            <w:vAlign w:val="center"/>
          </w:tcPr>
          <w:p w14:paraId="3DC06089" w14:textId="77777777" w:rsidR="00A80D27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 (100%)</w:t>
            </w:r>
          </w:p>
        </w:tc>
        <w:tc>
          <w:tcPr>
            <w:tcW w:w="2358" w:type="dxa"/>
            <w:tcBorders>
              <w:bottom w:val="dotted" w:sz="4" w:space="0" w:color="000000"/>
            </w:tcBorders>
            <w:vAlign w:val="center"/>
          </w:tcPr>
          <w:p w14:paraId="18442AFC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 (100%)</w:t>
            </w:r>
          </w:p>
        </w:tc>
        <w:tc>
          <w:tcPr>
            <w:tcW w:w="2358" w:type="dxa"/>
            <w:tcBorders>
              <w:bottom w:val="dotted" w:sz="4" w:space="0" w:color="000000"/>
            </w:tcBorders>
            <w:vAlign w:val="center"/>
          </w:tcPr>
          <w:p w14:paraId="0A31B667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 (100%)</w:t>
            </w:r>
          </w:p>
        </w:tc>
        <w:tc>
          <w:tcPr>
            <w:tcW w:w="2358" w:type="dxa"/>
            <w:tcBorders>
              <w:bottom w:val="dotted" w:sz="4" w:space="0" w:color="000000"/>
            </w:tcBorders>
            <w:vAlign w:val="center"/>
          </w:tcPr>
          <w:p w14:paraId="302F5161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 (100%)</w:t>
            </w:r>
          </w:p>
        </w:tc>
        <w:tc>
          <w:tcPr>
            <w:tcW w:w="2358" w:type="dxa"/>
            <w:tcBorders>
              <w:bottom w:val="dotted" w:sz="4" w:space="0" w:color="000000"/>
            </w:tcBorders>
            <w:vAlign w:val="center"/>
          </w:tcPr>
          <w:p w14:paraId="2251C66A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 (100%)</w:t>
            </w:r>
          </w:p>
        </w:tc>
      </w:tr>
      <w:tr w:rsidR="00A80D27" w14:paraId="0733B516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02054AF" w14:textId="77777777" w:rsidR="00A80D27" w:rsidRPr="009E657C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5D81D6" w14:textId="77777777" w:rsidR="00A80D27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(97.5%)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54AB46D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DF89097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3CFC647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F647F7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(96.3%)</w:t>
            </w:r>
          </w:p>
        </w:tc>
      </w:tr>
      <w:tr w:rsidR="00A80D27" w14:paraId="046BDD8B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5B6C51D" w14:textId="77777777" w:rsidR="00A80D27" w:rsidRPr="009E657C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FB4C540" w14:textId="77777777" w:rsidR="00A80D27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(97.5%)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4FFE850" w14:textId="77777777" w:rsidR="00A80D27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(98.8%)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8802A84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7EBE18B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38784D" w14:textId="77777777" w:rsidR="00A80D27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(92.5%)</w:t>
            </w:r>
          </w:p>
        </w:tc>
      </w:tr>
      <w:tr w:rsidR="00A80D27" w14:paraId="4CC4209C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91EE07C" w14:textId="77777777" w:rsidR="00A80D27" w:rsidRPr="009E657C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096B75B" w14:textId="77777777" w:rsidR="00A80D27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(97.5%)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0514BE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(97.5%)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F9B270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(98.8%)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83F3E5D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(97.5%)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486129" w14:textId="77777777" w:rsidR="00A80D27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(90.0%)</w:t>
            </w:r>
          </w:p>
        </w:tc>
      </w:tr>
      <w:tr w:rsidR="00A80D27" w14:paraId="0A4D91AB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</w:tcBorders>
            <w:vAlign w:val="center"/>
          </w:tcPr>
          <w:p w14:paraId="1B23DBCA" w14:textId="77777777" w:rsidR="00A80D27" w:rsidRPr="009E657C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</w:tcBorders>
            <w:vAlign w:val="center"/>
          </w:tcPr>
          <w:p w14:paraId="49B38310" w14:textId="77777777" w:rsidR="00A80D27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(96.3%)</w:t>
            </w:r>
          </w:p>
        </w:tc>
        <w:tc>
          <w:tcPr>
            <w:tcW w:w="2358" w:type="dxa"/>
            <w:tcBorders>
              <w:top w:val="dotted" w:sz="4" w:space="0" w:color="000000"/>
            </w:tcBorders>
            <w:vAlign w:val="center"/>
          </w:tcPr>
          <w:p w14:paraId="06B7DCE0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(97.5%)</w:t>
            </w:r>
          </w:p>
        </w:tc>
        <w:tc>
          <w:tcPr>
            <w:tcW w:w="2358" w:type="dxa"/>
            <w:tcBorders>
              <w:top w:val="dotted" w:sz="4" w:space="0" w:color="000000"/>
            </w:tcBorders>
            <w:vAlign w:val="center"/>
          </w:tcPr>
          <w:p w14:paraId="56A12B9B" w14:textId="77777777" w:rsidR="00A80D27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(96.3%)</w:t>
            </w:r>
          </w:p>
        </w:tc>
        <w:tc>
          <w:tcPr>
            <w:tcW w:w="2358" w:type="dxa"/>
            <w:tcBorders>
              <w:top w:val="dotted" w:sz="4" w:space="0" w:color="000000"/>
            </w:tcBorders>
            <w:vAlign w:val="center"/>
          </w:tcPr>
          <w:p w14:paraId="0012B5ED" w14:textId="77777777" w:rsidR="00A80D27" w:rsidRDefault="00A80D27" w:rsidP="009E6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(97.5%)</w:t>
            </w:r>
          </w:p>
        </w:tc>
        <w:tc>
          <w:tcPr>
            <w:tcW w:w="2358" w:type="dxa"/>
            <w:tcBorders>
              <w:top w:val="dotted" w:sz="4" w:space="0" w:color="000000"/>
            </w:tcBorders>
            <w:vAlign w:val="center"/>
          </w:tcPr>
          <w:p w14:paraId="68D9E5B0" w14:textId="77777777" w:rsidR="00A80D27" w:rsidRDefault="00A80D27" w:rsidP="00A8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(86.3%)</w:t>
            </w:r>
          </w:p>
        </w:tc>
      </w:tr>
    </w:tbl>
    <w:p w14:paraId="5CDA107B" w14:textId="03531FFA" w:rsidR="005527DC" w:rsidRDefault="0055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39095BD0" w14:textId="1421F4F8" w:rsidR="005527DC" w:rsidRPr="00F2079D" w:rsidRDefault="005527DC" w:rsidP="005527DC">
      <w:pPr>
        <w:spacing w:before="120" w:after="240"/>
        <w:jc w:val="both"/>
        <w:rPr>
          <w:rStyle w:val="Geen"/>
          <w:rFonts w:ascii="Times New Roman" w:eastAsia="Arial" w:hAnsi="Times New Roman" w:cs="Times New Roman"/>
          <w:b/>
          <w:i/>
          <w:iCs/>
          <w:color w:val="auto"/>
        </w:rPr>
      </w:pPr>
      <w:r w:rsidRPr="00F2079D">
        <w:rPr>
          <w:rStyle w:val="Geen"/>
          <w:rFonts w:ascii="Times New Roman" w:hAnsi="Times New Roman" w:cs="Times New Roman"/>
          <w:b/>
          <w:i/>
          <w:iCs/>
          <w:color w:val="auto"/>
        </w:rPr>
        <w:lastRenderedPageBreak/>
        <w:t xml:space="preserve">Table </w:t>
      </w:r>
      <w:r>
        <w:rPr>
          <w:rStyle w:val="Geen"/>
          <w:rFonts w:ascii="Times New Roman" w:hAnsi="Times New Roman" w:cs="Times New Roman"/>
          <w:b/>
          <w:i/>
          <w:iCs/>
          <w:color w:val="auto"/>
        </w:rPr>
        <w:t>S2</w:t>
      </w:r>
      <w:r w:rsidRPr="00F2079D">
        <w:rPr>
          <w:rStyle w:val="Geen"/>
          <w:rFonts w:ascii="Times New Roman" w:hAnsi="Times New Roman" w:cs="Times New Roman"/>
          <w:b/>
          <w:i/>
          <w:iCs/>
          <w:color w:val="auto"/>
        </w:rPr>
        <w:t xml:space="preserve">. </w:t>
      </w:r>
      <w:r>
        <w:rPr>
          <w:rStyle w:val="Geen"/>
          <w:rFonts w:ascii="Times New Roman" w:hAnsi="Times New Roman" w:cs="Times New Roman"/>
          <w:b/>
          <w:i/>
          <w:iCs/>
          <w:color w:val="auto"/>
        </w:rPr>
        <w:t xml:space="preserve">Survivability of embryonic and larval </w:t>
      </w:r>
      <w:r w:rsidR="00D34BC2">
        <w:rPr>
          <w:rStyle w:val="Geen"/>
          <w:rFonts w:ascii="Times New Roman" w:hAnsi="Times New Roman" w:cs="Times New Roman"/>
          <w:b/>
          <w:i/>
          <w:iCs/>
          <w:color w:val="auto"/>
        </w:rPr>
        <w:t>exposure to alendronate</w:t>
      </w:r>
    </w:p>
    <w:p w14:paraId="371404F8" w14:textId="5373BB05" w:rsidR="005527DC" w:rsidRPr="004B4C93" w:rsidRDefault="005527DC" w:rsidP="005527DC">
      <w:pPr>
        <w:spacing w:before="120" w:after="240"/>
        <w:jc w:val="both"/>
        <w:rPr>
          <w:rStyle w:val="Geen"/>
          <w:rFonts w:ascii="Times New Roman" w:eastAsia="Arial" w:hAnsi="Times New Roman" w:cs="Times New Roman"/>
          <w:color w:val="FF0000"/>
        </w:rPr>
      </w:pPr>
      <w:r>
        <w:rPr>
          <w:rStyle w:val="Geen"/>
          <w:rFonts w:ascii="Times New Roman" w:hAnsi="Times New Roman" w:cs="Times New Roman"/>
          <w:color w:val="auto"/>
        </w:rPr>
        <w:t xml:space="preserve">Survivability screening was performed for </w:t>
      </w:r>
      <w:r w:rsidR="001B7A2E">
        <w:rPr>
          <w:rStyle w:val="Geen"/>
          <w:rFonts w:ascii="Times New Roman" w:hAnsi="Times New Roman" w:cs="Times New Roman"/>
          <w:color w:val="auto"/>
        </w:rPr>
        <w:t>alendronate</w:t>
      </w:r>
      <w:r>
        <w:rPr>
          <w:rStyle w:val="Geen"/>
          <w:rFonts w:ascii="Times New Roman" w:hAnsi="Times New Roman" w:cs="Times New Roman"/>
          <w:color w:val="auto"/>
        </w:rPr>
        <w:t xml:space="preserve"> from 3 to 7 days post-fertilization using wild type animals. </w:t>
      </w:r>
      <w:r w:rsidR="001B7A2E">
        <w:rPr>
          <w:rStyle w:val="Geen"/>
          <w:rFonts w:ascii="Times New Roman" w:hAnsi="Times New Roman" w:cs="Times New Roman"/>
          <w:color w:val="auto"/>
        </w:rPr>
        <w:t xml:space="preserve">As </w:t>
      </w:r>
      <w:proofErr w:type="spellStart"/>
      <w:r w:rsidR="001B7A2E">
        <w:rPr>
          <w:rStyle w:val="Geen"/>
          <w:rFonts w:ascii="Times New Roman" w:hAnsi="Times New Roman" w:cs="Times New Roman"/>
          <w:color w:val="auto"/>
        </w:rPr>
        <w:t>etidronate</w:t>
      </w:r>
      <w:proofErr w:type="spellEnd"/>
      <w:r w:rsidR="001B7A2E">
        <w:rPr>
          <w:rStyle w:val="Geen"/>
          <w:rFonts w:ascii="Times New Roman" w:hAnsi="Times New Roman" w:cs="Times New Roman"/>
          <w:color w:val="auto"/>
        </w:rPr>
        <w:t xml:space="preserve"> was considered effective at 100µM we opted to perform testing in this range. </w:t>
      </w:r>
      <w:r>
        <w:rPr>
          <w:rStyle w:val="Geen"/>
          <w:rFonts w:ascii="Times New Roman" w:hAnsi="Times New Roman" w:cs="Times New Roman"/>
          <w:color w:val="auto"/>
        </w:rPr>
        <w:t xml:space="preserve">Animals were morphologically checked and relative survivability is shown in brackets. </w:t>
      </w:r>
      <w:r w:rsidR="001B7A2E">
        <w:rPr>
          <w:rStyle w:val="Geen"/>
          <w:rFonts w:ascii="Times New Roman" w:hAnsi="Times New Roman" w:cs="Times New Roman"/>
          <w:color w:val="auto"/>
        </w:rPr>
        <w:t>Dosage appeared tolerable for all conditions tested</w:t>
      </w:r>
      <w:r>
        <w:rPr>
          <w:rStyle w:val="Geen"/>
          <w:rFonts w:ascii="Times New Roman" w:hAnsi="Times New Roman" w:cs="Times New Roman"/>
          <w:color w:val="auto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  <w:gridCol w:w="2358"/>
      </w:tblGrid>
      <w:tr w:rsidR="001B7A2E" w14:paraId="16FE8FD8" w14:textId="77777777" w:rsidTr="00B76DB7">
        <w:trPr>
          <w:trHeight w:hRule="exact" w:val="567"/>
        </w:trPr>
        <w:tc>
          <w:tcPr>
            <w:tcW w:w="2357" w:type="dxa"/>
            <w:vMerge w:val="restart"/>
            <w:vAlign w:val="center"/>
          </w:tcPr>
          <w:p w14:paraId="160F5FBC" w14:textId="77777777" w:rsidR="001B7A2E" w:rsidRPr="009E7B79" w:rsidRDefault="001B7A2E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B79">
              <w:rPr>
                <w:rFonts w:ascii="Times New Roman" w:hAnsi="Times New Roman" w:cs="Times New Roman"/>
                <w:b/>
                <w:i/>
              </w:rPr>
              <w:t>Abcc6a</w:t>
            </w:r>
            <w:r w:rsidRPr="009E7B79">
              <w:rPr>
                <w:rFonts w:ascii="Times New Roman" w:hAnsi="Times New Roman" w:cs="Times New Roman"/>
                <w:b/>
                <w:i/>
                <w:vertAlign w:val="superscript"/>
              </w:rPr>
              <w:t>+/+</w:t>
            </w:r>
          </w:p>
        </w:tc>
        <w:tc>
          <w:tcPr>
            <w:tcW w:w="9431" w:type="dxa"/>
            <w:gridSpan w:val="4"/>
            <w:tcBorders>
              <w:bottom w:val="nil"/>
            </w:tcBorders>
            <w:vAlign w:val="center"/>
          </w:tcPr>
          <w:p w14:paraId="3F2C38BC" w14:textId="0C0249B4" w:rsidR="001B7A2E" w:rsidRPr="009E657C" w:rsidRDefault="001B7A2E" w:rsidP="001B7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Morphologically healthy larvae (N) during </w:t>
            </w:r>
            <w:r>
              <w:rPr>
                <w:rFonts w:ascii="Times New Roman" w:hAnsi="Times New Roman" w:cs="Times New Roman"/>
                <w:b/>
              </w:rPr>
              <w:t>alendronate</w:t>
            </w:r>
            <w:r w:rsidRPr="009E657C">
              <w:rPr>
                <w:rFonts w:ascii="Times New Roman" w:hAnsi="Times New Roman" w:cs="Times New Roman"/>
                <w:b/>
              </w:rPr>
              <w:t xml:space="preserve"> exposure 3-7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</w:tr>
      <w:tr w:rsidR="001B7A2E" w14:paraId="383BB5FD" w14:textId="77777777" w:rsidTr="00B76DB7">
        <w:trPr>
          <w:trHeight w:hRule="exact" w:val="567"/>
        </w:trPr>
        <w:tc>
          <w:tcPr>
            <w:tcW w:w="2357" w:type="dxa"/>
            <w:vMerge/>
            <w:tcBorders>
              <w:bottom w:val="single" w:sz="4" w:space="0" w:color="auto"/>
            </w:tcBorders>
            <w:vAlign w:val="center"/>
          </w:tcPr>
          <w:p w14:paraId="3EE119C6" w14:textId="77777777" w:rsidR="001B7A2E" w:rsidRPr="009E657C" w:rsidRDefault="001B7A2E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  <w:vAlign w:val="center"/>
          </w:tcPr>
          <w:p w14:paraId="5CA6A5A2" w14:textId="77777777" w:rsidR="001B7A2E" w:rsidRPr="009E657C" w:rsidRDefault="001B7A2E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>0µM (Controls)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002D167D" w14:textId="7592AC93" w:rsidR="001B7A2E" w:rsidRPr="009E657C" w:rsidRDefault="001B7A2E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E657C">
              <w:rPr>
                <w:rFonts w:ascii="Times New Roman" w:hAnsi="Times New Roman" w:cs="Times New Roman"/>
                <w:b/>
              </w:rPr>
              <w:t>0µM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5CC47CB2" w14:textId="15F5CFAE" w:rsidR="001B7A2E" w:rsidRPr="009E657C" w:rsidRDefault="001B7A2E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E657C">
              <w:rPr>
                <w:rFonts w:ascii="Times New Roman" w:hAnsi="Times New Roman" w:cs="Times New Roman"/>
                <w:b/>
              </w:rPr>
              <w:t>0µM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78F096D9" w14:textId="47758CE6" w:rsidR="001B7A2E" w:rsidRPr="009E657C" w:rsidRDefault="001B7A2E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  <w:r w:rsidRPr="009E657C">
              <w:rPr>
                <w:rFonts w:ascii="Times New Roman" w:hAnsi="Times New Roman" w:cs="Times New Roman"/>
                <w:b/>
              </w:rPr>
              <w:t>µM</w:t>
            </w:r>
          </w:p>
        </w:tc>
      </w:tr>
      <w:tr w:rsidR="001B7A2E" w14:paraId="5D56226B" w14:textId="77777777" w:rsidTr="00B76DB7">
        <w:trPr>
          <w:trHeight w:hRule="exact" w:val="567"/>
        </w:trPr>
        <w:tc>
          <w:tcPr>
            <w:tcW w:w="2357" w:type="dxa"/>
            <w:tcBorders>
              <w:bottom w:val="dotted" w:sz="4" w:space="0" w:color="000000"/>
            </w:tcBorders>
            <w:vAlign w:val="center"/>
          </w:tcPr>
          <w:p w14:paraId="65C176E3" w14:textId="77777777" w:rsidR="001B7A2E" w:rsidRPr="009E657C" w:rsidRDefault="001B7A2E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bottom w:val="dotted" w:sz="4" w:space="0" w:color="000000"/>
            </w:tcBorders>
            <w:vAlign w:val="center"/>
          </w:tcPr>
          <w:p w14:paraId="49FAC359" w14:textId="4BFA008C" w:rsidR="001B7A2E" w:rsidRDefault="0007110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B7A2E">
              <w:rPr>
                <w:rFonts w:ascii="Times New Roman" w:hAnsi="Times New Roman" w:cs="Times New Roman"/>
              </w:rPr>
              <w:t xml:space="preserve">  (100%)</w:t>
            </w:r>
          </w:p>
        </w:tc>
        <w:tc>
          <w:tcPr>
            <w:tcW w:w="2358" w:type="dxa"/>
            <w:tcBorders>
              <w:bottom w:val="dotted" w:sz="4" w:space="0" w:color="000000"/>
            </w:tcBorders>
            <w:vAlign w:val="center"/>
          </w:tcPr>
          <w:p w14:paraId="342501DA" w14:textId="7D0E88DD" w:rsidR="001B7A2E" w:rsidRDefault="00D800C9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7A2E">
              <w:rPr>
                <w:rFonts w:ascii="Times New Roman" w:hAnsi="Times New Roman" w:cs="Times New Roman"/>
              </w:rPr>
              <w:t>0  (100%)</w:t>
            </w:r>
          </w:p>
        </w:tc>
        <w:tc>
          <w:tcPr>
            <w:tcW w:w="2358" w:type="dxa"/>
            <w:tcBorders>
              <w:bottom w:val="dotted" w:sz="4" w:space="0" w:color="000000"/>
            </w:tcBorders>
            <w:vAlign w:val="center"/>
          </w:tcPr>
          <w:p w14:paraId="0AC4DDD8" w14:textId="08A1D920" w:rsidR="001B7A2E" w:rsidRDefault="008839C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(100%)</w:t>
            </w:r>
          </w:p>
        </w:tc>
        <w:tc>
          <w:tcPr>
            <w:tcW w:w="2358" w:type="dxa"/>
            <w:tcBorders>
              <w:bottom w:val="dotted" w:sz="4" w:space="0" w:color="000000"/>
            </w:tcBorders>
            <w:vAlign w:val="center"/>
          </w:tcPr>
          <w:p w14:paraId="3D7F4C2F" w14:textId="154AABD1" w:rsidR="001B7A2E" w:rsidRDefault="008839C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(100%)</w:t>
            </w:r>
          </w:p>
        </w:tc>
      </w:tr>
      <w:tr w:rsidR="001B7A2E" w14:paraId="6FDE7E30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735A62" w14:textId="77777777" w:rsidR="001B7A2E" w:rsidRPr="009E657C" w:rsidRDefault="001B7A2E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5F3095" w14:textId="55052DA9" w:rsidR="001B7A2E" w:rsidRDefault="0007110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ED76279" w14:textId="29CCAA12" w:rsidR="001B7A2E" w:rsidRDefault="00D800C9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7E9AB75" w14:textId="3776B99F" w:rsidR="001B7A2E" w:rsidRDefault="008839C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A634DCB" w14:textId="6F94D6A4" w:rsidR="001B7A2E" w:rsidRDefault="008839C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(100%)</w:t>
            </w:r>
          </w:p>
        </w:tc>
      </w:tr>
      <w:tr w:rsidR="001B7A2E" w14:paraId="3F933590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59BF6D1" w14:textId="77777777" w:rsidR="001B7A2E" w:rsidRPr="009E657C" w:rsidRDefault="001B7A2E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B5881AD" w14:textId="544C33F0" w:rsidR="001B7A2E" w:rsidRDefault="0007110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7383D7" w14:textId="7DA32917" w:rsidR="001B7A2E" w:rsidRDefault="00D800C9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95BF93" w14:textId="23E554A0" w:rsidR="001B7A2E" w:rsidRDefault="008839C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E33688" w14:textId="2F5B66FF" w:rsidR="001B7A2E" w:rsidRDefault="008839C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(100%)</w:t>
            </w:r>
          </w:p>
        </w:tc>
      </w:tr>
      <w:tr w:rsidR="001B7A2E" w14:paraId="20A64BF4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AABB5" w14:textId="77777777" w:rsidR="001B7A2E" w:rsidRPr="009E657C" w:rsidRDefault="001B7A2E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1A02CA" w14:textId="3B55FEAE" w:rsidR="001B7A2E" w:rsidRDefault="0007110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EE9D687" w14:textId="674A4FAD" w:rsidR="001B7A2E" w:rsidRDefault="00D800C9" w:rsidP="00D80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B7A2E"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</w:rPr>
              <w:t>8</w:t>
            </w:r>
            <w:r w:rsidR="001B7A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B7A2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BD7B60A" w14:textId="182599D9" w:rsidR="001B7A2E" w:rsidRDefault="008839C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6F4B90" w14:textId="5DCC9E7B" w:rsidR="001B7A2E" w:rsidRDefault="008839C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(98.0%)</w:t>
            </w:r>
          </w:p>
        </w:tc>
      </w:tr>
      <w:tr w:rsidR="001B7A2E" w14:paraId="654C742A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</w:tcBorders>
            <w:vAlign w:val="center"/>
          </w:tcPr>
          <w:p w14:paraId="26BC8225" w14:textId="77777777" w:rsidR="001B7A2E" w:rsidRPr="009E657C" w:rsidRDefault="001B7A2E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</w:tcBorders>
            <w:vAlign w:val="center"/>
          </w:tcPr>
          <w:p w14:paraId="28D98941" w14:textId="35A41F64" w:rsidR="001B7A2E" w:rsidRDefault="00071108" w:rsidP="00071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7A2E">
              <w:rPr>
                <w:rFonts w:ascii="Times New Roman" w:hAnsi="Times New Roman" w:cs="Times New Roman"/>
              </w:rPr>
              <w:t>7 (9</w:t>
            </w:r>
            <w:r>
              <w:rPr>
                <w:rFonts w:ascii="Times New Roman" w:hAnsi="Times New Roman" w:cs="Times New Roman"/>
              </w:rPr>
              <w:t>7</w:t>
            </w:r>
            <w:r w:rsidR="001B7A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1B7A2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58" w:type="dxa"/>
            <w:tcBorders>
              <w:top w:val="dotted" w:sz="4" w:space="0" w:color="000000"/>
            </w:tcBorders>
            <w:vAlign w:val="center"/>
          </w:tcPr>
          <w:p w14:paraId="3C7344DA" w14:textId="2A7E29D9" w:rsidR="001B7A2E" w:rsidRDefault="00D800C9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(98.0%)</w:t>
            </w:r>
          </w:p>
        </w:tc>
        <w:tc>
          <w:tcPr>
            <w:tcW w:w="2358" w:type="dxa"/>
            <w:tcBorders>
              <w:top w:val="dotted" w:sz="4" w:space="0" w:color="000000"/>
            </w:tcBorders>
            <w:vAlign w:val="center"/>
          </w:tcPr>
          <w:p w14:paraId="2D25288D" w14:textId="277E9460" w:rsidR="001B7A2E" w:rsidRDefault="008839C8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(98.0%)</w:t>
            </w:r>
          </w:p>
        </w:tc>
        <w:tc>
          <w:tcPr>
            <w:tcW w:w="2358" w:type="dxa"/>
            <w:tcBorders>
              <w:top w:val="dotted" w:sz="4" w:space="0" w:color="000000"/>
            </w:tcBorders>
            <w:vAlign w:val="center"/>
          </w:tcPr>
          <w:p w14:paraId="05917C66" w14:textId="5456C743" w:rsidR="001B7A2E" w:rsidRDefault="008839C8" w:rsidP="0088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B7A2E"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</w:rPr>
              <w:t>6.0</w:t>
            </w:r>
            <w:r w:rsidR="001B7A2E">
              <w:rPr>
                <w:rFonts w:ascii="Times New Roman" w:hAnsi="Times New Roman" w:cs="Times New Roman"/>
              </w:rPr>
              <w:t>%)</w:t>
            </w:r>
          </w:p>
        </w:tc>
      </w:tr>
    </w:tbl>
    <w:p w14:paraId="411168DE" w14:textId="77777777" w:rsidR="005527DC" w:rsidRDefault="005527DC" w:rsidP="0055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F0DEEB" w14:textId="3A0D1A7C" w:rsidR="005527DC" w:rsidRPr="00F2079D" w:rsidRDefault="005527DC" w:rsidP="005527DC">
      <w:pPr>
        <w:spacing w:before="120" w:after="240"/>
        <w:jc w:val="both"/>
        <w:rPr>
          <w:rStyle w:val="Geen"/>
          <w:rFonts w:ascii="Times New Roman" w:eastAsia="Arial" w:hAnsi="Times New Roman" w:cs="Times New Roman"/>
          <w:b/>
          <w:i/>
          <w:iCs/>
          <w:color w:val="auto"/>
        </w:rPr>
      </w:pPr>
      <w:r w:rsidRPr="00F2079D">
        <w:rPr>
          <w:rStyle w:val="Geen"/>
          <w:rFonts w:ascii="Times New Roman" w:hAnsi="Times New Roman" w:cs="Times New Roman"/>
          <w:b/>
          <w:i/>
          <w:iCs/>
          <w:color w:val="auto"/>
        </w:rPr>
        <w:t xml:space="preserve">Table </w:t>
      </w:r>
      <w:r>
        <w:rPr>
          <w:rStyle w:val="Geen"/>
          <w:rFonts w:ascii="Times New Roman" w:hAnsi="Times New Roman" w:cs="Times New Roman"/>
          <w:b/>
          <w:i/>
          <w:iCs/>
          <w:color w:val="auto"/>
        </w:rPr>
        <w:t>S</w:t>
      </w:r>
      <w:r w:rsidR="006A55D1">
        <w:rPr>
          <w:rStyle w:val="Geen"/>
          <w:rFonts w:ascii="Times New Roman" w:hAnsi="Times New Roman" w:cs="Times New Roman"/>
          <w:b/>
          <w:i/>
          <w:iCs/>
          <w:color w:val="auto"/>
        </w:rPr>
        <w:t>3</w:t>
      </w:r>
      <w:r w:rsidRPr="00F2079D">
        <w:rPr>
          <w:rStyle w:val="Geen"/>
          <w:rFonts w:ascii="Times New Roman" w:hAnsi="Times New Roman" w:cs="Times New Roman"/>
          <w:b/>
          <w:i/>
          <w:iCs/>
          <w:color w:val="auto"/>
        </w:rPr>
        <w:t xml:space="preserve">. </w:t>
      </w:r>
      <w:r>
        <w:rPr>
          <w:rStyle w:val="Geen"/>
          <w:rFonts w:ascii="Times New Roman" w:hAnsi="Times New Roman" w:cs="Times New Roman"/>
          <w:b/>
          <w:i/>
          <w:iCs/>
          <w:color w:val="auto"/>
        </w:rPr>
        <w:t xml:space="preserve">Survivability of embryonic and larval </w:t>
      </w:r>
      <w:r w:rsidR="006A55D1">
        <w:rPr>
          <w:rStyle w:val="Geen"/>
          <w:rFonts w:ascii="Times New Roman" w:hAnsi="Times New Roman" w:cs="Times New Roman"/>
          <w:b/>
          <w:i/>
          <w:iCs/>
          <w:color w:val="auto"/>
        </w:rPr>
        <w:t>exposure to magnesium citrate</w:t>
      </w:r>
    </w:p>
    <w:p w14:paraId="5AA4C825" w14:textId="7D4FBBD1" w:rsidR="005527DC" w:rsidRPr="004B4C93" w:rsidRDefault="000A2F0D" w:rsidP="005527DC">
      <w:pPr>
        <w:spacing w:before="120" w:after="240"/>
        <w:jc w:val="both"/>
        <w:rPr>
          <w:rStyle w:val="Geen"/>
          <w:rFonts w:ascii="Times New Roman" w:eastAsia="Arial" w:hAnsi="Times New Roman" w:cs="Times New Roman"/>
          <w:color w:val="FF0000"/>
        </w:rPr>
      </w:pPr>
      <w:r>
        <w:rPr>
          <w:rStyle w:val="Geen"/>
          <w:rFonts w:ascii="Times New Roman" w:hAnsi="Times New Roman" w:cs="Times New Roman"/>
          <w:color w:val="auto"/>
        </w:rPr>
        <w:t>Wi</w:t>
      </w:r>
      <w:r w:rsidR="00730C18">
        <w:rPr>
          <w:rStyle w:val="Geen"/>
          <w:rFonts w:ascii="Times New Roman" w:hAnsi="Times New Roman" w:cs="Times New Roman"/>
          <w:color w:val="auto"/>
        </w:rPr>
        <w:t xml:space="preserve">ld type animals were immersed in various concentrations of magnesium citrate for </w:t>
      </w:r>
      <w:r w:rsidR="005527DC">
        <w:rPr>
          <w:rStyle w:val="Geen"/>
          <w:rFonts w:ascii="Times New Roman" w:hAnsi="Times New Roman" w:cs="Times New Roman"/>
          <w:color w:val="auto"/>
        </w:rPr>
        <w:t>3</w:t>
      </w:r>
      <w:r w:rsidR="00730C18">
        <w:rPr>
          <w:rStyle w:val="Geen"/>
          <w:rFonts w:ascii="Times New Roman" w:hAnsi="Times New Roman" w:cs="Times New Roman"/>
          <w:color w:val="auto"/>
        </w:rPr>
        <w:t>-</w:t>
      </w:r>
      <w:r w:rsidR="005527DC">
        <w:rPr>
          <w:rStyle w:val="Geen"/>
          <w:rFonts w:ascii="Times New Roman" w:hAnsi="Times New Roman" w:cs="Times New Roman"/>
          <w:color w:val="auto"/>
        </w:rPr>
        <w:t xml:space="preserve">7 </w:t>
      </w:r>
      <w:proofErr w:type="spellStart"/>
      <w:r w:rsidR="00730C18">
        <w:rPr>
          <w:rStyle w:val="Geen"/>
          <w:rFonts w:ascii="Times New Roman" w:hAnsi="Times New Roman" w:cs="Times New Roman"/>
          <w:color w:val="auto"/>
        </w:rPr>
        <w:t>dpf</w:t>
      </w:r>
      <w:proofErr w:type="spellEnd"/>
      <w:r w:rsidR="00730C18">
        <w:rPr>
          <w:rStyle w:val="Geen"/>
          <w:rFonts w:ascii="Times New Roman" w:hAnsi="Times New Roman" w:cs="Times New Roman"/>
          <w:color w:val="auto"/>
        </w:rPr>
        <w:t xml:space="preserve"> and survivability was checked for the duration.</w:t>
      </w:r>
      <w:r w:rsidR="005527DC">
        <w:rPr>
          <w:rStyle w:val="Geen"/>
          <w:rFonts w:ascii="Times New Roman" w:hAnsi="Times New Roman" w:cs="Times New Roman"/>
          <w:color w:val="auto"/>
        </w:rPr>
        <w:t xml:space="preserve"> </w:t>
      </w:r>
      <w:r w:rsidR="00730C18">
        <w:rPr>
          <w:rStyle w:val="Geen"/>
          <w:rFonts w:ascii="Times New Roman" w:hAnsi="Times New Roman" w:cs="Times New Roman"/>
          <w:color w:val="auto"/>
        </w:rPr>
        <w:t>Counted a</w:t>
      </w:r>
      <w:r w:rsidR="005527DC">
        <w:rPr>
          <w:rStyle w:val="Geen"/>
          <w:rFonts w:ascii="Times New Roman" w:hAnsi="Times New Roman" w:cs="Times New Roman"/>
          <w:color w:val="auto"/>
        </w:rPr>
        <w:t xml:space="preserve">nimals </w:t>
      </w:r>
      <w:r w:rsidR="00730C18">
        <w:rPr>
          <w:rStyle w:val="Geen"/>
          <w:rFonts w:ascii="Times New Roman" w:hAnsi="Times New Roman" w:cs="Times New Roman"/>
          <w:color w:val="auto"/>
        </w:rPr>
        <w:t>appeared</w:t>
      </w:r>
      <w:r w:rsidR="005527DC">
        <w:rPr>
          <w:rStyle w:val="Geen"/>
          <w:rFonts w:ascii="Times New Roman" w:hAnsi="Times New Roman" w:cs="Times New Roman"/>
          <w:color w:val="auto"/>
        </w:rPr>
        <w:t xml:space="preserve"> morphologically </w:t>
      </w:r>
      <w:r w:rsidR="00730C18">
        <w:rPr>
          <w:rStyle w:val="Geen"/>
          <w:rFonts w:ascii="Times New Roman" w:hAnsi="Times New Roman" w:cs="Times New Roman"/>
          <w:color w:val="auto"/>
        </w:rPr>
        <w:t>normal. Relative</w:t>
      </w:r>
      <w:r w:rsidR="005527DC">
        <w:rPr>
          <w:rStyle w:val="Geen"/>
          <w:rFonts w:ascii="Times New Roman" w:hAnsi="Times New Roman" w:cs="Times New Roman"/>
          <w:color w:val="auto"/>
        </w:rPr>
        <w:t xml:space="preserve"> survivability is shown in brackets. Dosages up to </w:t>
      </w:r>
      <w:r w:rsidR="00730C18">
        <w:rPr>
          <w:rStyle w:val="Geen"/>
          <w:rFonts w:ascii="Times New Roman" w:hAnsi="Times New Roman" w:cs="Times New Roman"/>
          <w:color w:val="auto"/>
        </w:rPr>
        <w:t>1</w:t>
      </w:r>
      <w:r w:rsidR="005527DC">
        <w:rPr>
          <w:rStyle w:val="Geen"/>
          <w:rFonts w:ascii="Times New Roman" w:hAnsi="Times New Roman" w:cs="Times New Roman"/>
          <w:color w:val="auto"/>
        </w:rPr>
        <w:t>0</w:t>
      </w:r>
      <w:r w:rsidR="00730C18">
        <w:rPr>
          <w:rStyle w:val="Geen"/>
          <w:rFonts w:ascii="Times New Roman" w:hAnsi="Times New Roman" w:cs="Times New Roman"/>
          <w:color w:val="auto"/>
        </w:rPr>
        <w:t>m</w:t>
      </w:r>
      <w:r w:rsidR="005527DC">
        <w:rPr>
          <w:rStyle w:val="Geen"/>
          <w:rFonts w:ascii="Times New Roman" w:hAnsi="Times New Roman" w:cs="Times New Roman"/>
          <w:color w:val="auto"/>
        </w:rPr>
        <w:t xml:space="preserve">M </w:t>
      </w:r>
      <w:r w:rsidR="00730C18">
        <w:rPr>
          <w:rStyle w:val="Geen"/>
          <w:rFonts w:ascii="Times New Roman" w:hAnsi="Times New Roman" w:cs="Times New Roman"/>
          <w:color w:val="auto"/>
        </w:rPr>
        <w:t xml:space="preserve">magnesium citrate were tolerated </w:t>
      </w:r>
      <w:r w:rsidR="006033EA">
        <w:rPr>
          <w:rStyle w:val="Geen"/>
          <w:rFonts w:ascii="Times New Roman" w:hAnsi="Times New Roman" w:cs="Times New Roman"/>
          <w:color w:val="auto"/>
        </w:rPr>
        <w:t>but</w:t>
      </w:r>
      <w:r w:rsidR="00730C18">
        <w:rPr>
          <w:rStyle w:val="Geen"/>
          <w:rFonts w:ascii="Times New Roman" w:hAnsi="Times New Roman" w:cs="Times New Roman"/>
          <w:color w:val="auto"/>
        </w:rPr>
        <w:t xml:space="preserve"> more larvae</w:t>
      </w:r>
      <w:r w:rsidR="006033EA">
        <w:rPr>
          <w:rStyle w:val="Geen"/>
          <w:rFonts w:ascii="Times New Roman" w:hAnsi="Times New Roman" w:cs="Times New Roman"/>
          <w:color w:val="auto"/>
        </w:rPr>
        <w:t xml:space="preserve"> expired</w:t>
      </w:r>
      <w:r w:rsidR="00730C18">
        <w:rPr>
          <w:rStyle w:val="Geen"/>
          <w:rFonts w:ascii="Times New Roman" w:hAnsi="Times New Roman" w:cs="Times New Roman"/>
          <w:color w:val="auto"/>
        </w:rPr>
        <w:t xml:space="preserve"> starting 20mM</w:t>
      </w:r>
      <w:r w:rsidR="006033EA">
        <w:rPr>
          <w:rStyle w:val="Geen"/>
          <w:rFonts w:ascii="Times New Roman" w:hAnsi="Times New Roman" w:cs="Times New Roman"/>
          <w:color w:val="auto"/>
        </w:rPr>
        <w:t xml:space="preserve"> with 30mM appearing to be toxic.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  <w:gridCol w:w="2358"/>
        <w:gridCol w:w="2358"/>
      </w:tblGrid>
      <w:tr w:rsidR="005527DC" w14:paraId="3D67CD8E" w14:textId="77777777" w:rsidTr="00B76DB7">
        <w:trPr>
          <w:trHeight w:hRule="exact" w:val="567"/>
        </w:trPr>
        <w:tc>
          <w:tcPr>
            <w:tcW w:w="2357" w:type="dxa"/>
            <w:vMerge w:val="restart"/>
            <w:vAlign w:val="center"/>
          </w:tcPr>
          <w:p w14:paraId="7E9F070F" w14:textId="77777777" w:rsidR="005527DC" w:rsidRPr="009E7B79" w:rsidRDefault="005527DC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B79">
              <w:rPr>
                <w:rFonts w:ascii="Times New Roman" w:hAnsi="Times New Roman" w:cs="Times New Roman"/>
                <w:b/>
                <w:i/>
              </w:rPr>
              <w:t>Abcc6a</w:t>
            </w:r>
            <w:r w:rsidRPr="009E7B79">
              <w:rPr>
                <w:rFonts w:ascii="Times New Roman" w:hAnsi="Times New Roman" w:cs="Times New Roman"/>
                <w:b/>
                <w:i/>
                <w:vertAlign w:val="superscript"/>
              </w:rPr>
              <w:t>+/+</w:t>
            </w:r>
          </w:p>
        </w:tc>
        <w:tc>
          <w:tcPr>
            <w:tcW w:w="11789" w:type="dxa"/>
            <w:gridSpan w:val="5"/>
            <w:tcBorders>
              <w:bottom w:val="nil"/>
            </w:tcBorders>
            <w:vAlign w:val="center"/>
          </w:tcPr>
          <w:p w14:paraId="35DEBF90" w14:textId="12257BDE" w:rsidR="005527DC" w:rsidRPr="009E657C" w:rsidRDefault="005527DC" w:rsidP="00730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Morphologically healthy larvae (N) during </w:t>
            </w:r>
            <w:r w:rsidR="00730C18">
              <w:rPr>
                <w:rFonts w:ascii="Times New Roman" w:hAnsi="Times New Roman" w:cs="Times New Roman"/>
                <w:b/>
              </w:rPr>
              <w:t>magnesium citrate</w:t>
            </w:r>
            <w:r w:rsidRPr="009E657C">
              <w:rPr>
                <w:rFonts w:ascii="Times New Roman" w:hAnsi="Times New Roman" w:cs="Times New Roman"/>
                <w:b/>
              </w:rPr>
              <w:t xml:space="preserve"> exposure 3-7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</w:tr>
      <w:tr w:rsidR="005527DC" w14:paraId="2C8EF25F" w14:textId="77777777" w:rsidTr="00B76DB7">
        <w:trPr>
          <w:trHeight w:hRule="exact" w:val="567"/>
        </w:trPr>
        <w:tc>
          <w:tcPr>
            <w:tcW w:w="2357" w:type="dxa"/>
            <w:vMerge/>
            <w:tcBorders>
              <w:bottom w:val="single" w:sz="4" w:space="0" w:color="auto"/>
            </w:tcBorders>
            <w:vAlign w:val="center"/>
          </w:tcPr>
          <w:p w14:paraId="52459D0C" w14:textId="77777777" w:rsidR="005527DC" w:rsidRPr="009E657C" w:rsidRDefault="005527DC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  <w:vAlign w:val="center"/>
          </w:tcPr>
          <w:p w14:paraId="53A6B4BE" w14:textId="75DFD6E6" w:rsidR="005527DC" w:rsidRPr="009E657C" w:rsidRDefault="005527DC" w:rsidP="000B1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>0</w:t>
            </w:r>
            <w:r w:rsidR="000B1DD7">
              <w:rPr>
                <w:rFonts w:ascii="Times New Roman" w:hAnsi="Times New Roman" w:cs="Times New Roman"/>
                <w:b/>
              </w:rPr>
              <w:t>m</w:t>
            </w:r>
            <w:r w:rsidRPr="009E657C">
              <w:rPr>
                <w:rFonts w:ascii="Times New Roman" w:hAnsi="Times New Roman" w:cs="Times New Roman"/>
                <w:b/>
              </w:rPr>
              <w:t>M (Controls)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3D70BFA1" w14:textId="002815B5" w:rsidR="005527DC" w:rsidRPr="009E657C" w:rsidRDefault="000B1DD7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5m</w:t>
            </w:r>
            <w:r w:rsidR="005527DC" w:rsidRPr="009E657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29745ED4" w14:textId="4573DA9D" w:rsidR="005527DC" w:rsidRPr="009E657C" w:rsidRDefault="000B1DD7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10m</w:t>
            </w:r>
            <w:r w:rsidR="005527DC" w:rsidRPr="009E657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7066AE99" w14:textId="13904CEC" w:rsidR="005527DC" w:rsidRPr="009E657C" w:rsidRDefault="000B1DD7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20m</w:t>
            </w:r>
            <w:r w:rsidR="005527DC" w:rsidRPr="009E657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2E451DA4" w14:textId="0AFB2EF2" w:rsidR="005527DC" w:rsidRPr="009E657C" w:rsidRDefault="000B1DD7" w:rsidP="000B1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30m</w:t>
            </w:r>
            <w:r w:rsidR="005527DC" w:rsidRPr="009E657C">
              <w:rPr>
                <w:rFonts w:ascii="Times New Roman" w:hAnsi="Times New Roman" w:cs="Times New Roman"/>
                <w:b/>
              </w:rPr>
              <w:t>M</w:t>
            </w:r>
          </w:p>
        </w:tc>
      </w:tr>
      <w:tr w:rsidR="006033EA" w14:paraId="1DA72BDB" w14:textId="77777777" w:rsidTr="00B76DB7">
        <w:trPr>
          <w:trHeight w:hRule="exact" w:val="567"/>
        </w:trPr>
        <w:tc>
          <w:tcPr>
            <w:tcW w:w="2357" w:type="dxa"/>
            <w:tcBorders>
              <w:bottom w:val="dotted" w:sz="4" w:space="0" w:color="000000"/>
            </w:tcBorders>
            <w:vAlign w:val="center"/>
          </w:tcPr>
          <w:p w14:paraId="02F4FF88" w14:textId="77777777" w:rsidR="006033EA" w:rsidRPr="009E657C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bottom w:val="dotted" w:sz="4" w:space="0" w:color="000000"/>
            </w:tcBorders>
            <w:vAlign w:val="center"/>
          </w:tcPr>
          <w:p w14:paraId="0BFBAFCB" w14:textId="151F00B0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bottom w:val="dotted" w:sz="4" w:space="0" w:color="000000"/>
            </w:tcBorders>
            <w:vAlign w:val="center"/>
          </w:tcPr>
          <w:p w14:paraId="5193B8BE" w14:textId="58FDFFCC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bottom w:val="dotted" w:sz="4" w:space="0" w:color="000000"/>
            </w:tcBorders>
            <w:vAlign w:val="center"/>
          </w:tcPr>
          <w:p w14:paraId="2B23321F" w14:textId="71F41D8A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bottom w:val="dotted" w:sz="4" w:space="0" w:color="000000"/>
            </w:tcBorders>
            <w:vAlign w:val="center"/>
          </w:tcPr>
          <w:p w14:paraId="0046A968" w14:textId="0F0B5462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bottom w:val="dotted" w:sz="4" w:space="0" w:color="000000"/>
            </w:tcBorders>
            <w:vAlign w:val="center"/>
          </w:tcPr>
          <w:p w14:paraId="31DD9B9A" w14:textId="7D74B344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</w:tr>
      <w:tr w:rsidR="006033EA" w14:paraId="05A3A5EF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14A284E" w14:textId="77777777" w:rsidR="006033EA" w:rsidRPr="009E657C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F91793" w14:textId="45A0E7CE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0A10B5" w14:textId="130A809F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42FD356" w14:textId="4910149E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9CB4D15" w14:textId="5EBD2F01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758D301" w14:textId="547B21AA" w:rsidR="006033EA" w:rsidRDefault="006033EA" w:rsidP="00603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(95.0%)</w:t>
            </w:r>
          </w:p>
        </w:tc>
      </w:tr>
      <w:tr w:rsidR="006033EA" w14:paraId="42EB8BFB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22169C2" w14:textId="77777777" w:rsidR="006033EA" w:rsidRPr="009E657C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6E33091" w14:textId="45478062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CACC2B" w14:textId="1A8D5985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3076EE2" w14:textId="0BAED600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F357EBC" w14:textId="2B88482D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(97.5%)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24BD9B3" w14:textId="65450547" w:rsidR="006033EA" w:rsidRDefault="006033EA" w:rsidP="00603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(87.5%)</w:t>
            </w:r>
          </w:p>
        </w:tc>
      </w:tr>
      <w:tr w:rsidR="006033EA" w14:paraId="169C671C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6601DC" w14:textId="77777777" w:rsidR="006033EA" w:rsidRPr="009E657C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162416C" w14:textId="392944F3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174804F" w14:textId="6A84456E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D6B39C0" w14:textId="3B5009F8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5937FE7" w14:textId="5A4461A1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(97.5%)</w:t>
            </w:r>
          </w:p>
        </w:tc>
        <w:tc>
          <w:tcPr>
            <w:tcW w:w="23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69E6BDA" w14:textId="24A7114C" w:rsidR="006033EA" w:rsidRDefault="006033EA" w:rsidP="00603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(75.0%)</w:t>
            </w:r>
          </w:p>
        </w:tc>
      </w:tr>
      <w:tr w:rsidR="006033EA" w14:paraId="72A8BADC" w14:textId="77777777" w:rsidTr="00B76DB7">
        <w:trPr>
          <w:trHeight w:hRule="exact" w:val="567"/>
        </w:trPr>
        <w:tc>
          <w:tcPr>
            <w:tcW w:w="2357" w:type="dxa"/>
            <w:tcBorders>
              <w:top w:val="dotted" w:sz="4" w:space="0" w:color="000000"/>
            </w:tcBorders>
            <w:vAlign w:val="center"/>
          </w:tcPr>
          <w:p w14:paraId="092C59A5" w14:textId="77777777" w:rsidR="006033EA" w:rsidRPr="009E657C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E657C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9E657C">
              <w:rPr>
                <w:rFonts w:ascii="Times New Roman" w:hAnsi="Times New Roman" w:cs="Times New Roman"/>
                <w:b/>
              </w:rPr>
              <w:t>dpf</w:t>
            </w:r>
            <w:proofErr w:type="spellEnd"/>
          </w:p>
        </w:tc>
        <w:tc>
          <w:tcPr>
            <w:tcW w:w="2357" w:type="dxa"/>
            <w:tcBorders>
              <w:top w:val="dotted" w:sz="4" w:space="0" w:color="000000"/>
            </w:tcBorders>
            <w:vAlign w:val="center"/>
          </w:tcPr>
          <w:p w14:paraId="0577B276" w14:textId="5CE39406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</w:tcBorders>
            <w:vAlign w:val="center"/>
          </w:tcPr>
          <w:p w14:paraId="5C061017" w14:textId="165EB53E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(97.5%)</w:t>
            </w:r>
          </w:p>
        </w:tc>
        <w:tc>
          <w:tcPr>
            <w:tcW w:w="2358" w:type="dxa"/>
            <w:tcBorders>
              <w:top w:val="dotted" w:sz="4" w:space="0" w:color="000000"/>
            </w:tcBorders>
            <w:vAlign w:val="center"/>
          </w:tcPr>
          <w:p w14:paraId="6FA4172C" w14:textId="452D8E52" w:rsidR="006033EA" w:rsidRDefault="006033EA" w:rsidP="000A2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(100%)</w:t>
            </w:r>
          </w:p>
        </w:tc>
        <w:tc>
          <w:tcPr>
            <w:tcW w:w="2358" w:type="dxa"/>
            <w:tcBorders>
              <w:top w:val="dotted" w:sz="4" w:space="0" w:color="000000"/>
            </w:tcBorders>
            <w:vAlign w:val="center"/>
          </w:tcPr>
          <w:p w14:paraId="0519E481" w14:textId="198A173C" w:rsidR="006033EA" w:rsidRDefault="006033EA" w:rsidP="00603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.5%)</w:t>
            </w:r>
          </w:p>
        </w:tc>
        <w:tc>
          <w:tcPr>
            <w:tcW w:w="2358" w:type="dxa"/>
            <w:tcBorders>
              <w:top w:val="dotted" w:sz="4" w:space="0" w:color="000000"/>
            </w:tcBorders>
            <w:vAlign w:val="center"/>
          </w:tcPr>
          <w:p w14:paraId="4D5FE388" w14:textId="338EC9D6" w:rsidR="006033EA" w:rsidRDefault="006033EA" w:rsidP="00603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(57.5%)</w:t>
            </w:r>
          </w:p>
        </w:tc>
      </w:tr>
    </w:tbl>
    <w:p w14:paraId="26FE5D0A" w14:textId="37F1D605" w:rsidR="00AD2D42" w:rsidRPr="008A5848" w:rsidRDefault="00AD2D42">
      <w:pPr>
        <w:rPr>
          <w:rFonts w:ascii="Times New Roman" w:hAnsi="Times New Roman" w:cs="Times New Roman"/>
        </w:rPr>
      </w:pPr>
    </w:p>
    <w:sectPr w:rsidR="00AD2D42" w:rsidRPr="008A5848" w:rsidSect="008A584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B3"/>
    <w:rsid w:val="00071108"/>
    <w:rsid w:val="000A2F0D"/>
    <w:rsid w:val="000B1DD7"/>
    <w:rsid w:val="001B7A2E"/>
    <w:rsid w:val="004B4C93"/>
    <w:rsid w:val="004C53C8"/>
    <w:rsid w:val="005527DC"/>
    <w:rsid w:val="006033EA"/>
    <w:rsid w:val="00665BE2"/>
    <w:rsid w:val="006A55D1"/>
    <w:rsid w:val="00730C18"/>
    <w:rsid w:val="008839C8"/>
    <w:rsid w:val="008A5848"/>
    <w:rsid w:val="009E657C"/>
    <w:rsid w:val="009E7B79"/>
    <w:rsid w:val="00A80D27"/>
    <w:rsid w:val="00AD2D42"/>
    <w:rsid w:val="00B014B3"/>
    <w:rsid w:val="00B76DB7"/>
    <w:rsid w:val="00D34BC2"/>
    <w:rsid w:val="00D800C9"/>
    <w:rsid w:val="00DD6A8F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E6A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A58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">
    <w:name w:val="Geen"/>
    <w:rsid w:val="008A5848"/>
  </w:style>
  <w:style w:type="table" w:customStyle="1" w:styleId="TableNormal">
    <w:name w:val="Table Normal"/>
    <w:rsid w:val="008A58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59"/>
    <w:rsid w:val="008A5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A58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">
    <w:name w:val="Geen"/>
    <w:rsid w:val="008A5848"/>
  </w:style>
  <w:style w:type="table" w:customStyle="1" w:styleId="TableNormal">
    <w:name w:val="Table Normal"/>
    <w:rsid w:val="008A58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59"/>
    <w:rsid w:val="008A5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360</Words>
  <Characters>2074</Characters>
  <Application>Microsoft Macintosh Word</Application>
  <DocSecurity>0</DocSecurity>
  <Lines>42</Lines>
  <Paragraphs>15</Paragraphs>
  <ScaleCrop>false</ScaleCrop>
  <Company>UGent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Van Gils</dc:creator>
  <cp:keywords/>
  <dc:description/>
  <cp:lastModifiedBy>Matthias Van Gils</cp:lastModifiedBy>
  <cp:revision>18</cp:revision>
  <cp:lastPrinted>2021-10-29T17:45:00Z</cp:lastPrinted>
  <dcterms:created xsi:type="dcterms:W3CDTF">2021-10-29T17:18:00Z</dcterms:created>
  <dcterms:modified xsi:type="dcterms:W3CDTF">2021-10-29T18:15:00Z</dcterms:modified>
</cp:coreProperties>
</file>