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1A481" w14:textId="46BB354A" w:rsidR="00357456" w:rsidRPr="00357456" w:rsidRDefault="00357456" w:rsidP="00357456">
      <w:pPr>
        <w:jc w:val="center"/>
        <w:rPr>
          <w:b/>
          <w:bCs/>
          <w:sz w:val="28"/>
        </w:rPr>
      </w:pPr>
      <w:r w:rsidRPr="00357456">
        <w:rPr>
          <w:rFonts w:hint="eastAsia"/>
          <w:b/>
          <w:bCs/>
          <w:sz w:val="28"/>
        </w:rPr>
        <w:t>Supplementary Figure</w:t>
      </w:r>
      <w:r w:rsidR="00511914">
        <w:rPr>
          <w:b/>
          <w:bCs/>
          <w:sz w:val="28"/>
        </w:rPr>
        <w:t>s</w:t>
      </w:r>
    </w:p>
    <w:p w14:paraId="1150BB36" w14:textId="01C888AD" w:rsidR="00357456" w:rsidRDefault="00A87737" w:rsidP="00357456">
      <w:pPr>
        <w:rPr>
          <w:b/>
          <w:bCs/>
          <w:sz w:val="21"/>
        </w:rPr>
      </w:pPr>
      <w:r>
        <w:rPr>
          <w:noProof/>
        </w:rPr>
        <w:drawing>
          <wp:inline distT="0" distB="0" distL="0" distR="0" wp14:anchorId="3F1A41C1" wp14:editId="6B7D0D57">
            <wp:extent cx="5274310" cy="7446720"/>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7446720"/>
                    </a:xfrm>
                    <a:prstGeom prst="rect">
                      <a:avLst/>
                    </a:prstGeom>
                    <a:noFill/>
                    <a:ln>
                      <a:noFill/>
                    </a:ln>
                  </pic:spPr>
                </pic:pic>
              </a:graphicData>
            </a:graphic>
          </wp:inline>
        </w:drawing>
      </w:r>
    </w:p>
    <w:p w14:paraId="612AD1FE" w14:textId="1E4C5382" w:rsidR="00357456" w:rsidRDefault="00357456" w:rsidP="00357456">
      <w:pPr>
        <w:rPr>
          <w:sz w:val="21"/>
        </w:rPr>
      </w:pPr>
      <w:r w:rsidRPr="000D7585">
        <w:rPr>
          <w:rFonts w:hint="eastAsia"/>
          <w:b/>
          <w:bCs/>
          <w:sz w:val="21"/>
        </w:rPr>
        <w:t>Supplementary Figure 1. Generation of the GTMEI gene signature and functional annotation.</w:t>
      </w:r>
      <w:r w:rsidRPr="000D7585">
        <w:rPr>
          <w:rFonts w:hint="eastAsia"/>
          <w:sz w:val="21"/>
        </w:rPr>
        <w:t xml:space="preserve"> </w:t>
      </w:r>
      <w:r w:rsidRPr="000D7585">
        <w:rPr>
          <w:rFonts w:hint="eastAsia"/>
          <w:b/>
          <w:bCs/>
          <w:sz w:val="21"/>
        </w:rPr>
        <w:t>A</w:t>
      </w:r>
      <w:r w:rsidRPr="000D7585">
        <w:rPr>
          <w:rFonts w:hint="eastAsia"/>
          <w:sz w:val="21"/>
        </w:rPr>
        <w:t xml:space="preserve"> Consensus matrix of 796 GBM samples with K=3, displaying the stability of the GTMEI clusters using 1000 iterations of hierarchical clustering. </w:t>
      </w:r>
      <w:r w:rsidRPr="000D7585">
        <w:rPr>
          <w:rFonts w:hint="eastAsia"/>
          <w:b/>
          <w:bCs/>
          <w:sz w:val="21"/>
        </w:rPr>
        <w:t xml:space="preserve">B </w:t>
      </w:r>
      <w:r w:rsidRPr="000D7585">
        <w:rPr>
          <w:rFonts w:hint="eastAsia"/>
          <w:sz w:val="21"/>
        </w:rPr>
        <w:t>Venn diagram showing the number of DEGs among the three GTMEI clusters. (</w:t>
      </w:r>
      <w:r w:rsidRPr="000D7585">
        <w:rPr>
          <w:rFonts w:hint="eastAsia"/>
          <w:b/>
          <w:bCs/>
          <w:sz w:val="21"/>
        </w:rPr>
        <w:t>C</w:t>
      </w:r>
      <w:r w:rsidRPr="000D7585">
        <w:rPr>
          <w:rFonts w:hint="eastAsia"/>
          <w:sz w:val="21"/>
        </w:rPr>
        <w:t>) Bar graph of enriched terms colored by P value and (</w:t>
      </w:r>
      <w:r w:rsidRPr="000D7585">
        <w:rPr>
          <w:rFonts w:hint="eastAsia"/>
          <w:b/>
          <w:bCs/>
          <w:sz w:val="21"/>
        </w:rPr>
        <w:t>D</w:t>
      </w:r>
      <w:r w:rsidRPr="000D7585">
        <w:rPr>
          <w:rFonts w:hint="eastAsia"/>
          <w:sz w:val="21"/>
        </w:rPr>
        <w:t xml:space="preserve">) </w:t>
      </w:r>
      <w:r w:rsidRPr="000D7585">
        <w:rPr>
          <w:rFonts w:hint="eastAsia"/>
          <w:sz w:val="21"/>
        </w:rPr>
        <w:lastRenderedPageBreak/>
        <w:t xml:space="preserve">summary of the </w:t>
      </w:r>
      <w:proofErr w:type="spellStart"/>
      <w:r w:rsidRPr="000D7585">
        <w:rPr>
          <w:rFonts w:hint="eastAsia"/>
          <w:sz w:val="21"/>
        </w:rPr>
        <w:t>PaGenBase</w:t>
      </w:r>
      <w:proofErr w:type="spellEnd"/>
      <w:r w:rsidRPr="000D7585">
        <w:rPr>
          <w:rFonts w:hint="eastAsia"/>
          <w:sz w:val="21"/>
        </w:rPr>
        <w:t xml:space="preserve"> enrichment analysis of DEGs among the three GTMEI clusters. E Bar graph of the enriched terms across the 135 most representative DEGs among the three GTMEI clusters colored by P value. </w:t>
      </w:r>
      <w:r w:rsidRPr="000D7585">
        <w:rPr>
          <w:rFonts w:hint="eastAsia"/>
          <w:b/>
          <w:bCs/>
          <w:sz w:val="21"/>
        </w:rPr>
        <w:t xml:space="preserve">F </w:t>
      </w:r>
      <w:r w:rsidRPr="000D7585">
        <w:rPr>
          <w:rFonts w:hint="eastAsia"/>
          <w:sz w:val="21"/>
        </w:rPr>
        <w:t>Consensus matrixes of the 796 GBM samples with K=3, displaying the stability of the GTMEI gene clusters using 1000 iterations of hierarchical clustering.</w:t>
      </w:r>
      <w:r w:rsidR="00A87737">
        <w:rPr>
          <w:sz w:val="21"/>
        </w:rPr>
        <w:t xml:space="preserve"> </w:t>
      </w:r>
      <w:r w:rsidR="00A87737" w:rsidRPr="00A87737">
        <w:rPr>
          <w:b/>
          <w:sz w:val="21"/>
        </w:rPr>
        <w:t>G</w:t>
      </w:r>
      <w:r w:rsidR="00A87737">
        <w:rPr>
          <w:b/>
          <w:sz w:val="21"/>
        </w:rPr>
        <w:t xml:space="preserve"> </w:t>
      </w:r>
      <w:r w:rsidR="00A87737" w:rsidRPr="000D7585">
        <w:rPr>
          <w:rFonts w:hint="eastAsia"/>
          <w:sz w:val="21"/>
        </w:rPr>
        <w:t>Consensus matrixes of the 796 GBM samples with K=</w:t>
      </w:r>
      <w:r w:rsidR="00A87737">
        <w:rPr>
          <w:sz w:val="21"/>
        </w:rPr>
        <w:t>4, 5 and 6.</w:t>
      </w:r>
    </w:p>
    <w:p w14:paraId="712C5673" w14:textId="77777777" w:rsidR="00A87737" w:rsidRPr="000D7585" w:rsidRDefault="00A87737" w:rsidP="00357456">
      <w:pPr>
        <w:rPr>
          <w:rFonts w:hint="eastAsia"/>
          <w:sz w:val="21"/>
        </w:rPr>
      </w:pPr>
      <w:bookmarkStart w:id="0" w:name="_GoBack"/>
      <w:bookmarkEnd w:id="0"/>
    </w:p>
    <w:p w14:paraId="42C6F323" w14:textId="77777777" w:rsidR="00357456" w:rsidRPr="000D7585" w:rsidRDefault="00D734EB" w:rsidP="00357456">
      <w:pPr>
        <w:rPr>
          <w:sz w:val="21"/>
        </w:rPr>
      </w:pPr>
      <w:r>
        <w:rPr>
          <w:noProof/>
        </w:rPr>
        <w:drawing>
          <wp:inline distT="0" distB="0" distL="0" distR="0" wp14:anchorId="77B4B7EB" wp14:editId="6B00A276">
            <wp:extent cx="5274310" cy="7105929"/>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105929"/>
                    </a:xfrm>
                    <a:prstGeom prst="rect">
                      <a:avLst/>
                    </a:prstGeom>
                    <a:noFill/>
                    <a:ln>
                      <a:noFill/>
                    </a:ln>
                  </pic:spPr>
                </pic:pic>
              </a:graphicData>
            </a:graphic>
          </wp:inline>
        </w:drawing>
      </w:r>
    </w:p>
    <w:p w14:paraId="656A54D6" w14:textId="77777777" w:rsidR="00357456" w:rsidRPr="000D7585" w:rsidRDefault="00357456" w:rsidP="00357456">
      <w:pPr>
        <w:rPr>
          <w:sz w:val="21"/>
        </w:rPr>
      </w:pPr>
      <w:r w:rsidRPr="000D7585">
        <w:rPr>
          <w:rFonts w:hint="eastAsia"/>
          <w:b/>
          <w:bCs/>
          <w:sz w:val="21"/>
        </w:rPr>
        <w:t xml:space="preserve">Supplementary Figure 2 Molecular subtypes tumor somatic mutations associated with the </w:t>
      </w:r>
      <w:proofErr w:type="spellStart"/>
      <w:r w:rsidRPr="000D7585">
        <w:rPr>
          <w:rFonts w:hint="eastAsia"/>
          <w:b/>
          <w:bCs/>
          <w:sz w:val="21"/>
        </w:rPr>
        <w:t>GTMEIscore</w:t>
      </w:r>
      <w:proofErr w:type="spellEnd"/>
      <w:r w:rsidRPr="000D7585">
        <w:rPr>
          <w:rFonts w:hint="eastAsia"/>
          <w:b/>
          <w:bCs/>
          <w:sz w:val="21"/>
        </w:rPr>
        <w:t xml:space="preserve">. </w:t>
      </w:r>
      <w:r w:rsidRPr="000D7585">
        <w:rPr>
          <w:rFonts w:hint="eastAsia"/>
          <w:sz w:val="21"/>
        </w:rPr>
        <w:t xml:space="preserve">Differences in the </w:t>
      </w:r>
      <w:proofErr w:type="spellStart"/>
      <w:r w:rsidRPr="000D7585">
        <w:rPr>
          <w:rFonts w:hint="eastAsia"/>
          <w:sz w:val="21"/>
        </w:rPr>
        <w:t>GTMEIscore</w:t>
      </w:r>
      <w:proofErr w:type="spellEnd"/>
      <w:r w:rsidRPr="000D7585">
        <w:rPr>
          <w:rFonts w:hint="eastAsia"/>
          <w:sz w:val="21"/>
        </w:rPr>
        <w:t xml:space="preserve"> between different GBM molecular subtypes in the </w:t>
      </w:r>
      <w:r w:rsidRPr="000D7585">
        <w:rPr>
          <w:rFonts w:hint="eastAsia"/>
          <w:sz w:val="21"/>
        </w:rPr>
        <w:lastRenderedPageBreak/>
        <w:t>(</w:t>
      </w:r>
      <w:r w:rsidRPr="000D7585">
        <w:rPr>
          <w:rFonts w:hint="eastAsia"/>
          <w:b/>
          <w:bCs/>
          <w:sz w:val="21"/>
        </w:rPr>
        <w:t>A</w:t>
      </w:r>
      <w:r w:rsidRPr="000D7585">
        <w:rPr>
          <w:rFonts w:hint="eastAsia"/>
          <w:sz w:val="21"/>
        </w:rPr>
        <w:t xml:space="preserve">) </w:t>
      </w:r>
      <w:proofErr w:type="spellStart"/>
      <w:r w:rsidRPr="000D7585">
        <w:rPr>
          <w:rFonts w:hint="eastAsia"/>
          <w:sz w:val="21"/>
        </w:rPr>
        <w:t>Gravendeel</w:t>
      </w:r>
      <w:proofErr w:type="spellEnd"/>
      <w:r w:rsidRPr="000D7585">
        <w:rPr>
          <w:rFonts w:hint="eastAsia"/>
          <w:sz w:val="21"/>
        </w:rPr>
        <w:t xml:space="preserve"> dataset and (</w:t>
      </w:r>
      <w:r w:rsidRPr="000D7585">
        <w:rPr>
          <w:rFonts w:hint="eastAsia"/>
          <w:b/>
          <w:bCs/>
          <w:sz w:val="21"/>
        </w:rPr>
        <w:t>B</w:t>
      </w:r>
      <w:r w:rsidRPr="000D7585">
        <w:rPr>
          <w:rFonts w:hint="eastAsia"/>
          <w:sz w:val="21"/>
        </w:rPr>
        <w:t xml:space="preserve">) Wang dataset. The Kruskal-Wallis test was used to determine the significance of differences between the three GBM molecular subtypes. </w:t>
      </w:r>
      <w:r w:rsidRPr="000D7585">
        <w:rPr>
          <w:rFonts w:hint="eastAsia"/>
          <w:b/>
          <w:bCs/>
          <w:sz w:val="21"/>
        </w:rPr>
        <w:t xml:space="preserve">E </w:t>
      </w:r>
      <w:r w:rsidRPr="000D7585">
        <w:rPr>
          <w:rFonts w:hint="eastAsia"/>
          <w:sz w:val="21"/>
        </w:rPr>
        <w:t xml:space="preserve">Waterfall plot of the tumor somatic mutation landscape in the low </w:t>
      </w:r>
      <w:proofErr w:type="spellStart"/>
      <w:r w:rsidRPr="000D7585">
        <w:rPr>
          <w:rFonts w:hint="eastAsia"/>
          <w:sz w:val="21"/>
        </w:rPr>
        <w:t>GTMEIscore</w:t>
      </w:r>
      <w:proofErr w:type="spellEnd"/>
      <w:r w:rsidRPr="000D7585">
        <w:rPr>
          <w:rFonts w:hint="eastAsia"/>
          <w:sz w:val="21"/>
        </w:rPr>
        <w:t xml:space="preserve"> (left) and high </w:t>
      </w:r>
      <w:proofErr w:type="spellStart"/>
      <w:r w:rsidRPr="000D7585">
        <w:rPr>
          <w:rFonts w:hint="eastAsia"/>
          <w:sz w:val="21"/>
        </w:rPr>
        <w:t>GTMEIscore</w:t>
      </w:r>
      <w:proofErr w:type="spellEnd"/>
      <w:r w:rsidRPr="000D7585">
        <w:rPr>
          <w:rFonts w:hint="eastAsia"/>
          <w:sz w:val="21"/>
        </w:rPr>
        <w:t xml:space="preserve"> (right) groups in the Wang dataset. Each bar represents the mutation information for an individual patient. The top bar plot shows TMB, and the numbers on the right indicate the mutation frequency of each gene. The bar plot on the right shows the proportion of each mutation type. GSEA with the (</w:t>
      </w:r>
      <w:r w:rsidRPr="000D7585">
        <w:rPr>
          <w:rFonts w:hint="eastAsia"/>
          <w:b/>
          <w:bCs/>
          <w:sz w:val="21"/>
        </w:rPr>
        <w:t>F</w:t>
      </w:r>
      <w:r w:rsidRPr="000D7585">
        <w:rPr>
          <w:rFonts w:hint="eastAsia"/>
          <w:sz w:val="21"/>
        </w:rPr>
        <w:t>) CORDENONSI_YAP_CONSERVED_SIGNATURE signature and (</w:t>
      </w:r>
      <w:r w:rsidRPr="000D7585">
        <w:rPr>
          <w:rFonts w:hint="eastAsia"/>
          <w:b/>
          <w:bCs/>
          <w:sz w:val="21"/>
        </w:rPr>
        <w:t>G</w:t>
      </w:r>
      <w:r w:rsidRPr="000D7585">
        <w:rPr>
          <w:rFonts w:hint="eastAsia"/>
          <w:sz w:val="21"/>
        </w:rPr>
        <w:t xml:space="preserve">) mesenchymal signature showed that GBM samples with a high </w:t>
      </w:r>
      <w:proofErr w:type="spellStart"/>
      <w:r w:rsidRPr="000D7585">
        <w:rPr>
          <w:rFonts w:hint="eastAsia"/>
          <w:sz w:val="21"/>
        </w:rPr>
        <w:t>GTMEIscore</w:t>
      </w:r>
      <w:proofErr w:type="spellEnd"/>
      <w:r w:rsidRPr="000D7585">
        <w:rPr>
          <w:rFonts w:hint="eastAsia"/>
          <w:sz w:val="21"/>
        </w:rPr>
        <w:t xml:space="preserve"> were enriched in the MES-subtype group compared to GBM samples with a low </w:t>
      </w:r>
      <w:proofErr w:type="spellStart"/>
      <w:r w:rsidRPr="000D7585">
        <w:rPr>
          <w:rFonts w:hint="eastAsia"/>
          <w:sz w:val="21"/>
        </w:rPr>
        <w:t>GTMEIscore</w:t>
      </w:r>
      <w:proofErr w:type="spellEnd"/>
      <w:r w:rsidRPr="000D7585">
        <w:rPr>
          <w:rFonts w:hint="eastAsia"/>
          <w:sz w:val="21"/>
        </w:rPr>
        <w:t xml:space="preserve"> group. NES, normalized enrichment score; FDR, false discovery rate.</w:t>
      </w:r>
    </w:p>
    <w:p w14:paraId="3B458EC1" w14:textId="77777777" w:rsidR="00357456" w:rsidRDefault="00D734EB" w:rsidP="00357456">
      <w:pPr>
        <w:rPr>
          <w:sz w:val="21"/>
        </w:rPr>
      </w:pPr>
      <w:r>
        <w:rPr>
          <w:noProof/>
        </w:rPr>
        <w:drawing>
          <wp:inline distT="0" distB="0" distL="0" distR="0" wp14:anchorId="12657EE2" wp14:editId="5AC15ADF">
            <wp:extent cx="5274310" cy="502983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029835"/>
                    </a:xfrm>
                    <a:prstGeom prst="rect">
                      <a:avLst/>
                    </a:prstGeom>
                    <a:noFill/>
                    <a:ln>
                      <a:noFill/>
                    </a:ln>
                  </pic:spPr>
                </pic:pic>
              </a:graphicData>
            </a:graphic>
          </wp:inline>
        </w:drawing>
      </w:r>
    </w:p>
    <w:p w14:paraId="76824300" w14:textId="77777777" w:rsidR="00357456" w:rsidRPr="000D7585" w:rsidRDefault="00357456" w:rsidP="00357456">
      <w:pPr>
        <w:rPr>
          <w:sz w:val="21"/>
        </w:rPr>
      </w:pPr>
      <w:r w:rsidRPr="000D7585">
        <w:rPr>
          <w:rFonts w:hint="eastAsia"/>
          <w:b/>
          <w:bCs/>
          <w:sz w:val="21"/>
        </w:rPr>
        <w:t xml:space="preserve">Supplementary Figure 3 Correlation between the </w:t>
      </w:r>
      <w:proofErr w:type="spellStart"/>
      <w:r w:rsidRPr="000D7585">
        <w:rPr>
          <w:rFonts w:hint="eastAsia"/>
          <w:b/>
          <w:bCs/>
          <w:sz w:val="21"/>
        </w:rPr>
        <w:t>GTMEIscore</w:t>
      </w:r>
      <w:proofErr w:type="spellEnd"/>
      <w:r w:rsidRPr="000D7585">
        <w:rPr>
          <w:rFonts w:hint="eastAsia"/>
          <w:b/>
          <w:bCs/>
          <w:sz w:val="21"/>
        </w:rPr>
        <w:t xml:space="preserve"> and proteomic characteristics. A </w:t>
      </w:r>
      <w:r w:rsidRPr="000D7585">
        <w:rPr>
          <w:rFonts w:hint="eastAsia"/>
          <w:sz w:val="21"/>
        </w:rPr>
        <w:t xml:space="preserve">Bar graph of enriched terms across proteins with a significant positive association with the </w:t>
      </w:r>
      <w:proofErr w:type="spellStart"/>
      <w:r w:rsidRPr="000D7585">
        <w:rPr>
          <w:rFonts w:hint="eastAsia"/>
          <w:sz w:val="21"/>
        </w:rPr>
        <w:t>GTMEIscore</w:t>
      </w:r>
      <w:proofErr w:type="spellEnd"/>
      <w:r w:rsidRPr="000D7585">
        <w:rPr>
          <w:rFonts w:hint="eastAsia"/>
          <w:sz w:val="21"/>
        </w:rPr>
        <w:t xml:space="preserve"> colored by P value. </w:t>
      </w:r>
      <w:r w:rsidRPr="000D7585">
        <w:rPr>
          <w:rFonts w:hint="eastAsia"/>
          <w:b/>
          <w:bCs/>
          <w:sz w:val="21"/>
        </w:rPr>
        <w:t xml:space="preserve">B </w:t>
      </w:r>
      <w:r w:rsidRPr="000D7585">
        <w:rPr>
          <w:rFonts w:hint="eastAsia"/>
          <w:sz w:val="21"/>
        </w:rPr>
        <w:t xml:space="preserve">Forest plot showing proteins with prognostic significance. An HR &gt; 1.0 indicates that the protein is a prognostic risk biomarker. </w:t>
      </w:r>
      <w:r w:rsidRPr="000D7585">
        <w:rPr>
          <w:rFonts w:hint="eastAsia"/>
          <w:b/>
          <w:bCs/>
          <w:sz w:val="21"/>
        </w:rPr>
        <w:t xml:space="preserve">C </w:t>
      </w:r>
      <w:r w:rsidRPr="000D7585">
        <w:rPr>
          <w:rFonts w:hint="eastAsia"/>
          <w:sz w:val="21"/>
        </w:rPr>
        <w:t>Heatmap showing the protein expression of genes upregulated in the nmf2-subtype group in the Wang dataset.</w:t>
      </w:r>
    </w:p>
    <w:p w14:paraId="7E513C60" w14:textId="19ED421D" w:rsidR="00357456" w:rsidRDefault="00606353" w:rsidP="00357456">
      <w:pPr>
        <w:rPr>
          <w:sz w:val="21"/>
        </w:rPr>
      </w:pPr>
      <w:r>
        <w:rPr>
          <w:noProof/>
        </w:rPr>
        <w:lastRenderedPageBreak/>
        <w:drawing>
          <wp:inline distT="0" distB="0" distL="0" distR="0" wp14:anchorId="6A39DB98" wp14:editId="3B6AD4AB">
            <wp:extent cx="5274310" cy="60598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059805"/>
                    </a:xfrm>
                    <a:prstGeom prst="rect">
                      <a:avLst/>
                    </a:prstGeom>
                    <a:noFill/>
                    <a:ln>
                      <a:noFill/>
                    </a:ln>
                  </pic:spPr>
                </pic:pic>
              </a:graphicData>
            </a:graphic>
          </wp:inline>
        </w:drawing>
      </w:r>
    </w:p>
    <w:p w14:paraId="0D8625F1" w14:textId="77777777" w:rsidR="00357456" w:rsidRPr="000D7585" w:rsidRDefault="00357456" w:rsidP="00357456">
      <w:pPr>
        <w:rPr>
          <w:sz w:val="21"/>
        </w:rPr>
      </w:pPr>
      <w:r w:rsidRPr="000D7585">
        <w:rPr>
          <w:rFonts w:hint="eastAsia"/>
          <w:b/>
          <w:bCs/>
          <w:sz w:val="21"/>
        </w:rPr>
        <w:t xml:space="preserve">Supplementary Figure 4 Correlation between the </w:t>
      </w:r>
      <w:proofErr w:type="spellStart"/>
      <w:r w:rsidRPr="000D7585">
        <w:rPr>
          <w:rFonts w:hint="eastAsia"/>
          <w:b/>
          <w:bCs/>
          <w:sz w:val="21"/>
        </w:rPr>
        <w:t>GTMEIscore</w:t>
      </w:r>
      <w:proofErr w:type="spellEnd"/>
      <w:r w:rsidRPr="000D7585">
        <w:rPr>
          <w:rFonts w:hint="eastAsia"/>
          <w:b/>
          <w:bCs/>
          <w:sz w:val="21"/>
        </w:rPr>
        <w:t xml:space="preserve"> and protein phosphorylation and acetylation. A </w:t>
      </w:r>
      <w:r w:rsidRPr="000D7585">
        <w:rPr>
          <w:rFonts w:hint="eastAsia"/>
          <w:sz w:val="21"/>
        </w:rPr>
        <w:t xml:space="preserve">Bar graph of enrichment terms for proteins with significantly downregulated phosphorylation levels in the high </w:t>
      </w:r>
      <w:proofErr w:type="spellStart"/>
      <w:r w:rsidRPr="000D7585">
        <w:rPr>
          <w:rFonts w:hint="eastAsia"/>
          <w:sz w:val="21"/>
        </w:rPr>
        <w:t>GTMEIscore</w:t>
      </w:r>
      <w:proofErr w:type="spellEnd"/>
      <w:r w:rsidRPr="000D7585">
        <w:rPr>
          <w:rFonts w:hint="eastAsia"/>
          <w:sz w:val="21"/>
        </w:rPr>
        <w:t xml:space="preserve"> group colored by P value. </w:t>
      </w:r>
      <w:r w:rsidRPr="000D7585">
        <w:rPr>
          <w:rFonts w:hint="eastAsia"/>
          <w:b/>
          <w:bCs/>
          <w:sz w:val="21"/>
        </w:rPr>
        <w:t xml:space="preserve">B </w:t>
      </w:r>
      <w:r w:rsidRPr="000D7585">
        <w:rPr>
          <w:rFonts w:hint="eastAsia"/>
          <w:sz w:val="21"/>
        </w:rPr>
        <w:t xml:space="preserve">Heatmap showing the expression of EGFR protein and its downstream protein phosphorylation sites. </w:t>
      </w:r>
      <w:r w:rsidRPr="000D7585">
        <w:rPr>
          <w:rFonts w:hint="eastAsia"/>
          <w:b/>
          <w:bCs/>
          <w:sz w:val="21"/>
        </w:rPr>
        <w:t xml:space="preserve">C </w:t>
      </w:r>
      <w:r w:rsidRPr="000D7585">
        <w:rPr>
          <w:rFonts w:hint="eastAsia"/>
          <w:sz w:val="21"/>
        </w:rPr>
        <w:t xml:space="preserve">KEGG and GO BP enrichment analysis of proteins with significantly different acetylation levels. </w:t>
      </w:r>
      <w:r w:rsidRPr="000D7585">
        <w:rPr>
          <w:rFonts w:hint="eastAsia"/>
          <w:b/>
          <w:bCs/>
          <w:sz w:val="21"/>
        </w:rPr>
        <w:t>D</w:t>
      </w:r>
      <w:r w:rsidRPr="000D7585">
        <w:rPr>
          <w:rFonts w:hint="eastAsia"/>
          <w:sz w:val="21"/>
        </w:rPr>
        <w:t xml:space="preserve"> Kaplan-Meier curves for the OS of Wang dataset GBM patients with (</w:t>
      </w:r>
      <w:r w:rsidRPr="000D7585">
        <w:rPr>
          <w:rFonts w:hint="eastAsia"/>
          <w:b/>
          <w:bCs/>
          <w:sz w:val="21"/>
        </w:rPr>
        <w:t>left</w:t>
      </w:r>
      <w:r w:rsidRPr="000D7585">
        <w:rPr>
          <w:rFonts w:hint="eastAsia"/>
          <w:sz w:val="21"/>
        </w:rPr>
        <w:t>) high CREBBP and low CREBBP expression (log-rank test P = 0.005), (</w:t>
      </w:r>
      <w:r w:rsidRPr="000D7585">
        <w:rPr>
          <w:rFonts w:hint="eastAsia"/>
          <w:b/>
          <w:bCs/>
          <w:sz w:val="21"/>
        </w:rPr>
        <w:t>Middle</w:t>
      </w:r>
      <w:r w:rsidRPr="000D7585">
        <w:rPr>
          <w:rFonts w:hint="eastAsia"/>
          <w:sz w:val="21"/>
        </w:rPr>
        <w:t>) high BRD3 and low BRD3 expression (log-rank test P = 0.028), and (</w:t>
      </w:r>
      <w:r w:rsidRPr="000D7585">
        <w:rPr>
          <w:rFonts w:hint="eastAsia"/>
          <w:b/>
          <w:bCs/>
          <w:sz w:val="21"/>
        </w:rPr>
        <w:t>right</w:t>
      </w:r>
      <w:r w:rsidRPr="000D7585">
        <w:rPr>
          <w:rFonts w:hint="eastAsia"/>
          <w:sz w:val="21"/>
        </w:rPr>
        <w:t>) high HDAC10 and low HDAC10 expression (log-rank test P = 0.021).</w:t>
      </w:r>
    </w:p>
    <w:p w14:paraId="6E6A33CA" w14:textId="77777777" w:rsidR="00357456" w:rsidRPr="000D7585" w:rsidRDefault="00D734EB" w:rsidP="00357456">
      <w:pPr>
        <w:rPr>
          <w:sz w:val="21"/>
        </w:rPr>
      </w:pPr>
      <w:r>
        <w:rPr>
          <w:noProof/>
        </w:rPr>
        <w:lastRenderedPageBreak/>
        <w:drawing>
          <wp:inline distT="0" distB="0" distL="0" distR="0" wp14:anchorId="58795A69" wp14:editId="428E5EC3">
            <wp:extent cx="5274310" cy="6129517"/>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6129517"/>
                    </a:xfrm>
                    <a:prstGeom prst="rect">
                      <a:avLst/>
                    </a:prstGeom>
                    <a:noFill/>
                    <a:ln>
                      <a:noFill/>
                    </a:ln>
                  </pic:spPr>
                </pic:pic>
              </a:graphicData>
            </a:graphic>
          </wp:inline>
        </w:drawing>
      </w:r>
    </w:p>
    <w:p w14:paraId="7B51B0C9" w14:textId="7CAC36DE" w:rsidR="00276D77" w:rsidRDefault="00357456" w:rsidP="00357456">
      <w:pPr>
        <w:rPr>
          <w:sz w:val="21"/>
        </w:rPr>
      </w:pPr>
      <w:r w:rsidRPr="000D7585">
        <w:rPr>
          <w:rFonts w:hint="eastAsia"/>
          <w:b/>
          <w:bCs/>
          <w:sz w:val="21"/>
        </w:rPr>
        <w:t xml:space="preserve">Supplementary Figure 5 Correlation between the </w:t>
      </w:r>
      <w:proofErr w:type="spellStart"/>
      <w:r w:rsidRPr="000D7585">
        <w:rPr>
          <w:rFonts w:hint="eastAsia"/>
          <w:b/>
          <w:bCs/>
          <w:sz w:val="21"/>
        </w:rPr>
        <w:t>GTMEIscore</w:t>
      </w:r>
      <w:proofErr w:type="spellEnd"/>
      <w:r w:rsidRPr="000D7585">
        <w:rPr>
          <w:rFonts w:hint="eastAsia"/>
          <w:b/>
          <w:bCs/>
          <w:sz w:val="21"/>
        </w:rPr>
        <w:t xml:space="preserve"> and metabolomic and lipidomic characteristics. A </w:t>
      </w:r>
      <w:r w:rsidRPr="000D7585">
        <w:rPr>
          <w:rFonts w:hint="eastAsia"/>
          <w:sz w:val="21"/>
        </w:rPr>
        <w:t>Kaplan-Meier curves for the OS of Wang dataset GBM patients with (</w:t>
      </w:r>
      <w:r w:rsidRPr="000D7585">
        <w:rPr>
          <w:rFonts w:hint="eastAsia"/>
          <w:b/>
          <w:bCs/>
          <w:sz w:val="21"/>
        </w:rPr>
        <w:t>left</w:t>
      </w:r>
      <w:r w:rsidRPr="000D7585">
        <w:rPr>
          <w:rFonts w:hint="eastAsia"/>
          <w:sz w:val="21"/>
        </w:rPr>
        <w:t>) high L-leucine and low L-leucine levels (log-rank test P = 0.002) and (</w:t>
      </w:r>
      <w:r w:rsidRPr="000D7585">
        <w:rPr>
          <w:rFonts w:hint="eastAsia"/>
          <w:b/>
          <w:bCs/>
          <w:sz w:val="21"/>
        </w:rPr>
        <w:t>right</w:t>
      </w:r>
      <w:r w:rsidRPr="000D7585">
        <w:rPr>
          <w:rFonts w:hint="eastAsia"/>
          <w:sz w:val="21"/>
        </w:rPr>
        <w:t xml:space="preserve">) high DL-2-aminoadipic acid (spectral match) and low DL-2-aminoadipic acid (spectral match) levels (log-rank test P = 0.030). </w:t>
      </w:r>
      <w:r w:rsidRPr="000D7585">
        <w:rPr>
          <w:rFonts w:hint="eastAsia"/>
          <w:b/>
          <w:bCs/>
          <w:sz w:val="21"/>
        </w:rPr>
        <w:t xml:space="preserve">B </w:t>
      </w:r>
      <w:r w:rsidRPr="000D7585">
        <w:rPr>
          <w:rFonts w:hint="eastAsia"/>
          <w:sz w:val="21"/>
        </w:rPr>
        <w:t xml:space="preserve">Spearman analysis of the correlation of the </w:t>
      </w:r>
      <w:proofErr w:type="spellStart"/>
      <w:r w:rsidRPr="000D7585">
        <w:rPr>
          <w:rFonts w:hint="eastAsia"/>
          <w:sz w:val="21"/>
        </w:rPr>
        <w:t>GTMEIscore</w:t>
      </w:r>
      <w:proofErr w:type="spellEnd"/>
      <w:r w:rsidRPr="000D7585">
        <w:rPr>
          <w:rFonts w:hint="eastAsia"/>
          <w:sz w:val="21"/>
        </w:rPr>
        <w:t xml:space="preserve"> with 29 metabolic regulatory genes associated with GBM prognosis. Colors indicate correlation coefficients, with yellow indicating a negative correlation and red indicating a positive correlation. Asterisks indicate statistically significant P values calculated using Spearman correlation analysis. *P &lt; 0.05; **P &lt; 0.01; ***P &lt; 0.001. </w:t>
      </w:r>
      <w:r w:rsidRPr="000D7585">
        <w:rPr>
          <w:rFonts w:hint="eastAsia"/>
          <w:b/>
          <w:bCs/>
          <w:sz w:val="21"/>
        </w:rPr>
        <w:t>C</w:t>
      </w:r>
      <w:r w:rsidRPr="000D7585">
        <w:rPr>
          <w:rFonts w:hint="eastAsia"/>
          <w:sz w:val="21"/>
        </w:rPr>
        <w:t xml:space="preserve"> Kaplan-Meier curves of the OS of GBM patients based on their protein levels of six genes, ALDH3A1, PSME1, RUFY1, CHD9, PON1 and PON3l, in the Wang dataset.</w:t>
      </w:r>
    </w:p>
    <w:p w14:paraId="75C1D091" w14:textId="77777777" w:rsidR="00276D77" w:rsidRDefault="00276D77">
      <w:pPr>
        <w:widowControl/>
        <w:jc w:val="left"/>
        <w:rPr>
          <w:sz w:val="21"/>
        </w:rPr>
      </w:pPr>
      <w:r>
        <w:rPr>
          <w:sz w:val="21"/>
        </w:rPr>
        <w:br w:type="page"/>
      </w:r>
    </w:p>
    <w:p w14:paraId="51BDE2A2" w14:textId="5978582E" w:rsidR="00276D77" w:rsidRDefault="00276D77" w:rsidP="00276D77">
      <w:pPr>
        <w:widowControl/>
        <w:jc w:val="center"/>
        <w:rPr>
          <w:sz w:val="21"/>
        </w:rPr>
      </w:pPr>
      <w:r>
        <w:rPr>
          <w:noProof/>
        </w:rPr>
        <w:lastRenderedPageBreak/>
        <w:drawing>
          <wp:inline distT="0" distB="0" distL="0" distR="0" wp14:anchorId="1A362107" wp14:editId="3F04191C">
            <wp:extent cx="5274310" cy="6650684"/>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650684"/>
                    </a:xfrm>
                    <a:prstGeom prst="rect">
                      <a:avLst/>
                    </a:prstGeom>
                    <a:noFill/>
                    <a:ln>
                      <a:noFill/>
                    </a:ln>
                  </pic:spPr>
                </pic:pic>
              </a:graphicData>
            </a:graphic>
          </wp:inline>
        </w:drawing>
      </w:r>
    </w:p>
    <w:p w14:paraId="57168EA9" w14:textId="74FA1BAF" w:rsidR="00357456" w:rsidRPr="00276D77" w:rsidRDefault="00276D77" w:rsidP="00357456">
      <w:pPr>
        <w:rPr>
          <w:sz w:val="21"/>
        </w:rPr>
      </w:pPr>
      <w:r w:rsidRPr="000D7585">
        <w:rPr>
          <w:rFonts w:hint="eastAsia"/>
          <w:b/>
          <w:bCs/>
          <w:sz w:val="21"/>
        </w:rPr>
        <w:t xml:space="preserve">Supplementary Figure </w:t>
      </w:r>
      <w:r>
        <w:rPr>
          <w:b/>
          <w:bCs/>
          <w:sz w:val="21"/>
        </w:rPr>
        <w:t>6</w:t>
      </w:r>
      <w:r w:rsidRPr="000D7585">
        <w:rPr>
          <w:rFonts w:hint="eastAsia"/>
          <w:b/>
          <w:bCs/>
          <w:sz w:val="21"/>
        </w:rPr>
        <w:t xml:space="preserve"> </w:t>
      </w:r>
      <w:r w:rsidR="00D923DF" w:rsidRPr="00D923DF">
        <w:rPr>
          <w:b/>
          <w:bCs/>
          <w:sz w:val="21"/>
        </w:rPr>
        <w:t xml:space="preserve">Differences in the </w:t>
      </w:r>
      <w:proofErr w:type="spellStart"/>
      <w:r w:rsidR="00D923DF" w:rsidRPr="00D923DF">
        <w:rPr>
          <w:b/>
          <w:bCs/>
          <w:sz w:val="21"/>
        </w:rPr>
        <w:t>GTMEIscore</w:t>
      </w:r>
      <w:proofErr w:type="spellEnd"/>
      <w:r w:rsidR="00D923DF" w:rsidRPr="00D923DF">
        <w:rPr>
          <w:b/>
          <w:bCs/>
          <w:sz w:val="21"/>
        </w:rPr>
        <w:t xml:space="preserve"> between different immune subtypes</w:t>
      </w:r>
      <w:r w:rsidRPr="000D7585">
        <w:rPr>
          <w:b/>
          <w:bCs/>
          <w:sz w:val="21"/>
        </w:rPr>
        <w:t>.</w:t>
      </w:r>
      <w:r w:rsidR="00D923DF">
        <w:rPr>
          <w:b/>
          <w:bCs/>
          <w:sz w:val="21"/>
        </w:rPr>
        <w:t xml:space="preserve"> A </w:t>
      </w:r>
      <w:r w:rsidR="00D923DF" w:rsidRPr="005A78FB">
        <w:rPr>
          <w:rFonts w:hint="eastAsia"/>
          <w:sz w:val="21"/>
        </w:rPr>
        <w:t xml:space="preserve">Heatmap and table of the distribution of </w:t>
      </w:r>
      <w:r w:rsidR="00A17862">
        <w:rPr>
          <w:sz w:val="21"/>
        </w:rPr>
        <w:t>six</w:t>
      </w:r>
      <w:r w:rsidR="00D923DF" w:rsidRPr="005A78FB">
        <w:rPr>
          <w:rFonts w:hint="eastAsia"/>
          <w:sz w:val="21"/>
        </w:rPr>
        <w:t xml:space="preserve"> immune molecular subtypes between the high and low </w:t>
      </w:r>
      <w:proofErr w:type="spellStart"/>
      <w:r w:rsidR="00D923DF" w:rsidRPr="005A78FB">
        <w:rPr>
          <w:rFonts w:hint="eastAsia"/>
          <w:sz w:val="21"/>
        </w:rPr>
        <w:t>GTMEIscore</w:t>
      </w:r>
      <w:proofErr w:type="spellEnd"/>
      <w:r w:rsidR="00D923DF" w:rsidRPr="005A78FB">
        <w:rPr>
          <w:rFonts w:hint="eastAsia"/>
          <w:sz w:val="21"/>
        </w:rPr>
        <w:t xml:space="preserve"> groups, chi-square test showed P=0.001.</w:t>
      </w:r>
      <w:r w:rsidR="00D923DF">
        <w:rPr>
          <w:sz w:val="21"/>
        </w:rPr>
        <w:t xml:space="preserve"> </w:t>
      </w:r>
      <w:r w:rsidR="00D923DF" w:rsidRPr="00D923DF">
        <w:rPr>
          <w:b/>
          <w:sz w:val="21"/>
        </w:rPr>
        <w:t>B</w:t>
      </w:r>
      <w:r w:rsidR="00D923DF">
        <w:rPr>
          <w:b/>
          <w:sz w:val="21"/>
        </w:rPr>
        <w:t xml:space="preserve"> </w:t>
      </w:r>
      <w:r w:rsidR="00D923DF" w:rsidRPr="000D7585">
        <w:rPr>
          <w:rFonts w:hint="eastAsia"/>
          <w:sz w:val="21"/>
        </w:rPr>
        <w:t xml:space="preserve">Consensus matrix of </w:t>
      </w:r>
      <w:r w:rsidR="00D923DF">
        <w:rPr>
          <w:sz w:val="21"/>
        </w:rPr>
        <w:t>TCGA pan-cancer</w:t>
      </w:r>
      <w:r w:rsidR="00D923DF" w:rsidRPr="000D7585">
        <w:rPr>
          <w:rFonts w:hint="eastAsia"/>
          <w:sz w:val="21"/>
        </w:rPr>
        <w:t xml:space="preserve"> samples with K=3, displaying the stability of the </w:t>
      </w:r>
      <w:r w:rsidR="00D923DF">
        <w:rPr>
          <w:sz w:val="21"/>
        </w:rPr>
        <w:t>subtypes</w:t>
      </w:r>
      <w:r w:rsidR="00D923DF" w:rsidRPr="000D7585">
        <w:rPr>
          <w:rFonts w:hint="eastAsia"/>
          <w:sz w:val="21"/>
        </w:rPr>
        <w:t xml:space="preserve"> using 1000 iterations of hierarchical clustering.</w:t>
      </w:r>
      <w:r w:rsidR="00207F60">
        <w:rPr>
          <w:sz w:val="21"/>
        </w:rPr>
        <w:t xml:space="preserve"> </w:t>
      </w:r>
      <w:r w:rsidR="00207F60" w:rsidRPr="00207F60">
        <w:rPr>
          <w:b/>
          <w:sz w:val="21"/>
        </w:rPr>
        <w:t>C</w:t>
      </w:r>
      <w:r w:rsidR="0044528B">
        <w:rPr>
          <w:b/>
          <w:sz w:val="21"/>
        </w:rPr>
        <w:t xml:space="preserve"> </w:t>
      </w:r>
      <w:r w:rsidR="0044528B" w:rsidRPr="005A78FB">
        <w:rPr>
          <w:rFonts w:hint="eastAsia"/>
          <w:sz w:val="21"/>
        </w:rPr>
        <w:t>Unsupervised clustering of 2</w:t>
      </w:r>
      <w:r w:rsidR="0044528B">
        <w:rPr>
          <w:sz w:val="21"/>
        </w:rPr>
        <w:t>3</w:t>
      </w:r>
      <w:r w:rsidR="0044528B" w:rsidRPr="005A78FB">
        <w:rPr>
          <w:rFonts w:hint="eastAsia"/>
          <w:sz w:val="21"/>
        </w:rPr>
        <w:t xml:space="preserve"> immune cell types in </w:t>
      </w:r>
      <w:r w:rsidR="0044528B">
        <w:rPr>
          <w:sz w:val="21"/>
        </w:rPr>
        <w:t>TCGA pan-cancer samples</w:t>
      </w:r>
      <w:r w:rsidR="0044528B" w:rsidRPr="005A78FB">
        <w:rPr>
          <w:rFonts w:hint="eastAsia"/>
          <w:sz w:val="21"/>
        </w:rPr>
        <w:t xml:space="preserve">. A heatmap was used to visualize immune cell infiltration. </w:t>
      </w:r>
      <w:r w:rsidR="0044528B">
        <w:rPr>
          <w:sz w:val="21"/>
        </w:rPr>
        <w:t>Red</w:t>
      </w:r>
      <w:r w:rsidR="0044528B" w:rsidRPr="005A78FB">
        <w:rPr>
          <w:rFonts w:hint="eastAsia"/>
          <w:sz w:val="21"/>
        </w:rPr>
        <w:t xml:space="preserve"> represents high immune cell abundance, </w:t>
      </w:r>
      <w:r w:rsidR="0044528B">
        <w:rPr>
          <w:sz w:val="21"/>
        </w:rPr>
        <w:t>white</w:t>
      </w:r>
      <w:r w:rsidR="0044528B" w:rsidRPr="005A78FB">
        <w:rPr>
          <w:rFonts w:hint="eastAsia"/>
          <w:sz w:val="21"/>
        </w:rPr>
        <w:t xml:space="preserve"> represents moderate immune cell abundance, and blue represents low immune cell abundance.</w:t>
      </w:r>
    </w:p>
    <w:p w14:paraId="07F7F826" w14:textId="77777777" w:rsidR="00357456" w:rsidRPr="000D7585" w:rsidRDefault="00D734EB" w:rsidP="00357456">
      <w:pPr>
        <w:rPr>
          <w:sz w:val="21"/>
        </w:rPr>
      </w:pPr>
      <w:r>
        <w:rPr>
          <w:noProof/>
        </w:rPr>
        <w:lastRenderedPageBreak/>
        <w:drawing>
          <wp:inline distT="0" distB="0" distL="0" distR="0" wp14:anchorId="6AD638E7" wp14:editId="3751DC7F">
            <wp:extent cx="5274310" cy="51867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5186711"/>
                    </a:xfrm>
                    <a:prstGeom prst="rect">
                      <a:avLst/>
                    </a:prstGeom>
                    <a:noFill/>
                    <a:ln>
                      <a:noFill/>
                    </a:ln>
                  </pic:spPr>
                </pic:pic>
              </a:graphicData>
            </a:graphic>
          </wp:inline>
        </w:drawing>
      </w:r>
    </w:p>
    <w:p w14:paraId="4EF77749" w14:textId="1E69ACBC" w:rsidR="00357456" w:rsidRPr="000D7585" w:rsidRDefault="00357456" w:rsidP="00357456">
      <w:pPr>
        <w:rPr>
          <w:sz w:val="21"/>
        </w:rPr>
      </w:pPr>
      <w:r w:rsidRPr="000D7585">
        <w:rPr>
          <w:rFonts w:hint="eastAsia"/>
          <w:b/>
          <w:bCs/>
          <w:sz w:val="21"/>
        </w:rPr>
        <w:t xml:space="preserve">Supplementary Figure </w:t>
      </w:r>
      <w:r w:rsidR="00276D77">
        <w:rPr>
          <w:b/>
          <w:bCs/>
          <w:sz w:val="21"/>
        </w:rPr>
        <w:t>7</w:t>
      </w:r>
      <w:r w:rsidRPr="000D7585">
        <w:rPr>
          <w:rFonts w:hint="eastAsia"/>
          <w:b/>
          <w:bCs/>
          <w:sz w:val="21"/>
        </w:rPr>
        <w:t xml:space="preserve"> </w:t>
      </w:r>
      <w:r w:rsidRPr="000D7585">
        <w:rPr>
          <w:b/>
          <w:bCs/>
          <w:sz w:val="21"/>
        </w:rPr>
        <w:t xml:space="preserve">Pan-cancer and cancer-specific Kaplan–Meier survival curves of tumor patients between </w:t>
      </w:r>
      <w:proofErr w:type="spellStart"/>
      <w:r w:rsidRPr="000D7585">
        <w:rPr>
          <w:b/>
          <w:bCs/>
          <w:sz w:val="21"/>
        </w:rPr>
        <w:t>TISIhigh</w:t>
      </w:r>
      <w:proofErr w:type="spellEnd"/>
      <w:r w:rsidRPr="000D7585">
        <w:rPr>
          <w:b/>
          <w:bCs/>
          <w:sz w:val="21"/>
        </w:rPr>
        <w:t xml:space="preserve"> and </w:t>
      </w:r>
      <w:proofErr w:type="spellStart"/>
      <w:r w:rsidRPr="000D7585">
        <w:rPr>
          <w:b/>
          <w:bCs/>
          <w:sz w:val="21"/>
        </w:rPr>
        <w:t>TISIlow</w:t>
      </w:r>
      <w:proofErr w:type="spellEnd"/>
      <w:r w:rsidRPr="000D7585">
        <w:rPr>
          <w:b/>
          <w:bCs/>
          <w:sz w:val="21"/>
        </w:rPr>
        <w:t xml:space="preserve"> groups. The P-value was calculated by the log-rank test. </w:t>
      </w:r>
    </w:p>
    <w:p w14:paraId="06A80F2E" w14:textId="77777777" w:rsidR="00357456" w:rsidRDefault="00F94DD0" w:rsidP="00357456">
      <w:pPr>
        <w:rPr>
          <w:sz w:val="21"/>
        </w:rPr>
      </w:pPr>
      <w:r>
        <w:rPr>
          <w:noProof/>
        </w:rPr>
        <w:drawing>
          <wp:inline distT="0" distB="0" distL="0" distR="0" wp14:anchorId="5A84C13D" wp14:editId="3E3EC85B">
            <wp:extent cx="5273686" cy="283210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3637"/>
                    <a:stretch/>
                  </pic:blipFill>
                  <pic:spPr bwMode="auto">
                    <a:xfrm>
                      <a:off x="0" y="0"/>
                      <a:ext cx="5274310" cy="2832435"/>
                    </a:xfrm>
                    <a:prstGeom prst="rect">
                      <a:avLst/>
                    </a:prstGeom>
                    <a:noFill/>
                    <a:ln>
                      <a:noFill/>
                    </a:ln>
                    <a:extLst>
                      <a:ext uri="{53640926-AAD7-44D8-BBD7-CCE9431645EC}">
                        <a14:shadowObscured xmlns:a14="http://schemas.microsoft.com/office/drawing/2010/main"/>
                      </a:ext>
                    </a:extLst>
                  </pic:spPr>
                </pic:pic>
              </a:graphicData>
            </a:graphic>
          </wp:inline>
        </w:drawing>
      </w:r>
    </w:p>
    <w:p w14:paraId="785AFB26" w14:textId="4695441F" w:rsidR="00357456" w:rsidRPr="000D7585" w:rsidRDefault="00357456" w:rsidP="00357456">
      <w:pPr>
        <w:rPr>
          <w:sz w:val="21"/>
        </w:rPr>
      </w:pPr>
      <w:r w:rsidRPr="000D7585">
        <w:rPr>
          <w:rFonts w:hint="eastAsia"/>
          <w:b/>
          <w:bCs/>
          <w:sz w:val="21"/>
        </w:rPr>
        <w:lastRenderedPageBreak/>
        <w:t xml:space="preserve">Supplementary Figure </w:t>
      </w:r>
      <w:r w:rsidR="00276D77">
        <w:rPr>
          <w:b/>
          <w:bCs/>
          <w:sz w:val="21"/>
        </w:rPr>
        <w:t>8</w:t>
      </w:r>
      <w:r w:rsidRPr="000D7585">
        <w:rPr>
          <w:rFonts w:hint="eastAsia"/>
          <w:b/>
          <w:bCs/>
          <w:sz w:val="21"/>
        </w:rPr>
        <w:t xml:space="preserve"> Correlation of the </w:t>
      </w:r>
      <w:proofErr w:type="spellStart"/>
      <w:r w:rsidRPr="000D7585">
        <w:rPr>
          <w:rFonts w:hint="eastAsia"/>
          <w:b/>
          <w:bCs/>
          <w:sz w:val="21"/>
        </w:rPr>
        <w:t>GTMEIscore</w:t>
      </w:r>
      <w:proofErr w:type="spellEnd"/>
      <w:r w:rsidRPr="000D7585">
        <w:rPr>
          <w:rFonts w:hint="eastAsia"/>
          <w:b/>
          <w:bCs/>
          <w:sz w:val="21"/>
        </w:rPr>
        <w:t xml:space="preserve"> with drug sensitivity in </w:t>
      </w:r>
      <w:proofErr w:type="spellStart"/>
      <w:r w:rsidRPr="000D7585">
        <w:rPr>
          <w:rFonts w:hint="eastAsia"/>
          <w:b/>
          <w:bCs/>
          <w:sz w:val="21"/>
        </w:rPr>
        <w:t>otner</w:t>
      </w:r>
      <w:proofErr w:type="spellEnd"/>
      <w:r w:rsidRPr="000D7585">
        <w:rPr>
          <w:rFonts w:hint="eastAsia"/>
          <w:b/>
          <w:bCs/>
          <w:sz w:val="21"/>
        </w:rPr>
        <w:t xml:space="preserve"> 32 cancer types. A </w:t>
      </w:r>
      <w:r w:rsidRPr="000D7585">
        <w:rPr>
          <w:rFonts w:hint="eastAsia"/>
          <w:sz w:val="21"/>
        </w:rPr>
        <w:t xml:space="preserve">Heatmap showing each compound (perturbagen) from the </w:t>
      </w:r>
      <w:proofErr w:type="spellStart"/>
      <w:r w:rsidRPr="000D7585">
        <w:rPr>
          <w:rFonts w:hint="eastAsia"/>
          <w:sz w:val="21"/>
        </w:rPr>
        <w:t>CMap</w:t>
      </w:r>
      <w:proofErr w:type="spellEnd"/>
      <w:r w:rsidRPr="000D7585">
        <w:rPr>
          <w:rFonts w:hint="eastAsia"/>
          <w:sz w:val="21"/>
        </w:rPr>
        <w:t xml:space="preserve"> that shares mechanisms of action (rows) and sorted by descending number of </w:t>
      </w:r>
      <w:proofErr w:type="gramStart"/>
      <w:r w:rsidRPr="000D7585">
        <w:rPr>
          <w:rFonts w:hint="eastAsia"/>
          <w:sz w:val="21"/>
        </w:rPr>
        <w:t>compound</w:t>
      </w:r>
      <w:proofErr w:type="gramEnd"/>
      <w:r w:rsidRPr="000D7585">
        <w:rPr>
          <w:rFonts w:hint="eastAsia"/>
          <w:sz w:val="21"/>
        </w:rPr>
        <w:t xml:space="preserve"> with shared mechanisms of action. </w:t>
      </w:r>
    </w:p>
    <w:p w14:paraId="5561DDC9" w14:textId="77777777" w:rsidR="002D53A0" w:rsidRPr="00357456" w:rsidRDefault="00AD041D"/>
    <w:sectPr w:rsidR="002D53A0" w:rsidRPr="003574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1AAB1" w14:textId="77777777" w:rsidR="00AD041D" w:rsidRDefault="00AD041D" w:rsidP="00C47889">
      <w:r>
        <w:separator/>
      </w:r>
    </w:p>
  </w:endnote>
  <w:endnote w:type="continuationSeparator" w:id="0">
    <w:p w14:paraId="313CF430" w14:textId="77777777" w:rsidR="00AD041D" w:rsidRDefault="00AD041D" w:rsidP="00C47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A2827A" w14:textId="77777777" w:rsidR="00AD041D" w:rsidRDefault="00AD041D" w:rsidP="00C47889">
      <w:r>
        <w:separator/>
      </w:r>
    </w:p>
  </w:footnote>
  <w:footnote w:type="continuationSeparator" w:id="0">
    <w:p w14:paraId="223F745D" w14:textId="77777777" w:rsidR="00AD041D" w:rsidRDefault="00AD041D" w:rsidP="00C478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56"/>
    <w:rsid w:val="00207F60"/>
    <w:rsid w:val="00276D77"/>
    <w:rsid w:val="00357456"/>
    <w:rsid w:val="0044528B"/>
    <w:rsid w:val="00511914"/>
    <w:rsid w:val="00606353"/>
    <w:rsid w:val="00611A37"/>
    <w:rsid w:val="008211E6"/>
    <w:rsid w:val="009A57DC"/>
    <w:rsid w:val="00A17862"/>
    <w:rsid w:val="00A22134"/>
    <w:rsid w:val="00A87737"/>
    <w:rsid w:val="00AD041D"/>
    <w:rsid w:val="00B956E6"/>
    <w:rsid w:val="00C47889"/>
    <w:rsid w:val="00CA1547"/>
    <w:rsid w:val="00D734EB"/>
    <w:rsid w:val="00D923DF"/>
    <w:rsid w:val="00F94D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C5CA4"/>
  <w15:chartTrackingRefBased/>
  <w15:docId w15:val="{43367348-C774-44C7-9292-BF28DBE2D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7456"/>
    <w:pPr>
      <w:widowControl w:val="0"/>
      <w:jc w:val="both"/>
    </w:pPr>
    <w:rPr>
      <w:rFonts w:ascii="Times New Roman"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788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7889"/>
    <w:rPr>
      <w:rFonts w:ascii="Times New Roman" w:hAnsi="Times New Roman"/>
      <w:sz w:val="18"/>
      <w:szCs w:val="18"/>
    </w:rPr>
  </w:style>
  <w:style w:type="paragraph" w:styleId="a5">
    <w:name w:val="footer"/>
    <w:basedOn w:val="a"/>
    <w:link w:val="a6"/>
    <w:uiPriority w:val="99"/>
    <w:unhideWhenUsed/>
    <w:rsid w:val="00C47889"/>
    <w:pPr>
      <w:tabs>
        <w:tab w:val="center" w:pos="4153"/>
        <w:tab w:val="right" w:pos="8306"/>
      </w:tabs>
      <w:snapToGrid w:val="0"/>
      <w:jc w:val="left"/>
    </w:pPr>
    <w:rPr>
      <w:sz w:val="18"/>
      <w:szCs w:val="18"/>
    </w:rPr>
  </w:style>
  <w:style w:type="character" w:customStyle="1" w:styleId="a6">
    <w:name w:val="页脚 字符"/>
    <w:basedOn w:val="a0"/>
    <w:link w:val="a5"/>
    <w:uiPriority w:val="99"/>
    <w:rsid w:val="00C47889"/>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8</Pages>
  <Words>762</Words>
  <Characters>4350</Characters>
  <Application>Microsoft Office Word</Application>
  <DocSecurity>0</DocSecurity>
  <Lines>36</Lines>
  <Paragraphs>10</Paragraphs>
  <ScaleCrop>false</ScaleCrop>
  <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14</cp:revision>
  <dcterms:created xsi:type="dcterms:W3CDTF">2021-10-15T07:04:00Z</dcterms:created>
  <dcterms:modified xsi:type="dcterms:W3CDTF">2022-01-25T08:50:00Z</dcterms:modified>
</cp:coreProperties>
</file>