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0AF4F" w14:textId="77777777" w:rsidR="00E434C4" w:rsidRPr="00B24EF6" w:rsidRDefault="00102BAD" w:rsidP="00B56874">
      <w:pPr>
        <w:rPr>
          <w:noProof/>
          <w:lang w:val="en-US" w:eastAsia="fr-FR"/>
        </w:rPr>
      </w:pPr>
      <w:r w:rsidRPr="009A4DEA">
        <w:rPr>
          <w:b/>
          <w:lang w:val="en-US"/>
        </w:rPr>
        <w:t> </w:t>
      </w:r>
      <w:r w:rsidR="00E434C4" w:rsidRPr="00B5687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CFC1489" wp14:editId="5DACA083">
            <wp:simplePos x="0" y="0"/>
            <wp:positionH relativeFrom="column">
              <wp:posOffset>99824</wp:posOffset>
            </wp:positionH>
            <wp:positionV relativeFrom="paragraph">
              <wp:posOffset>80880</wp:posOffset>
            </wp:positionV>
            <wp:extent cx="4162425" cy="3667381"/>
            <wp:effectExtent l="0" t="0" r="0" b="9525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66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23574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16A96F1F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7D18B2C7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378F772D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15DBCEFE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2CA0B15A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2BC0A3B0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1854502F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7594EC38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6D3715AE" w14:textId="77777777" w:rsidR="00E434C4" w:rsidRPr="00B24EF6" w:rsidRDefault="00E434C4" w:rsidP="00B56874">
      <w:pPr>
        <w:rPr>
          <w:noProof/>
          <w:lang w:val="en-US" w:eastAsia="fr-FR"/>
        </w:rPr>
      </w:pPr>
    </w:p>
    <w:p w14:paraId="75479F6E" w14:textId="77777777" w:rsidR="00E434C4" w:rsidRPr="00B24EF6" w:rsidRDefault="00E434C4" w:rsidP="00B56874">
      <w:pPr>
        <w:rPr>
          <w:lang w:val="en-US"/>
        </w:rPr>
      </w:pPr>
    </w:p>
    <w:p w14:paraId="57BC3C77" w14:textId="77777777" w:rsidR="00E434C4" w:rsidRPr="00B24EF6" w:rsidRDefault="00E434C4" w:rsidP="00B56874">
      <w:pPr>
        <w:rPr>
          <w:lang w:val="en-US"/>
        </w:rPr>
      </w:pPr>
    </w:p>
    <w:p w14:paraId="6B6884A8" w14:textId="77777777" w:rsidR="00E434C4" w:rsidRPr="00B24EF6" w:rsidRDefault="00E434C4" w:rsidP="00B56874">
      <w:pPr>
        <w:rPr>
          <w:lang w:val="en-US"/>
        </w:rPr>
      </w:pPr>
    </w:p>
    <w:p w14:paraId="23B622A9" w14:textId="77777777" w:rsidR="00B24EF6" w:rsidRPr="00B24EF6" w:rsidRDefault="009A4DEA" w:rsidP="009A4DEA">
      <w:pPr>
        <w:spacing w:after="400"/>
        <w:jc w:val="both"/>
        <w:rPr>
          <w:lang w:val="en-US"/>
        </w:rPr>
      </w:pPr>
      <w:r>
        <w:rPr>
          <w:b/>
          <w:lang w:val="en-US"/>
        </w:rPr>
        <w:t>Supplementary Fig</w:t>
      </w:r>
      <w:r w:rsidR="002E71BE">
        <w:rPr>
          <w:b/>
          <w:lang w:val="en-US"/>
        </w:rPr>
        <w:t>ure</w:t>
      </w:r>
      <w:r w:rsidRPr="009A4DEA">
        <w:rPr>
          <w:b/>
          <w:lang w:val="en-US"/>
        </w:rPr>
        <w:t xml:space="preserve"> </w:t>
      </w:r>
      <w:r w:rsidR="00EA160E">
        <w:rPr>
          <w:b/>
          <w:lang w:val="en-US"/>
        </w:rPr>
        <w:t>S</w:t>
      </w:r>
      <w:r w:rsidRPr="009A4DEA">
        <w:rPr>
          <w:b/>
          <w:lang w:val="en-US"/>
        </w:rPr>
        <w:t>1</w:t>
      </w:r>
      <w:r w:rsidR="002E71BE">
        <w:rPr>
          <w:b/>
          <w:lang w:val="en-US"/>
        </w:rPr>
        <w:t>.</w:t>
      </w:r>
      <w:r>
        <w:rPr>
          <w:b/>
          <w:lang w:val="en-US"/>
        </w:rPr>
        <w:t xml:space="preserve"> </w:t>
      </w:r>
      <w:r w:rsidR="00144DB7" w:rsidRPr="00F109F0">
        <w:rPr>
          <w:b/>
          <w:lang w:val="en-US"/>
        </w:rPr>
        <w:t>Images obtained by IFN-</w:t>
      </w:r>
      <w:r w:rsidR="00144DB7" w:rsidRPr="00F109F0">
        <w:rPr>
          <w:rFonts w:cstheme="minorHAnsi"/>
          <w:b/>
          <w:lang w:val="en-US"/>
        </w:rPr>
        <w:t>γ</w:t>
      </w:r>
      <w:r w:rsidR="00144DB7" w:rsidRPr="00F109F0">
        <w:rPr>
          <w:b/>
          <w:lang w:val="en-US"/>
        </w:rPr>
        <w:t xml:space="preserve"> </w:t>
      </w:r>
      <w:r w:rsidR="00B24EF6" w:rsidRPr="00F109F0">
        <w:rPr>
          <w:b/>
          <w:lang w:val="en-US"/>
        </w:rPr>
        <w:t xml:space="preserve">ELISPOT </w:t>
      </w:r>
      <w:r w:rsidR="00144DB7" w:rsidRPr="00F109F0">
        <w:rPr>
          <w:b/>
          <w:lang w:val="en-US"/>
        </w:rPr>
        <w:t xml:space="preserve">conducted on peripheral blood cells isolated from patient 1 (P1) and from patient 2 (P2) after breakthrough infection. </w:t>
      </w:r>
      <w:r w:rsidR="00144DB7">
        <w:rPr>
          <w:lang w:val="en-US"/>
        </w:rPr>
        <w:t xml:space="preserve">Cells were collected in </w:t>
      </w:r>
      <w:r w:rsidR="00B24EF6" w:rsidRPr="00144DB7">
        <w:rPr>
          <w:lang w:val="en-US"/>
        </w:rPr>
        <w:t xml:space="preserve">P1 </w:t>
      </w:r>
      <w:r w:rsidR="00144DB7" w:rsidRPr="00144DB7">
        <w:rPr>
          <w:lang w:val="en-US"/>
        </w:rPr>
        <w:t xml:space="preserve">at 3 and 85 days after symptoms onset (DSO) (left) and </w:t>
      </w:r>
      <w:r w:rsidR="00144DB7">
        <w:rPr>
          <w:lang w:val="en-US"/>
        </w:rPr>
        <w:t>in</w:t>
      </w:r>
      <w:r w:rsidR="00144DB7" w:rsidRPr="00144DB7">
        <w:rPr>
          <w:lang w:val="en-US"/>
        </w:rPr>
        <w:t xml:space="preserve"> P2</w:t>
      </w:r>
      <w:r w:rsidR="00144DB7">
        <w:rPr>
          <w:lang w:val="en-US"/>
        </w:rPr>
        <w:t xml:space="preserve"> </w:t>
      </w:r>
      <w:r w:rsidR="00144DB7" w:rsidRPr="00144DB7">
        <w:rPr>
          <w:lang w:val="en-US"/>
        </w:rPr>
        <w:t>at 4 and 91 DSO (right).</w:t>
      </w:r>
      <w:r w:rsidR="00B24EF6" w:rsidRPr="00B24EF6">
        <w:rPr>
          <w:lang w:val="en-US"/>
        </w:rPr>
        <w:t xml:space="preserve"> T cell specific response</w:t>
      </w:r>
      <w:r w:rsidR="00F109F0">
        <w:rPr>
          <w:lang w:val="en-US"/>
        </w:rPr>
        <w:t>s</w:t>
      </w:r>
      <w:r w:rsidR="00B24EF6" w:rsidRPr="00B24EF6">
        <w:rPr>
          <w:lang w:val="en-US"/>
        </w:rPr>
        <w:t xml:space="preserve"> w</w:t>
      </w:r>
      <w:r w:rsidR="00F109F0">
        <w:rPr>
          <w:lang w:val="en-US"/>
        </w:rPr>
        <w:t>ere</w:t>
      </w:r>
      <w:r w:rsidR="00B24EF6" w:rsidRPr="00B24EF6">
        <w:rPr>
          <w:lang w:val="en-US"/>
        </w:rPr>
        <w:t xml:space="preserve"> evaluated using peptide pools spanning </w:t>
      </w:r>
      <w:r w:rsidR="00F109F0">
        <w:rPr>
          <w:lang w:val="en-US"/>
        </w:rPr>
        <w:t xml:space="preserve">the </w:t>
      </w:r>
      <w:r w:rsidR="00B24EF6" w:rsidRPr="00B24EF6">
        <w:rPr>
          <w:lang w:val="en-US"/>
        </w:rPr>
        <w:t xml:space="preserve">SARS-CoV-2 </w:t>
      </w:r>
      <w:r w:rsidR="00144DB7">
        <w:rPr>
          <w:lang w:val="en-US"/>
        </w:rPr>
        <w:t xml:space="preserve">spike </w:t>
      </w:r>
      <w:r w:rsidR="00B24EF6" w:rsidRPr="00B24EF6">
        <w:rPr>
          <w:lang w:val="en-US"/>
        </w:rPr>
        <w:t>protein (N-terminal regio</w:t>
      </w:r>
      <w:r w:rsidR="00144DB7">
        <w:rPr>
          <w:lang w:val="en-US"/>
        </w:rPr>
        <w:t xml:space="preserve">n = S1, C-terminal region = S2) of the reference strain (wild-type, </w:t>
      </w:r>
      <w:proofErr w:type="spellStart"/>
      <w:r w:rsidR="00144DB7">
        <w:rPr>
          <w:lang w:val="en-US"/>
        </w:rPr>
        <w:t>wt</w:t>
      </w:r>
      <w:proofErr w:type="spellEnd"/>
      <w:r w:rsidR="00144DB7">
        <w:rPr>
          <w:lang w:val="en-US"/>
        </w:rPr>
        <w:t xml:space="preserve">) and </w:t>
      </w:r>
      <w:r w:rsidR="00F109F0">
        <w:rPr>
          <w:lang w:val="en-US"/>
        </w:rPr>
        <w:t xml:space="preserve">of </w:t>
      </w:r>
      <w:r w:rsidR="00144DB7">
        <w:rPr>
          <w:rFonts w:cstheme="minorHAnsi"/>
          <w:lang w:val="en-US"/>
        </w:rPr>
        <w:t>α</w:t>
      </w:r>
      <w:r w:rsidR="00144DB7">
        <w:rPr>
          <w:lang w:val="en-US"/>
        </w:rPr>
        <w:t xml:space="preserve"> and </w:t>
      </w:r>
      <w:r w:rsidR="00144DB7">
        <w:rPr>
          <w:rFonts w:cstheme="minorHAnsi"/>
          <w:lang w:val="en-US"/>
        </w:rPr>
        <w:t>β</w:t>
      </w:r>
      <w:r w:rsidR="00144DB7">
        <w:rPr>
          <w:lang w:val="en-US"/>
        </w:rPr>
        <w:t xml:space="preserve"> variants</w:t>
      </w:r>
      <w:r w:rsidR="00B24EF6" w:rsidRPr="00B24EF6">
        <w:rPr>
          <w:lang w:val="en-US"/>
        </w:rPr>
        <w:t xml:space="preserve">. All experiments were performed in duplicates, with </w:t>
      </w:r>
      <w:r w:rsidR="00144DB7">
        <w:rPr>
          <w:lang w:val="en-US"/>
        </w:rPr>
        <w:t>at least two</w:t>
      </w:r>
      <w:r w:rsidR="00B24EF6" w:rsidRPr="00B24EF6">
        <w:rPr>
          <w:lang w:val="en-US"/>
        </w:rPr>
        <w:t xml:space="preserve"> wells of negative controls (cells with culture medium only) and </w:t>
      </w:r>
      <w:r w:rsidR="00144DB7">
        <w:rPr>
          <w:lang w:val="en-US"/>
        </w:rPr>
        <w:t>one well</w:t>
      </w:r>
      <w:r w:rsidR="00B24EF6" w:rsidRPr="00B24EF6">
        <w:rPr>
          <w:lang w:val="en-US"/>
        </w:rPr>
        <w:t xml:space="preserve"> of positiv</w:t>
      </w:r>
      <w:r w:rsidR="00144DB7">
        <w:rPr>
          <w:lang w:val="en-US"/>
        </w:rPr>
        <w:t>e control</w:t>
      </w:r>
      <w:r w:rsidR="00B24EF6" w:rsidRPr="00B24EF6">
        <w:rPr>
          <w:lang w:val="en-US"/>
        </w:rPr>
        <w:t xml:space="preserve"> (phytohemagglutinin) for each</w:t>
      </w:r>
      <w:r w:rsidR="00144DB7">
        <w:rPr>
          <w:lang w:val="en-US"/>
        </w:rPr>
        <w:t xml:space="preserve"> sample</w:t>
      </w:r>
      <w:r w:rsidR="00B24EF6" w:rsidRPr="00B24EF6">
        <w:rPr>
          <w:lang w:val="en-US"/>
        </w:rPr>
        <w:t>. P2 was</w:t>
      </w:r>
      <w:r w:rsidR="00144DB7">
        <w:rPr>
          <w:lang w:val="en-US"/>
        </w:rPr>
        <w:t xml:space="preserve"> highly</w:t>
      </w:r>
      <w:r w:rsidR="00B24EF6" w:rsidRPr="00B24EF6">
        <w:rPr>
          <w:lang w:val="en-US"/>
        </w:rPr>
        <w:t xml:space="preserve"> reactive to all </w:t>
      </w:r>
      <w:r w:rsidR="00144DB7">
        <w:rPr>
          <w:lang w:val="en-US"/>
        </w:rPr>
        <w:t xml:space="preserve">peptide pools irrespective of the variants at 4 DSO whereas P1 </w:t>
      </w:r>
      <w:r w:rsidR="00F109F0">
        <w:rPr>
          <w:lang w:val="en-US"/>
        </w:rPr>
        <w:t xml:space="preserve">was </w:t>
      </w:r>
      <w:r w:rsidR="00144DB7">
        <w:rPr>
          <w:lang w:val="en-US"/>
        </w:rPr>
        <w:t>only poorly react</w:t>
      </w:r>
      <w:r w:rsidR="00F109F0">
        <w:rPr>
          <w:lang w:val="en-US"/>
        </w:rPr>
        <w:t>ive</w:t>
      </w:r>
      <w:r w:rsidR="00144DB7">
        <w:rPr>
          <w:lang w:val="en-US"/>
        </w:rPr>
        <w:t>. T-cell response was increased in P1 at 85 DSO but remained lower than those measured in P2 at 91 DSO.</w:t>
      </w:r>
    </w:p>
    <w:p w14:paraId="1D5C6A2A" w14:textId="76780075" w:rsidR="00E434C4" w:rsidRPr="00B24EF6" w:rsidRDefault="00DB77B9" w:rsidP="00B56874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4B676F2" wp14:editId="15726551">
            <wp:extent cx="5760720" cy="324040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8508" w14:textId="60C3AFCF" w:rsidR="00DA5DBF" w:rsidRDefault="009A4DEA" w:rsidP="001D18C0">
      <w:pPr>
        <w:jc w:val="both"/>
        <w:rPr>
          <w:lang w:val="en-CA"/>
        </w:rPr>
      </w:pPr>
      <w:r w:rsidRPr="009A4DEA">
        <w:rPr>
          <w:b/>
          <w:bCs/>
          <w:lang w:val="en-CA"/>
        </w:rPr>
        <w:t>Supplementary Fig</w:t>
      </w:r>
      <w:r w:rsidR="002E71BE">
        <w:rPr>
          <w:b/>
          <w:bCs/>
          <w:lang w:val="en-CA"/>
        </w:rPr>
        <w:t>ure</w:t>
      </w:r>
      <w:r w:rsidRPr="009A4DEA">
        <w:rPr>
          <w:b/>
          <w:bCs/>
          <w:lang w:val="en-CA"/>
        </w:rPr>
        <w:t xml:space="preserve"> </w:t>
      </w:r>
      <w:r w:rsidR="00EA160E">
        <w:rPr>
          <w:b/>
          <w:bCs/>
          <w:lang w:val="en-CA"/>
        </w:rPr>
        <w:t>S</w:t>
      </w:r>
      <w:r w:rsidRPr="009A4DEA">
        <w:rPr>
          <w:b/>
          <w:bCs/>
          <w:lang w:val="en-CA"/>
        </w:rPr>
        <w:t xml:space="preserve">2. Gating strategy. </w:t>
      </w:r>
      <w:r w:rsidRPr="009A4DEA">
        <w:rPr>
          <w:lang w:val="en-CA"/>
        </w:rPr>
        <w:t>Gating strategy used for AIM/I</w:t>
      </w:r>
      <w:r>
        <w:rPr>
          <w:lang w:val="en-CA"/>
        </w:rPr>
        <w:t>CS analysis</w:t>
      </w:r>
      <w:r w:rsidR="00DA5DBF">
        <w:rPr>
          <w:lang w:val="en-US"/>
        </w:rPr>
        <w:t xml:space="preserve">, with </w:t>
      </w:r>
      <w:r w:rsidR="001D18C0">
        <w:rPr>
          <w:lang w:val="en-US"/>
        </w:rPr>
        <w:t xml:space="preserve">examples of </w:t>
      </w:r>
      <w:r w:rsidR="00DA5DBF">
        <w:rPr>
          <w:lang w:val="en-US"/>
        </w:rPr>
        <w:t xml:space="preserve">dot plots showing cytokine+ and AIM+ cells after stimulation (row “+”) and </w:t>
      </w:r>
      <w:r w:rsidR="00526D84">
        <w:rPr>
          <w:lang w:val="en-US"/>
        </w:rPr>
        <w:t xml:space="preserve">unstimulated </w:t>
      </w:r>
      <w:r w:rsidR="001D18C0">
        <w:rPr>
          <w:lang w:val="en-US"/>
        </w:rPr>
        <w:t>cells</w:t>
      </w:r>
      <w:r w:rsidR="00DA5DBF">
        <w:rPr>
          <w:lang w:val="en-US"/>
        </w:rPr>
        <w:t xml:space="preserve"> </w:t>
      </w:r>
      <w:r w:rsidR="001D18C0">
        <w:rPr>
          <w:lang w:val="en-US"/>
        </w:rPr>
        <w:t>as negative controls</w:t>
      </w:r>
      <w:r w:rsidR="00DA5DBF">
        <w:rPr>
          <w:lang w:val="en-US"/>
        </w:rPr>
        <w:t xml:space="preserve"> (row “-“).</w:t>
      </w:r>
    </w:p>
    <w:p w14:paraId="47F9EA7F" w14:textId="77777777" w:rsidR="00DB77B9" w:rsidRDefault="00DB77B9" w:rsidP="0059615C">
      <w:pPr>
        <w:rPr>
          <w:b/>
          <w:lang w:val="en-US"/>
        </w:rPr>
      </w:pPr>
    </w:p>
    <w:p w14:paraId="225D8968" w14:textId="60A57EAF" w:rsidR="0059615C" w:rsidRPr="001A3C75" w:rsidRDefault="0059615C" w:rsidP="0059615C">
      <w:pPr>
        <w:rPr>
          <w:b/>
          <w:lang w:val="en-US"/>
        </w:rPr>
      </w:pPr>
      <w:r w:rsidRPr="001A3C75">
        <w:rPr>
          <w:b/>
          <w:lang w:val="en-US"/>
        </w:rPr>
        <w:t xml:space="preserve">Supplementary </w:t>
      </w:r>
      <w:r>
        <w:rPr>
          <w:b/>
          <w:lang w:val="en-US"/>
        </w:rPr>
        <w:t>m</w:t>
      </w:r>
      <w:r w:rsidRPr="001A3C75">
        <w:rPr>
          <w:b/>
          <w:lang w:val="en-US"/>
        </w:rPr>
        <w:t>ethods</w:t>
      </w:r>
    </w:p>
    <w:p w14:paraId="796D312C" w14:textId="77777777" w:rsidR="0059615C" w:rsidRDefault="0059615C" w:rsidP="0059615C">
      <w:pPr>
        <w:spacing w:line="360" w:lineRule="auto"/>
        <w:jc w:val="both"/>
        <w:rPr>
          <w:b/>
          <w:i/>
          <w:lang w:val="en-US"/>
        </w:rPr>
      </w:pPr>
    </w:p>
    <w:p w14:paraId="6D044F61" w14:textId="77777777" w:rsidR="0059615C" w:rsidRPr="00050DD0" w:rsidRDefault="0059615C" w:rsidP="0059615C">
      <w:pPr>
        <w:spacing w:after="0" w:line="360" w:lineRule="auto"/>
        <w:jc w:val="both"/>
        <w:rPr>
          <w:lang w:val="en-US"/>
        </w:rPr>
      </w:pPr>
      <w:r w:rsidRPr="00050DD0">
        <w:rPr>
          <w:b/>
          <w:lang w:val="en-US"/>
        </w:rPr>
        <w:t>Full-length SARS-CoV-2 genome sequencing</w:t>
      </w:r>
    </w:p>
    <w:p w14:paraId="596639BE" w14:textId="77777777" w:rsidR="0059615C" w:rsidRDefault="0059615C" w:rsidP="0059615C">
      <w:pPr>
        <w:spacing w:line="360" w:lineRule="auto"/>
        <w:jc w:val="both"/>
        <w:rPr>
          <w:lang w:val="en-US"/>
        </w:rPr>
      </w:pPr>
      <w:r w:rsidRPr="00115BE5">
        <w:rPr>
          <w:lang w:val="en-US"/>
        </w:rPr>
        <w:t xml:space="preserve">The full-length SARS-CoV-2 genomes were sequenced by means of next-generation sequencing. Briefly, viral RNA was extracted from nasopharyngeal swabs in viral transport medium using </w:t>
      </w:r>
      <w:proofErr w:type="spellStart"/>
      <w:r w:rsidRPr="00115BE5">
        <w:rPr>
          <w:lang w:val="en-US"/>
        </w:rPr>
        <w:t>NucliSENS</w:t>
      </w:r>
      <w:proofErr w:type="spellEnd"/>
      <w:r w:rsidRPr="00115BE5">
        <w:rPr>
          <w:lang w:val="en-US"/>
        </w:rPr>
        <w:t xml:space="preserve">® </w:t>
      </w:r>
      <w:proofErr w:type="spellStart"/>
      <w:r w:rsidRPr="00115BE5">
        <w:rPr>
          <w:lang w:val="en-US"/>
        </w:rPr>
        <w:t>easyMAG</w:t>
      </w:r>
      <w:proofErr w:type="spellEnd"/>
      <w:r w:rsidRPr="00115BE5">
        <w:rPr>
          <w:lang w:val="en-US"/>
        </w:rPr>
        <w:t xml:space="preserve"> kit on EMAG device (</w:t>
      </w:r>
      <w:proofErr w:type="spellStart"/>
      <w:r w:rsidRPr="00115BE5">
        <w:rPr>
          <w:lang w:val="en-US"/>
        </w:rPr>
        <w:t>bioMérieux</w:t>
      </w:r>
      <w:proofErr w:type="spellEnd"/>
      <w:r w:rsidRPr="00115BE5">
        <w:rPr>
          <w:lang w:val="en-US"/>
        </w:rPr>
        <w:t>, Marcy-</w:t>
      </w:r>
      <w:proofErr w:type="spellStart"/>
      <w:r w:rsidRPr="00115BE5">
        <w:rPr>
          <w:lang w:val="en-US"/>
        </w:rPr>
        <w:t>l’Étoile</w:t>
      </w:r>
      <w:proofErr w:type="spellEnd"/>
      <w:r w:rsidRPr="00115BE5">
        <w:rPr>
          <w:lang w:val="en-US"/>
        </w:rPr>
        <w:t xml:space="preserve">, France). Sequencing was performed with the Illumina </w:t>
      </w:r>
      <w:proofErr w:type="spellStart"/>
      <w:r w:rsidRPr="00115BE5">
        <w:rPr>
          <w:lang w:val="en-US"/>
        </w:rPr>
        <w:t>COVIDSeq</w:t>
      </w:r>
      <w:proofErr w:type="spellEnd"/>
      <w:r w:rsidRPr="00115BE5">
        <w:rPr>
          <w:lang w:val="en-US"/>
        </w:rPr>
        <w:t xml:space="preserve"> Test (Illumina, San Diego, California), that uses 98-target multiplex amplifications along the full SARS-CoV-2 genome. The libraries were sequenced with </w:t>
      </w:r>
      <w:proofErr w:type="spellStart"/>
      <w:r w:rsidRPr="00115BE5">
        <w:rPr>
          <w:lang w:val="en-US"/>
        </w:rPr>
        <w:t>NextSeq</w:t>
      </w:r>
      <w:proofErr w:type="spellEnd"/>
      <w:r w:rsidRPr="00115BE5">
        <w:rPr>
          <w:lang w:val="en-US"/>
        </w:rPr>
        <w:t xml:space="preserve"> 500/550 High Output Kit v2.5 (75 Cycles) on a </w:t>
      </w:r>
      <w:proofErr w:type="spellStart"/>
      <w:r w:rsidRPr="00115BE5">
        <w:rPr>
          <w:lang w:val="en-US"/>
        </w:rPr>
        <w:t>NextSeq</w:t>
      </w:r>
      <w:proofErr w:type="spellEnd"/>
      <w:r w:rsidRPr="00115BE5">
        <w:rPr>
          <w:lang w:val="en-US"/>
        </w:rPr>
        <w:t xml:space="preserve"> 500 device (Illumina). The sequences were demultiplexed and assembled as full-length genomes by means of the DRAGEN </w:t>
      </w:r>
      <w:proofErr w:type="spellStart"/>
      <w:r w:rsidRPr="00115BE5">
        <w:rPr>
          <w:lang w:val="en-US"/>
        </w:rPr>
        <w:t>COVIDSeq</w:t>
      </w:r>
      <w:proofErr w:type="spellEnd"/>
      <w:r w:rsidRPr="00115BE5">
        <w:rPr>
          <w:lang w:val="en-US"/>
        </w:rPr>
        <w:t xml:space="preserve"> Test Pipeline on a local DRAGEN server (Illumina). Lineages and clades were interpreted using Pangolin and </w:t>
      </w:r>
      <w:proofErr w:type="spellStart"/>
      <w:r w:rsidRPr="00115BE5">
        <w:rPr>
          <w:lang w:val="en-US"/>
        </w:rPr>
        <w:t>NextClade</w:t>
      </w:r>
      <w:proofErr w:type="spellEnd"/>
      <w:r w:rsidRPr="00115BE5">
        <w:rPr>
          <w:lang w:val="en-US"/>
        </w:rPr>
        <w:t>, before being submitted to the GISAID database (</w:t>
      </w:r>
      <w:hyperlink r:id="rId6" w:history="1">
        <w:r w:rsidRPr="00443956">
          <w:rPr>
            <w:rStyle w:val="Hyperlink"/>
            <w:lang w:val="en-US"/>
          </w:rPr>
          <w:t>https://www.gisaid.org</w:t>
        </w:r>
      </w:hyperlink>
      <w:r w:rsidRPr="00115BE5">
        <w:rPr>
          <w:lang w:val="en-US"/>
        </w:rPr>
        <w:t>).</w:t>
      </w:r>
    </w:p>
    <w:p w14:paraId="41C21174" w14:textId="77777777" w:rsidR="00BD590A" w:rsidRDefault="00BD590A" w:rsidP="0059615C">
      <w:pPr>
        <w:spacing w:line="360" w:lineRule="auto"/>
        <w:jc w:val="both"/>
        <w:rPr>
          <w:lang w:val="en-US"/>
        </w:rPr>
      </w:pPr>
    </w:p>
    <w:p w14:paraId="4D246A67" w14:textId="77777777" w:rsidR="0059615C" w:rsidRPr="00115BE5" w:rsidRDefault="0059615C" w:rsidP="0059615C">
      <w:pPr>
        <w:spacing w:after="0" w:line="360" w:lineRule="auto"/>
        <w:jc w:val="both"/>
        <w:rPr>
          <w:b/>
          <w:i/>
          <w:lang w:val="en-US"/>
        </w:rPr>
      </w:pPr>
      <w:r w:rsidRPr="00115BE5">
        <w:rPr>
          <w:b/>
          <w:i/>
          <w:lang w:val="en-US"/>
        </w:rPr>
        <w:t xml:space="preserve">Serology </w:t>
      </w:r>
      <w:r w:rsidR="00BD590A">
        <w:rPr>
          <w:b/>
          <w:i/>
          <w:lang w:val="en-US"/>
        </w:rPr>
        <w:t>S-flow assay</w:t>
      </w:r>
    </w:p>
    <w:p w14:paraId="0912D467" w14:textId="77777777" w:rsidR="006D24E5" w:rsidRDefault="0059615C" w:rsidP="00BD590A">
      <w:pPr>
        <w:spacing w:line="360" w:lineRule="auto"/>
        <w:jc w:val="both"/>
        <w:rPr>
          <w:lang w:val="en-AU"/>
        </w:rPr>
      </w:pPr>
      <w:r>
        <w:rPr>
          <w:lang w:val="en-AU"/>
        </w:rPr>
        <w:t xml:space="preserve">Anti-S IgG and IgA were measured by </w:t>
      </w:r>
      <w:r w:rsidRPr="00B178AD">
        <w:rPr>
          <w:lang w:val="en-AU"/>
        </w:rPr>
        <w:t>S</w:t>
      </w:r>
      <w:r w:rsidRPr="001A3C75">
        <w:rPr>
          <w:lang w:val="en-AU"/>
        </w:rPr>
        <w:t xml:space="preserve">-Flow assay based on the recognition of SARS-CoV-2 S protein expressed on the surface of human embryonic kidney (HEK) 293T cells. </w:t>
      </w:r>
      <w:r w:rsidR="0066602E" w:rsidRPr="0066602E">
        <w:rPr>
          <w:lang w:val="en-US"/>
        </w:rPr>
        <w:t>Briefly, 293T cells (ATCC® CRL-</w:t>
      </w:r>
      <w:r w:rsidR="0066602E" w:rsidRPr="0066602E">
        <w:rPr>
          <w:lang w:val="en-US"/>
        </w:rPr>
        <w:lastRenderedPageBreak/>
        <w:t xml:space="preserve">3216™) were transfected with the indicated S-protein expression plasmids or a control plasmid </w:t>
      </w:r>
      <w:r w:rsidR="0066602E">
        <w:rPr>
          <w:lang w:val="en-US"/>
        </w:rPr>
        <w:t>using Lipofectamine 2000 (Life T</w:t>
      </w:r>
      <w:r w:rsidR="0066602E" w:rsidRPr="0066602E">
        <w:rPr>
          <w:lang w:val="en-US"/>
        </w:rPr>
        <w:t xml:space="preserve">echnologies). One day after, transfected cells were detached using PBS-EDTA and transferred into U-bottom 96-well plates (50,000 cells per well). Cells were incubated at 4 °C for 30 min with sera (1:300 dilution) or nasal swabs (1:50 dilution) in PBS containing 0.5% BSA and 2 mM EDTA, washed with PBS and stained using anti-IgG AF647 (1:600 dilution; Thermo Fisher). Cells were washed with PBS and fixed for 10 min using 4% paraformaldehyde. Data were acquired on an Attune </w:t>
      </w:r>
      <w:proofErr w:type="spellStart"/>
      <w:r w:rsidR="0066602E" w:rsidRPr="0066602E">
        <w:rPr>
          <w:lang w:val="en-US"/>
        </w:rPr>
        <w:t>Nxt</w:t>
      </w:r>
      <w:proofErr w:type="spellEnd"/>
      <w:r w:rsidR="0066602E" w:rsidRPr="0066602E">
        <w:rPr>
          <w:lang w:val="en-US"/>
        </w:rPr>
        <w:t xml:space="preserve"> instrument (Life Technologies). </w:t>
      </w:r>
      <w:proofErr w:type="spellStart"/>
      <w:r w:rsidR="0066602E" w:rsidRPr="0066602E">
        <w:rPr>
          <w:lang w:val="en-US"/>
        </w:rPr>
        <w:t>Stainings</w:t>
      </w:r>
      <w:proofErr w:type="spellEnd"/>
      <w:r w:rsidR="0066602E" w:rsidRPr="0066602E">
        <w:rPr>
          <w:lang w:val="en-US"/>
        </w:rPr>
        <w:t xml:space="preserve"> were also performed on control (293T-empty) cells. The specific binding was calculated as follow: 100 x (% binding 2</w:t>
      </w:r>
      <w:r w:rsidR="00BD590A">
        <w:rPr>
          <w:lang w:val="en-US"/>
        </w:rPr>
        <w:t xml:space="preserve">93T Spike - % binding 293T 227 </w:t>
      </w:r>
      <w:r w:rsidR="0066602E" w:rsidRPr="0066602E">
        <w:rPr>
          <w:lang w:val="en-US"/>
        </w:rPr>
        <w:t xml:space="preserve">Empty)/ (100 - % binding 293T Empty). </w:t>
      </w:r>
      <w:r w:rsidRPr="001A3C75">
        <w:rPr>
          <w:lang w:val="en-AU"/>
        </w:rPr>
        <w:t>The positivity of a sample was defined as a specific binding above 40% for IgG and 20% for IgA. The calculation of Binding units (BU) enabled to standardize the results</w:t>
      </w:r>
      <w:r w:rsidR="00BD590A" w:rsidRPr="00BD590A">
        <w:rPr>
          <w:lang w:val="en-AU"/>
        </w:rPr>
        <w:t xml:space="preserve"> by  establishing  a  dose-response  curve  with  a  reference  anti-Spike  human </w:t>
      </w:r>
      <w:r w:rsidR="00BD590A">
        <w:rPr>
          <w:lang w:val="en-AU"/>
        </w:rPr>
        <w:t>monoclonal antibody</w:t>
      </w:r>
      <w:r w:rsidRPr="00B178AD">
        <w:rPr>
          <w:lang w:val="en-AU"/>
        </w:rPr>
        <w:t>.</w:t>
      </w:r>
      <w:r>
        <w:rPr>
          <w:lang w:val="en-AU"/>
        </w:rPr>
        <w:t xml:space="preserve"> </w:t>
      </w:r>
    </w:p>
    <w:p w14:paraId="326B24DF" w14:textId="77777777" w:rsidR="00BD590A" w:rsidRPr="00BD590A" w:rsidRDefault="00BD590A" w:rsidP="00BD590A">
      <w:pPr>
        <w:spacing w:line="360" w:lineRule="auto"/>
        <w:jc w:val="both"/>
        <w:rPr>
          <w:lang w:val="en-US"/>
        </w:rPr>
      </w:pPr>
    </w:p>
    <w:p w14:paraId="5372545B" w14:textId="77777777" w:rsidR="0059615C" w:rsidRPr="0089158D" w:rsidRDefault="0059615C" w:rsidP="0059615C">
      <w:pPr>
        <w:spacing w:after="0" w:line="360" w:lineRule="auto"/>
        <w:jc w:val="both"/>
        <w:rPr>
          <w:b/>
          <w:lang w:val="en-US"/>
        </w:rPr>
      </w:pPr>
      <w:r w:rsidRPr="00706256">
        <w:rPr>
          <w:rFonts w:cstheme="minorHAnsi"/>
          <w:b/>
          <w:lang w:val="en-US"/>
        </w:rPr>
        <w:t>AIM and ICS assays</w:t>
      </w:r>
    </w:p>
    <w:p w14:paraId="641AFCA0" w14:textId="77777777" w:rsidR="0059615C" w:rsidRPr="0089158D" w:rsidRDefault="0059615C" w:rsidP="0059615C">
      <w:pPr>
        <w:spacing w:after="0" w:line="360" w:lineRule="auto"/>
        <w:jc w:val="both"/>
        <w:rPr>
          <w:lang w:val="en-US"/>
        </w:rPr>
      </w:pPr>
      <w:r w:rsidRPr="0089158D">
        <w:rPr>
          <w:lang w:val="en-US"/>
        </w:rPr>
        <w:t>Antigen specific and cytokine-expressi</w:t>
      </w:r>
      <w:r>
        <w:rPr>
          <w:lang w:val="en-US"/>
        </w:rPr>
        <w:t xml:space="preserve">ng cells were characterized by </w:t>
      </w:r>
      <w:r w:rsidRPr="0089158D">
        <w:rPr>
          <w:lang w:val="en-US"/>
        </w:rPr>
        <w:t>activation-induced marker (AIM) and intra-cellular staining (ICS) assays. PBMCs were thawed, washed and put in culture at a concentration of 10 million cells/mL in RPMI 1640 medium (Gibco Life Technologies</w:t>
      </w:r>
      <w:r>
        <w:rPr>
          <w:lang w:val="en-US"/>
        </w:rPr>
        <w:t>,</w:t>
      </w:r>
      <w:r w:rsidRPr="0089158D">
        <w:rPr>
          <w:lang w:val="en-US"/>
        </w:rPr>
        <w:t xml:space="preserve"> Cat# 11,875-093) supplemented with 0.5% penicillin/streptomycin (Gibco, Cat# 15070063) and 10% human serum (Sigma, Cat# H5522-100mL). After a rest of 1 h at 37 °C, a CD40 blocking antibody (</w:t>
      </w:r>
      <w:proofErr w:type="spellStart"/>
      <w:r w:rsidRPr="0089158D">
        <w:rPr>
          <w:lang w:val="en-US"/>
        </w:rPr>
        <w:t>Miltenyi</w:t>
      </w:r>
      <w:proofErr w:type="spellEnd"/>
      <w:r w:rsidRPr="0089158D">
        <w:rPr>
          <w:lang w:val="en-US"/>
        </w:rPr>
        <w:t xml:space="preserve">-MACS, Cat# 130-094-133) was added to the culture to prevent the interaction of CD40L with CD40 and its subsequent downregulation. After 15 min incubation at 37°C, cells were stimulated with 0.5 </w:t>
      </w:r>
      <w:proofErr w:type="spellStart"/>
      <w:r w:rsidRPr="0089158D">
        <w:rPr>
          <w:lang w:val="en-US"/>
        </w:rPr>
        <w:t>μg</w:t>
      </w:r>
      <w:proofErr w:type="spellEnd"/>
      <w:r w:rsidRPr="0089158D">
        <w:rPr>
          <w:lang w:val="en-US"/>
        </w:rPr>
        <w:t xml:space="preserve">/mL PHA or 0.44 </w:t>
      </w:r>
      <w:proofErr w:type="spellStart"/>
      <w:r w:rsidRPr="0089158D">
        <w:rPr>
          <w:lang w:val="en-US"/>
        </w:rPr>
        <w:t>μg</w:t>
      </w:r>
      <w:proofErr w:type="spellEnd"/>
      <w:r w:rsidRPr="0089158D">
        <w:rPr>
          <w:lang w:val="en-US"/>
        </w:rPr>
        <w:t>/ml of overlapping peptide pools spanning S1 and S2 of WT, α and β SARS-CoV-2 strains (</w:t>
      </w:r>
      <w:proofErr w:type="spellStart"/>
      <w:r w:rsidRPr="0089158D">
        <w:rPr>
          <w:lang w:val="en-US"/>
        </w:rPr>
        <w:t>PepMix</w:t>
      </w:r>
      <w:proofErr w:type="spellEnd"/>
      <w:r w:rsidRPr="0089158D">
        <w:rPr>
          <w:lang w:val="en-US"/>
        </w:rPr>
        <w:t xml:space="preserve">™, JPT Peptide Technologies, Cat# PM-WCPV-S, PM-SARS2-SMUT01-1, PM-SARS2-SMUT02-1, respectively) for 9 hours at 37°C allowing for upregulation of CD69/CD40L/OX40 on antigen-specific cells (AIM+). Cells were further incubated for 12 additional hours at 37°C in the presence of Brefeldin A (BFA, Sigma, Cat# 7651). An unstimulated condition served as a negative control. </w:t>
      </w:r>
    </w:p>
    <w:p w14:paraId="7A5A7098" w14:textId="77777777" w:rsidR="0059615C" w:rsidRDefault="0059615C" w:rsidP="0059615C">
      <w:pPr>
        <w:spacing w:after="0" w:line="360" w:lineRule="auto"/>
        <w:jc w:val="both"/>
        <w:rPr>
          <w:lang w:val="en-US"/>
        </w:rPr>
      </w:pPr>
      <w:r w:rsidRPr="0089158D">
        <w:rPr>
          <w:lang w:val="en-US"/>
        </w:rPr>
        <w:t>After resting or stimulation, cells were collected, resuspended in PBS and stained with the Aqua Live/Dead staining kit (</w:t>
      </w:r>
      <w:proofErr w:type="spellStart"/>
      <w:r w:rsidRPr="0089158D">
        <w:rPr>
          <w:lang w:val="en-US"/>
        </w:rPr>
        <w:t>ThermoFisher</w:t>
      </w:r>
      <w:proofErr w:type="spellEnd"/>
      <w:r w:rsidRPr="0089158D">
        <w:rPr>
          <w:lang w:val="en-US"/>
        </w:rPr>
        <w:t xml:space="preserve"> Scientific, Cat#L34957) for 20min at 4°C. Cells were then stained with antibodies against extracellular molecules in PBS + 4% human serum for 20min at 4°C. After a 15min fixation with PBS + 4% paraformaldehyde (Sigma, Cat# 252549), a permeabilization step was performed with the </w:t>
      </w:r>
      <w:proofErr w:type="spellStart"/>
      <w:r w:rsidRPr="0089158D">
        <w:rPr>
          <w:lang w:val="en-US"/>
        </w:rPr>
        <w:t>PermWash</w:t>
      </w:r>
      <w:proofErr w:type="spellEnd"/>
      <w:r w:rsidRPr="0089158D">
        <w:rPr>
          <w:lang w:val="en-US"/>
        </w:rPr>
        <w:t xml:space="preserve"> buffer for 30min (BD, Cat# 554723) following the manufacturer’s instructions. Cells were then stained with antibodies targeting intracellular </w:t>
      </w:r>
      <w:proofErr w:type="spellStart"/>
      <w:r w:rsidRPr="0089158D">
        <w:rPr>
          <w:lang w:val="en-US"/>
        </w:rPr>
        <w:t>cytokinesfor</w:t>
      </w:r>
      <w:proofErr w:type="spellEnd"/>
      <w:r w:rsidRPr="0089158D">
        <w:rPr>
          <w:lang w:val="en-US"/>
        </w:rPr>
        <w:t xml:space="preserve"> an additional 45min at room temperature in the </w:t>
      </w:r>
      <w:proofErr w:type="spellStart"/>
      <w:r w:rsidRPr="0089158D">
        <w:rPr>
          <w:lang w:val="en-US"/>
        </w:rPr>
        <w:t>PermWash</w:t>
      </w:r>
      <w:proofErr w:type="spellEnd"/>
      <w:r w:rsidRPr="0089158D">
        <w:rPr>
          <w:lang w:val="en-US"/>
        </w:rPr>
        <w:t xml:space="preserve"> Buffer. Cells were then washed and resuspended in PBS </w:t>
      </w:r>
      <w:r w:rsidRPr="0089158D">
        <w:rPr>
          <w:lang w:val="en-US"/>
        </w:rPr>
        <w:lastRenderedPageBreak/>
        <w:t>for subsequent analysis. After acquisition (</w:t>
      </w:r>
      <w:proofErr w:type="spellStart"/>
      <w:r w:rsidRPr="0089158D">
        <w:rPr>
          <w:lang w:val="en-US"/>
        </w:rPr>
        <w:t>Navios</w:t>
      </w:r>
      <w:proofErr w:type="spellEnd"/>
      <w:r w:rsidRPr="0089158D">
        <w:rPr>
          <w:lang w:val="en-US"/>
        </w:rPr>
        <w:t xml:space="preserve">, Beckman-Coulter), analysis was performed using </w:t>
      </w:r>
      <w:proofErr w:type="spellStart"/>
      <w:r w:rsidRPr="0089158D">
        <w:rPr>
          <w:lang w:val="en-US"/>
        </w:rPr>
        <w:t>FlowJo</w:t>
      </w:r>
      <w:proofErr w:type="spellEnd"/>
      <w:r w:rsidRPr="0089158D">
        <w:rPr>
          <w:lang w:val="en-US"/>
        </w:rPr>
        <w:t xml:space="preserve"> software version 10.7.1 (Tree Star, Ashland, OR).</w:t>
      </w:r>
    </w:p>
    <w:p w14:paraId="7A9E7BB0" w14:textId="77777777" w:rsidR="0059615C" w:rsidRPr="00B24EF6" w:rsidRDefault="0059615C" w:rsidP="00BD590A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Antibodies used: </w:t>
      </w:r>
      <w:r w:rsidRPr="001A3C75">
        <w:rPr>
          <w:lang w:val="en-US"/>
        </w:rPr>
        <w:t xml:space="preserve">CD4-APC-H7 (Clone: RPA-T4, Cat#560168, Dilution 1/100), CD3-A700 (Clone: UCHT1, Cat#557943, Dilution 1/200), CD69-BV786 (Clone: FN50, Cat#563834, Dilution 1/50), OX40-BV605 (Clone: ACT35, Cat#743284, Dilution 1/50), IFNγ-PE-Cy7 (Clone: B27, Cat#557643, Dilution 1/100), TNFα-APC (Clone: MAb11, Cat#562084, Dilution 1/100), </w:t>
      </w:r>
      <w:proofErr w:type="spellStart"/>
      <w:r w:rsidRPr="001A3C75">
        <w:rPr>
          <w:lang w:val="en-US"/>
        </w:rPr>
        <w:t>GranzymeB</w:t>
      </w:r>
      <w:proofErr w:type="spellEnd"/>
      <w:r w:rsidRPr="001A3C75">
        <w:rPr>
          <w:lang w:val="en-US"/>
        </w:rPr>
        <w:t xml:space="preserve">-PE (Clone: GB11, Cat#561142, Dilution 1/33) and IL-2-PerCP-Cy5.5 (Clone: MQ1-17H2, Cat#560708, Dilution 1/33) and CD40L-BV421 (Clone: TRAP1, Cat#563886, Dilution 1/25) purchased from BD Bioscience, and CD8-FITC (Clone: BW135/80, Cat#130-113-719, Dilution 1/200) from </w:t>
      </w:r>
      <w:proofErr w:type="spellStart"/>
      <w:r w:rsidRPr="001A3C75">
        <w:rPr>
          <w:lang w:val="en-US"/>
        </w:rPr>
        <w:t>Miltenyi</w:t>
      </w:r>
      <w:proofErr w:type="spellEnd"/>
      <w:r w:rsidRPr="001A3C75">
        <w:rPr>
          <w:lang w:val="en-US"/>
        </w:rPr>
        <w:t>/MACS.</w:t>
      </w:r>
    </w:p>
    <w:sectPr w:rsidR="0059615C" w:rsidRPr="00B24EF6" w:rsidSect="00156AD3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874"/>
    <w:rsid w:val="00050DD0"/>
    <w:rsid w:val="00102BAD"/>
    <w:rsid w:val="00144DB7"/>
    <w:rsid w:val="00156AD3"/>
    <w:rsid w:val="001D18C0"/>
    <w:rsid w:val="002E71BE"/>
    <w:rsid w:val="003D6215"/>
    <w:rsid w:val="00526D84"/>
    <w:rsid w:val="00565F33"/>
    <w:rsid w:val="0059615C"/>
    <w:rsid w:val="0066602E"/>
    <w:rsid w:val="006D24E5"/>
    <w:rsid w:val="00917359"/>
    <w:rsid w:val="009A4DEA"/>
    <w:rsid w:val="00AA0547"/>
    <w:rsid w:val="00B24EF6"/>
    <w:rsid w:val="00B56874"/>
    <w:rsid w:val="00BD590A"/>
    <w:rsid w:val="00D42537"/>
    <w:rsid w:val="00DA5DBF"/>
    <w:rsid w:val="00DB77B9"/>
    <w:rsid w:val="00E434C4"/>
    <w:rsid w:val="00EA160E"/>
    <w:rsid w:val="00F109F0"/>
    <w:rsid w:val="00FB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011F7"/>
  <w15:chartTrackingRefBased/>
  <w15:docId w15:val="{D477509E-9183-4C5F-9E7F-EC6BDC4B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59615C"/>
  </w:style>
  <w:style w:type="character" w:styleId="Hyperlink">
    <w:name w:val="Hyperlink"/>
    <w:basedOn w:val="DefaultParagraphFont"/>
    <w:uiPriority w:val="99"/>
    <w:unhideWhenUsed/>
    <w:rsid w:val="0059615C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61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isaid.org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</dc:creator>
  <cp:keywords/>
  <dc:description/>
  <cp:lastModifiedBy>Megan Bond</cp:lastModifiedBy>
  <cp:revision>2</cp:revision>
  <cp:lastPrinted>2021-09-13T12:30:00Z</cp:lastPrinted>
  <dcterms:created xsi:type="dcterms:W3CDTF">2022-01-31T11:10:00Z</dcterms:created>
  <dcterms:modified xsi:type="dcterms:W3CDTF">2022-01-31T11:10:00Z</dcterms:modified>
</cp:coreProperties>
</file>