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CE6A" w14:textId="55A2B2C9" w:rsidR="0029445F" w:rsidRPr="00D80FAE" w:rsidRDefault="0029445F" w:rsidP="0029445F">
      <w:pPr>
        <w:shd w:val="clear" w:color="auto" w:fill="FFFFFF"/>
        <w:rPr>
          <w:highlight w:val="white"/>
        </w:rPr>
      </w:pPr>
      <w:r>
        <w:rPr>
          <w:highlight w:val="white"/>
        </w:rPr>
        <w:t>Supplementary Information</w:t>
      </w:r>
    </w:p>
    <w:p w14:paraId="01E8AEE6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i/>
          <w:highlight w:val="white"/>
        </w:rPr>
      </w:pPr>
      <w:r w:rsidRPr="00D80FAE">
        <w:rPr>
          <w:i/>
          <w:highlight w:val="white"/>
        </w:rPr>
        <w:t>Brief Research Report</w:t>
      </w:r>
    </w:p>
    <w:p w14:paraId="568A60BB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b/>
          <w:sz w:val="28"/>
          <w:szCs w:val="28"/>
          <w:highlight w:val="white"/>
        </w:rPr>
      </w:pPr>
      <w:r w:rsidRPr="00D80FAE">
        <w:rPr>
          <w:b/>
          <w:sz w:val="28"/>
          <w:szCs w:val="28"/>
          <w:highlight w:val="white"/>
        </w:rPr>
        <w:t>Assessment of molecular residual disease using circulating tumor DNA to identify multiple myeloma patients at high risk of relapse</w:t>
      </w:r>
    </w:p>
    <w:p w14:paraId="15ADC21A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  <w:vertAlign w:val="superscript"/>
        </w:rPr>
      </w:pPr>
      <w:r w:rsidRPr="00D80FAE">
        <w:rPr>
          <w:highlight w:val="white"/>
        </w:rPr>
        <w:t>Binod Dhakal</w:t>
      </w:r>
      <w:r w:rsidRPr="00D80FAE">
        <w:rPr>
          <w:highlight w:val="white"/>
          <w:vertAlign w:val="superscript"/>
        </w:rPr>
        <w:t>1</w:t>
      </w:r>
      <w:r w:rsidRPr="00D80FAE">
        <w:rPr>
          <w:highlight w:val="white"/>
        </w:rPr>
        <w:t>, Shruti Sharma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Mustafa Balcioglu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Svetlana Shchegrova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Meenakshi Malhotra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Bernhard Zimmermann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Paul R. Billings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Alexandra Harrington</w:t>
      </w:r>
      <w:r w:rsidRPr="00D80FAE">
        <w:rPr>
          <w:highlight w:val="white"/>
          <w:vertAlign w:val="superscript"/>
        </w:rPr>
        <w:t>3</w:t>
      </w:r>
      <w:r w:rsidRPr="00D80FAE">
        <w:rPr>
          <w:highlight w:val="white"/>
        </w:rPr>
        <w:t>,</w:t>
      </w:r>
      <w:r w:rsidRPr="00D80FAE">
        <w:rPr>
          <w:highlight w:val="white"/>
          <w:vertAlign w:val="superscript"/>
        </w:rPr>
        <w:t xml:space="preserve"> </w:t>
      </w:r>
      <w:r w:rsidRPr="00D80FAE">
        <w:rPr>
          <w:highlight w:val="white"/>
        </w:rPr>
        <w:t>Himanshu Sethi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>, Alexey Aleshin</w:t>
      </w:r>
      <w:r w:rsidRPr="00D80FAE">
        <w:rPr>
          <w:highlight w:val="white"/>
          <w:vertAlign w:val="superscript"/>
        </w:rPr>
        <w:t>2</w:t>
      </w:r>
      <w:r w:rsidRPr="00D80FAE">
        <w:rPr>
          <w:highlight w:val="white"/>
        </w:rPr>
        <w:t xml:space="preserve"> and Parameswaran Hari</w:t>
      </w:r>
      <w:r w:rsidRPr="00D80FAE">
        <w:rPr>
          <w:highlight w:val="white"/>
          <w:vertAlign w:val="superscript"/>
        </w:rPr>
        <w:t>1</w:t>
      </w:r>
    </w:p>
    <w:p w14:paraId="45FC1398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1.</w:t>
      </w:r>
      <w:r w:rsidRPr="00D80FAE">
        <w:rPr>
          <w:b/>
          <w:highlight w:val="white"/>
        </w:rPr>
        <w:t xml:space="preserve"> </w:t>
      </w:r>
      <w:r w:rsidRPr="00D80FAE">
        <w:rPr>
          <w:highlight w:val="white"/>
        </w:rPr>
        <w:t>Division of BMT &amp; Cellular Therapy, Medical College of Wisconsin, Milwaukee, WI</w:t>
      </w:r>
    </w:p>
    <w:p w14:paraId="7288983D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2. Natera, Inc., Austin, TX</w:t>
      </w:r>
    </w:p>
    <w:p w14:paraId="7D455D2F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3. Department of Pathology, Medical College of Wisconsin, Milwaukee, WI</w:t>
      </w:r>
    </w:p>
    <w:p w14:paraId="6914CC2F" w14:textId="77777777" w:rsidR="0029445F" w:rsidRPr="00D80FAE" w:rsidRDefault="0029445F" w:rsidP="0029445F">
      <w:pPr>
        <w:shd w:val="clear" w:color="auto" w:fill="FFFFFF"/>
        <w:spacing w:before="240" w:after="240" w:line="360" w:lineRule="auto"/>
        <w:jc w:val="both"/>
        <w:rPr>
          <w:b/>
          <w:highlight w:val="white"/>
        </w:rPr>
      </w:pPr>
      <w:r w:rsidRPr="00D80FAE">
        <w:rPr>
          <w:b/>
          <w:highlight w:val="white"/>
        </w:rPr>
        <w:t xml:space="preserve"> </w:t>
      </w:r>
    </w:p>
    <w:p w14:paraId="5DEA0781" w14:textId="77777777" w:rsidR="0029445F" w:rsidRPr="00D80FAE" w:rsidRDefault="0029445F" w:rsidP="0029445F">
      <w:pPr>
        <w:shd w:val="clear" w:color="auto" w:fill="FFFFFF"/>
        <w:spacing w:before="240" w:after="240" w:line="360" w:lineRule="auto"/>
        <w:jc w:val="both"/>
        <w:rPr>
          <w:highlight w:val="white"/>
        </w:rPr>
      </w:pPr>
      <w:r w:rsidRPr="00D80FAE">
        <w:rPr>
          <w:b/>
          <w:highlight w:val="white"/>
        </w:rPr>
        <w:t xml:space="preserve">Key words: </w:t>
      </w:r>
      <w:r w:rsidRPr="00D80FAE">
        <w:rPr>
          <w:highlight w:val="white"/>
        </w:rPr>
        <w:t>circulating tumor DNA</w:t>
      </w:r>
      <w:r w:rsidRPr="00D80FAE">
        <w:rPr>
          <w:b/>
          <w:highlight w:val="white"/>
        </w:rPr>
        <w:t xml:space="preserve"> (</w:t>
      </w:r>
      <w:proofErr w:type="spellStart"/>
      <w:r w:rsidRPr="00D80FAE">
        <w:rPr>
          <w:highlight w:val="white"/>
        </w:rPr>
        <w:t>ctDNA</w:t>
      </w:r>
      <w:proofErr w:type="spellEnd"/>
      <w:r w:rsidRPr="00D80FAE">
        <w:rPr>
          <w:highlight w:val="white"/>
        </w:rPr>
        <w:t>), tumor-informed, minimal residual disease (MRD), multiple myeloma (MM), multiparameter flow cytometry (MFC)</w:t>
      </w:r>
    </w:p>
    <w:p w14:paraId="762ED74C" w14:textId="77777777" w:rsidR="0029445F" w:rsidRPr="00D80FAE" w:rsidRDefault="0029445F" w:rsidP="0029445F">
      <w:pPr>
        <w:shd w:val="clear" w:color="auto" w:fill="FFFFFF"/>
        <w:spacing w:before="240" w:after="240" w:line="360" w:lineRule="auto"/>
        <w:jc w:val="both"/>
        <w:rPr>
          <w:highlight w:val="white"/>
        </w:rPr>
      </w:pPr>
      <w:r w:rsidRPr="00D80FAE">
        <w:rPr>
          <w:b/>
          <w:highlight w:val="white"/>
        </w:rPr>
        <w:t xml:space="preserve">Short title: </w:t>
      </w:r>
      <w:proofErr w:type="spellStart"/>
      <w:r w:rsidRPr="00D80FAE">
        <w:rPr>
          <w:highlight w:val="white"/>
        </w:rPr>
        <w:t>ctDNA</w:t>
      </w:r>
      <w:proofErr w:type="spellEnd"/>
      <w:r w:rsidRPr="00D80FAE">
        <w:rPr>
          <w:highlight w:val="white"/>
        </w:rPr>
        <w:t xml:space="preserve"> in multiple myeloma</w:t>
      </w:r>
    </w:p>
    <w:p w14:paraId="7E066CFA" w14:textId="77777777" w:rsidR="0029445F" w:rsidRPr="00D80FAE" w:rsidRDefault="0029445F" w:rsidP="0029445F">
      <w:pPr>
        <w:shd w:val="clear" w:color="auto" w:fill="FFFFFF"/>
        <w:spacing w:before="240" w:after="240" w:line="360" w:lineRule="auto"/>
        <w:jc w:val="both"/>
        <w:rPr>
          <w:b/>
          <w:highlight w:val="white"/>
        </w:rPr>
      </w:pPr>
      <w:r w:rsidRPr="00D80FAE">
        <w:rPr>
          <w:b/>
          <w:highlight w:val="white"/>
        </w:rPr>
        <w:t xml:space="preserve"> </w:t>
      </w:r>
    </w:p>
    <w:p w14:paraId="578FA216" w14:textId="77777777" w:rsidR="0029445F" w:rsidRPr="00D80FAE" w:rsidRDefault="0029445F" w:rsidP="0029445F">
      <w:pPr>
        <w:shd w:val="clear" w:color="auto" w:fill="FFFFFF"/>
        <w:spacing w:before="240" w:after="240" w:line="360" w:lineRule="auto"/>
        <w:jc w:val="both"/>
        <w:rPr>
          <w:b/>
          <w:highlight w:val="white"/>
        </w:rPr>
      </w:pPr>
      <w:r w:rsidRPr="00D80FAE">
        <w:rPr>
          <w:b/>
          <w:highlight w:val="white"/>
        </w:rPr>
        <w:t>Corresponding author:</w:t>
      </w:r>
    </w:p>
    <w:p w14:paraId="3C4A1C28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Parameswaran Hari, MD, MRCP</w:t>
      </w:r>
    </w:p>
    <w:p w14:paraId="0226EF2B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Chief Professor of Medicine</w:t>
      </w:r>
    </w:p>
    <w:p w14:paraId="2AB206C9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Medical College of Wisconsin</w:t>
      </w:r>
    </w:p>
    <w:p w14:paraId="0ABB0F69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Milwaukee, WI</w:t>
      </w:r>
    </w:p>
    <w:p w14:paraId="454AF713" w14:textId="77777777" w:rsidR="0029445F" w:rsidRPr="00D80FAE" w:rsidRDefault="0029445F" w:rsidP="0029445F">
      <w:pPr>
        <w:shd w:val="clear" w:color="auto" w:fill="FFFFFF"/>
        <w:spacing w:before="240" w:after="240"/>
        <w:jc w:val="both"/>
        <w:rPr>
          <w:highlight w:val="white"/>
        </w:rPr>
      </w:pPr>
      <w:r w:rsidRPr="00D80FAE">
        <w:rPr>
          <w:highlight w:val="white"/>
        </w:rPr>
        <w:t>Email: phari@mcw.edu</w:t>
      </w:r>
    </w:p>
    <w:p w14:paraId="2252889A" w14:textId="5DB1ADCC" w:rsidR="0029445F" w:rsidRDefault="0029445F">
      <w:pPr>
        <w:spacing w:line="240" w:lineRule="auto"/>
      </w:pPr>
      <w:r>
        <w:br w:type="page"/>
      </w:r>
    </w:p>
    <w:p w14:paraId="7A64D18A" w14:textId="339A3095" w:rsidR="0029445F" w:rsidRDefault="0029445F" w:rsidP="0029445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D468911" wp14:editId="240413E2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4FF8" w14:textId="5086E709" w:rsidR="0029445F" w:rsidRDefault="0029445F" w:rsidP="0029445F">
      <w:pPr>
        <w:rPr>
          <w:lang w:val="en-US"/>
        </w:rPr>
      </w:pPr>
    </w:p>
    <w:p w14:paraId="625A2D8B" w14:textId="77777777" w:rsidR="0029445F" w:rsidRDefault="0029445F" w:rsidP="0029445F">
      <w:pPr>
        <w:rPr>
          <w:lang w:val="en-US"/>
        </w:rPr>
      </w:pPr>
    </w:p>
    <w:p w14:paraId="63A2DF44" w14:textId="08FF1128" w:rsidR="0029445F" w:rsidRPr="0029445F" w:rsidRDefault="0029445F" w:rsidP="0029445F">
      <w:pPr>
        <w:rPr>
          <w:lang w:val="en-US"/>
        </w:rPr>
      </w:pPr>
      <w:r w:rsidRPr="0029445F">
        <w:rPr>
          <w:b/>
          <w:bCs/>
          <w:lang w:val="en-US"/>
        </w:rPr>
        <w:t>Supplementary Figure 1.</w:t>
      </w:r>
      <w:r w:rsidRPr="0029445F">
        <w:rPr>
          <w:lang w:val="en-US"/>
        </w:rPr>
        <w:t xml:space="preserve">  </w:t>
      </w:r>
      <w:r w:rsidR="00F43E78">
        <w:rPr>
          <w:lang w:val="en-US"/>
        </w:rPr>
        <w:t>MFC</w:t>
      </w:r>
      <w:r w:rsidRPr="0029445F">
        <w:rPr>
          <w:lang w:val="en-US"/>
        </w:rPr>
        <w:t xml:space="preserve"> histograms showing residual disease </w:t>
      </w:r>
      <w:r w:rsidR="00EC1810">
        <w:rPr>
          <w:lang w:val="en-US"/>
        </w:rPr>
        <w:t>from a</w:t>
      </w:r>
      <w:r w:rsidRPr="0029445F">
        <w:rPr>
          <w:lang w:val="en-US"/>
        </w:rPr>
        <w:t xml:space="preserve"> patient.  Residual myeloma cells (red) are CD38</w:t>
      </w:r>
      <w:r w:rsidR="00DD0CF6">
        <w:rPr>
          <w:lang w:val="en-US"/>
        </w:rPr>
        <w:t xml:space="preserve"> </w:t>
      </w:r>
      <w:r w:rsidRPr="0029445F">
        <w:rPr>
          <w:lang w:val="en-US"/>
        </w:rPr>
        <w:t>(bright+), positive for CD20, CD117, CD200, and lambda light chain and negative for CD19 and CD56.  Red</w:t>
      </w:r>
      <w:r w:rsidR="00DD0CF6">
        <w:rPr>
          <w:lang w:val="en-US"/>
        </w:rPr>
        <w:t xml:space="preserve">: </w:t>
      </w:r>
      <w:r w:rsidRPr="0029445F">
        <w:rPr>
          <w:lang w:val="en-US"/>
        </w:rPr>
        <w:t>myeloma cells; magenta</w:t>
      </w:r>
      <w:r w:rsidR="00DD0CF6">
        <w:rPr>
          <w:lang w:val="en-US"/>
        </w:rPr>
        <w:t xml:space="preserve">: </w:t>
      </w:r>
      <w:r w:rsidRPr="0029445F">
        <w:rPr>
          <w:lang w:val="en-US"/>
        </w:rPr>
        <w:t>hematogones; blue</w:t>
      </w:r>
      <w:r w:rsidR="00DD0CF6">
        <w:rPr>
          <w:lang w:val="en-US"/>
        </w:rPr>
        <w:t xml:space="preserve">: </w:t>
      </w:r>
      <w:r w:rsidRPr="0029445F">
        <w:rPr>
          <w:lang w:val="en-US"/>
        </w:rPr>
        <w:t xml:space="preserve">B cells.  </w:t>
      </w:r>
    </w:p>
    <w:p w14:paraId="046550B7" w14:textId="63EF8774" w:rsidR="00170C88" w:rsidRDefault="00170C88"/>
    <w:sectPr w:rsidR="00170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5F"/>
    <w:rsid w:val="000267C3"/>
    <w:rsid w:val="00090F78"/>
    <w:rsid w:val="001000FF"/>
    <w:rsid w:val="00170C88"/>
    <w:rsid w:val="001E10E9"/>
    <w:rsid w:val="0029445F"/>
    <w:rsid w:val="002C55DB"/>
    <w:rsid w:val="003943BC"/>
    <w:rsid w:val="00396147"/>
    <w:rsid w:val="00397185"/>
    <w:rsid w:val="003A624D"/>
    <w:rsid w:val="00407536"/>
    <w:rsid w:val="005210C7"/>
    <w:rsid w:val="00551446"/>
    <w:rsid w:val="005947EE"/>
    <w:rsid w:val="005A01C2"/>
    <w:rsid w:val="006108B0"/>
    <w:rsid w:val="00636F77"/>
    <w:rsid w:val="007157CE"/>
    <w:rsid w:val="007E5D7E"/>
    <w:rsid w:val="007E7794"/>
    <w:rsid w:val="00802F5F"/>
    <w:rsid w:val="00871B23"/>
    <w:rsid w:val="00881531"/>
    <w:rsid w:val="008B71BE"/>
    <w:rsid w:val="00900F8B"/>
    <w:rsid w:val="00B13AE8"/>
    <w:rsid w:val="00BE592F"/>
    <w:rsid w:val="00C25676"/>
    <w:rsid w:val="00C40F83"/>
    <w:rsid w:val="00D33B38"/>
    <w:rsid w:val="00D73825"/>
    <w:rsid w:val="00DA2EEF"/>
    <w:rsid w:val="00DC2CB3"/>
    <w:rsid w:val="00DD0CF6"/>
    <w:rsid w:val="00E16E56"/>
    <w:rsid w:val="00E55C25"/>
    <w:rsid w:val="00EC1810"/>
    <w:rsid w:val="00EE3A49"/>
    <w:rsid w:val="00F2742A"/>
    <w:rsid w:val="00F42C13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C430"/>
  <w15:chartTrackingRefBased/>
  <w15:docId w15:val="{026785EA-7D93-6C47-8A3C-803812B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5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1009</Characters>
  <Application>Microsoft Office Word</Application>
  <DocSecurity>0</DocSecurity>
  <Lines>20</Lines>
  <Paragraphs>5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Malashevich</dc:creator>
  <cp:keywords/>
  <dc:description/>
  <cp:lastModifiedBy>Allyson Malashevich</cp:lastModifiedBy>
  <cp:revision>2</cp:revision>
  <dcterms:created xsi:type="dcterms:W3CDTF">2021-12-14T01:35:00Z</dcterms:created>
  <dcterms:modified xsi:type="dcterms:W3CDTF">2021-12-14T01:35:00Z</dcterms:modified>
</cp:coreProperties>
</file>