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BCC2" w14:textId="77777777" w:rsidR="00E61082" w:rsidRPr="00E61082" w:rsidRDefault="00E61082" w:rsidP="00E61082">
      <w:pPr>
        <w:spacing w:line="480" w:lineRule="auto"/>
        <w:rPr>
          <w:rFonts w:ascii="Times New Roman" w:eastAsia="黑体" w:hAnsi="Times New Roman"/>
          <w:b/>
          <w:bCs/>
          <w:sz w:val="24"/>
          <w:szCs w:val="24"/>
        </w:rPr>
      </w:pPr>
      <w:bookmarkStart w:id="0" w:name="_Hlk84630280"/>
      <w:r w:rsidRPr="00E61082">
        <w:rPr>
          <w:rFonts w:ascii="Times New Roman" w:eastAsia="黑体" w:hAnsi="Times New Roman"/>
          <w:b/>
          <w:bCs/>
          <w:sz w:val="24"/>
          <w:szCs w:val="24"/>
        </w:rPr>
        <w:t>HBeAg is indispensable for inducing liver sinusoidal endothelial cell activation by hepatitis B virus</w:t>
      </w:r>
    </w:p>
    <w:p w14:paraId="598B54DD" w14:textId="77777777" w:rsidR="00E61082" w:rsidRPr="00E61082" w:rsidRDefault="00E61082" w:rsidP="00E61082">
      <w:pPr>
        <w:spacing w:line="480" w:lineRule="auto"/>
        <w:rPr>
          <w:rFonts w:ascii="Times New Roman" w:eastAsia="黑体" w:hAnsi="Times New Roman"/>
          <w:b/>
          <w:bCs/>
          <w:sz w:val="24"/>
          <w:szCs w:val="24"/>
        </w:rPr>
      </w:pPr>
    </w:p>
    <w:p w14:paraId="51437BD3" w14:textId="77777777" w:rsidR="00E61082" w:rsidRPr="00E4798C" w:rsidRDefault="00E61082" w:rsidP="00E61082">
      <w:pPr>
        <w:spacing w:line="480" w:lineRule="auto"/>
        <w:rPr>
          <w:rFonts w:ascii="Times New Roman" w:eastAsia="黑体" w:hAnsi="Times New Roman"/>
          <w:sz w:val="22"/>
        </w:rPr>
      </w:pPr>
      <w:r w:rsidRPr="00E4798C">
        <w:rPr>
          <w:rFonts w:ascii="Times New Roman" w:eastAsia="黑体" w:hAnsi="Times New Roman"/>
          <w:sz w:val="22"/>
        </w:rPr>
        <w:t>Xiaohong Xie</w:t>
      </w:r>
      <w:r w:rsidRPr="00E4798C">
        <w:rPr>
          <w:rFonts w:ascii="Times New Roman" w:eastAsia="黑体" w:hAnsi="Times New Roman"/>
          <w:sz w:val="22"/>
          <w:vertAlign w:val="superscript"/>
        </w:rPr>
        <w:t>1*</w:t>
      </w:r>
      <w:r w:rsidRPr="00E4798C">
        <w:rPr>
          <w:rFonts w:ascii="Times New Roman" w:eastAsia="黑体" w:hAnsi="Times New Roman"/>
          <w:sz w:val="22"/>
        </w:rPr>
        <w:t>, Jinzhuo Luo</w:t>
      </w:r>
      <w:r w:rsidRPr="00E4798C">
        <w:rPr>
          <w:rFonts w:ascii="Times New Roman" w:eastAsia="黑体" w:hAnsi="Times New Roman"/>
          <w:sz w:val="22"/>
          <w:vertAlign w:val="superscript"/>
        </w:rPr>
        <w:t>1*</w:t>
      </w:r>
      <w:r w:rsidRPr="00E4798C">
        <w:rPr>
          <w:rFonts w:ascii="Times New Roman" w:eastAsia="黑体" w:hAnsi="Times New Roman"/>
          <w:sz w:val="22"/>
        </w:rPr>
        <w:t>, Dan Zhu</w:t>
      </w:r>
      <w:r w:rsidRPr="00E4798C">
        <w:rPr>
          <w:rFonts w:ascii="Times New Roman" w:eastAsia="黑体" w:hAnsi="Times New Roman"/>
          <w:sz w:val="22"/>
          <w:vertAlign w:val="superscript"/>
        </w:rPr>
        <w:t>1</w:t>
      </w:r>
      <w:r w:rsidRPr="00E4798C">
        <w:rPr>
          <w:rFonts w:ascii="Times New Roman" w:eastAsia="黑体" w:hAnsi="Times New Roman"/>
          <w:sz w:val="22"/>
        </w:rPr>
        <w:t>, Wenqing Zhou</w:t>
      </w:r>
      <w:r w:rsidRPr="00E4798C">
        <w:rPr>
          <w:rFonts w:ascii="Times New Roman" w:eastAsia="黑体" w:hAnsi="Times New Roman"/>
          <w:sz w:val="22"/>
          <w:vertAlign w:val="superscript"/>
        </w:rPr>
        <w:t>1</w:t>
      </w:r>
      <w:r w:rsidRPr="00E4798C">
        <w:rPr>
          <w:rFonts w:ascii="Times New Roman" w:eastAsia="黑体" w:hAnsi="Times New Roman"/>
          <w:sz w:val="22"/>
        </w:rPr>
        <w:t xml:space="preserve">, </w:t>
      </w:r>
      <w:r w:rsidRPr="00E4798C">
        <w:rPr>
          <w:rFonts w:ascii="Times New Roman" w:eastAsia="黑体" w:hAnsi="Times New Roman"/>
          <w:noProof/>
          <w:color w:val="000000"/>
          <w:sz w:val="22"/>
        </w:rPr>
        <w:t>Xuecheng Yang</w:t>
      </w:r>
      <w:r w:rsidRPr="00E4798C">
        <w:rPr>
          <w:rFonts w:ascii="Times New Roman" w:eastAsia="黑体" w:hAnsi="Times New Roman"/>
          <w:noProof/>
          <w:color w:val="000000"/>
          <w:sz w:val="22"/>
          <w:vertAlign w:val="superscript"/>
        </w:rPr>
        <w:t>1</w:t>
      </w:r>
      <w:r w:rsidRPr="00E4798C">
        <w:rPr>
          <w:rFonts w:ascii="Times New Roman" w:eastAsia="黑体" w:hAnsi="Times New Roman"/>
          <w:noProof/>
          <w:color w:val="000000"/>
          <w:sz w:val="22"/>
        </w:rPr>
        <w:t>, Xuemei Feng</w:t>
      </w:r>
      <w:r w:rsidRPr="00E4798C">
        <w:rPr>
          <w:rFonts w:ascii="Times New Roman" w:eastAsia="黑体" w:hAnsi="Times New Roman"/>
          <w:noProof/>
          <w:color w:val="000000"/>
          <w:sz w:val="22"/>
          <w:vertAlign w:val="superscript"/>
        </w:rPr>
        <w:t>1</w:t>
      </w:r>
      <w:r w:rsidRPr="00E4798C">
        <w:rPr>
          <w:rFonts w:ascii="Times New Roman" w:eastAsia="黑体" w:hAnsi="Times New Roman"/>
          <w:noProof/>
          <w:color w:val="000000"/>
          <w:sz w:val="22"/>
        </w:rPr>
        <w:t>, Mengji Lu</w:t>
      </w:r>
      <w:r w:rsidRPr="00E4798C">
        <w:rPr>
          <w:rFonts w:ascii="Times New Roman" w:eastAsia="黑体" w:hAnsi="Times New Roman"/>
          <w:noProof/>
          <w:color w:val="000000"/>
          <w:sz w:val="22"/>
          <w:vertAlign w:val="superscript"/>
        </w:rPr>
        <w:t>2</w:t>
      </w:r>
      <w:r w:rsidRPr="00E4798C">
        <w:rPr>
          <w:rFonts w:ascii="Times New Roman" w:eastAsia="黑体" w:hAnsi="Times New Roman"/>
          <w:noProof/>
          <w:color w:val="000000"/>
          <w:sz w:val="22"/>
        </w:rPr>
        <w:t>, Xin Zheng</w:t>
      </w:r>
      <w:r w:rsidRPr="00E4798C">
        <w:rPr>
          <w:rFonts w:ascii="Times New Roman" w:eastAsia="黑体" w:hAnsi="Times New Roman"/>
          <w:sz w:val="22"/>
          <w:vertAlign w:val="superscript"/>
        </w:rPr>
        <w:t>1</w:t>
      </w:r>
      <w:r w:rsidRPr="00E4798C">
        <w:rPr>
          <w:rFonts w:ascii="Times New Roman" w:eastAsia="黑体" w:hAnsi="Times New Roman"/>
          <w:sz w:val="22"/>
        </w:rPr>
        <w:t>,</w:t>
      </w:r>
      <w:r w:rsidRPr="00E4798C">
        <w:rPr>
          <w:rFonts w:ascii="Times New Roman" w:eastAsia="黑体" w:hAnsi="Times New Roman"/>
          <w:noProof/>
          <w:color w:val="000000"/>
          <w:sz w:val="22"/>
        </w:rPr>
        <w:t xml:space="preserve"> Ulf Dittmer</w:t>
      </w:r>
      <w:r w:rsidRPr="00E4798C">
        <w:rPr>
          <w:rFonts w:ascii="Times New Roman" w:eastAsia="黑体" w:hAnsi="Times New Roman"/>
          <w:noProof/>
          <w:color w:val="000000"/>
          <w:sz w:val="22"/>
          <w:vertAlign w:val="superscript"/>
        </w:rPr>
        <w:t>2</w:t>
      </w:r>
      <w:r w:rsidRPr="00E4798C">
        <w:rPr>
          <w:rFonts w:ascii="Times New Roman" w:eastAsia="黑体" w:hAnsi="Times New Roman"/>
          <w:noProof/>
          <w:color w:val="000000"/>
          <w:sz w:val="22"/>
        </w:rPr>
        <w:t xml:space="preserve">, </w:t>
      </w:r>
      <w:r w:rsidRPr="00E4798C">
        <w:rPr>
          <w:rFonts w:ascii="Times New Roman" w:eastAsia="黑体" w:hAnsi="Times New Roman"/>
          <w:sz w:val="22"/>
        </w:rPr>
        <w:t>Dongliang Yang</w:t>
      </w:r>
      <w:r w:rsidRPr="00E4798C">
        <w:rPr>
          <w:rFonts w:ascii="Times New Roman" w:eastAsia="黑体" w:hAnsi="Times New Roman"/>
          <w:sz w:val="22"/>
          <w:vertAlign w:val="superscript"/>
        </w:rPr>
        <w:t>1#</w:t>
      </w:r>
      <w:r w:rsidRPr="00E4798C">
        <w:rPr>
          <w:rFonts w:ascii="Times New Roman" w:eastAsia="黑体" w:hAnsi="Times New Roman"/>
          <w:sz w:val="22"/>
        </w:rPr>
        <w:t>, Jia Liu</w:t>
      </w:r>
      <w:r w:rsidRPr="00E4798C">
        <w:rPr>
          <w:rFonts w:ascii="Times New Roman" w:eastAsia="黑体" w:hAnsi="Times New Roman"/>
          <w:sz w:val="22"/>
          <w:vertAlign w:val="superscript"/>
        </w:rPr>
        <w:t>1#</w:t>
      </w:r>
    </w:p>
    <w:p w14:paraId="24F229D1" w14:textId="77777777" w:rsidR="00E61082" w:rsidRPr="00E61082" w:rsidRDefault="00E61082" w:rsidP="00E61082">
      <w:pPr>
        <w:spacing w:line="480" w:lineRule="auto"/>
        <w:rPr>
          <w:rFonts w:ascii="Times New Roman" w:eastAsia="黑体" w:hAnsi="Times New Roman"/>
          <w:i/>
          <w:iCs/>
          <w:szCs w:val="21"/>
        </w:rPr>
      </w:pPr>
      <w:r w:rsidRPr="00E61082">
        <w:rPr>
          <w:rFonts w:ascii="Times New Roman" w:eastAsia="黑体" w:hAnsi="Times New Roman"/>
          <w:i/>
          <w:iCs/>
          <w:szCs w:val="21"/>
          <w:vertAlign w:val="superscript"/>
        </w:rPr>
        <w:t>1</w:t>
      </w:r>
      <w:r w:rsidRPr="00E61082">
        <w:rPr>
          <w:rFonts w:ascii="Times New Roman" w:eastAsia="黑体" w:hAnsi="Times New Roman"/>
          <w:i/>
          <w:iCs/>
          <w:szCs w:val="21"/>
        </w:rPr>
        <w:t xml:space="preserve"> Department of Infectious Diseases, Union Hospital, Tongji Medical College, Huazhong University of Science and Technology, Wuhan, Hubei, China</w:t>
      </w:r>
    </w:p>
    <w:p w14:paraId="793AFA6F" w14:textId="77777777" w:rsidR="00E61082" w:rsidRPr="00E61082" w:rsidRDefault="00E61082" w:rsidP="00E61082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/>
          <w:i/>
          <w:iCs/>
          <w:szCs w:val="21"/>
        </w:rPr>
      </w:pPr>
      <w:r w:rsidRPr="00E61082">
        <w:rPr>
          <w:rFonts w:ascii="Times New Roman" w:eastAsia="黑体" w:hAnsi="Times New Roman"/>
          <w:i/>
          <w:iCs/>
          <w:szCs w:val="21"/>
          <w:vertAlign w:val="superscript"/>
        </w:rPr>
        <w:t>2</w:t>
      </w:r>
      <w:r w:rsidRPr="00E61082">
        <w:rPr>
          <w:rFonts w:ascii="Times New Roman" w:eastAsia="黑体" w:hAnsi="Times New Roman"/>
          <w:i/>
          <w:iCs/>
          <w:szCs w:val="21"/>
        </w:rPr>
        <w:t xml:space="preserve"> Institute for Virology, University Hospital of Essen, University of Duisburg-Essen, </w:t>
      </w:r>
      <w:r w:rsidRPr="00E61082">
        <w:rPr>
          <w:rFonts w:ascii="Times New Roman" w:eastAsia="黑体" w:hAnsi="Times New Roman"/>
          <w:i/>
          <w:iCs/>
          <w:color w:val="000000"/>
          <w:szCs w:val="21"/>
        </w:rPr>
        <w:t>45122</w:t>
      </w:r>
      <w:r w:rsidRPr="00E61082">
        <w:rPr>
          <w:rFonts w:ascii="Times New Roman" w:eastAsia="黑体" w:hAnsi="Times New Roman"/>
          <w:i/>
          <w:iCs/>
          <w:szCs w:val="21"/>
        </w:rPr>
        <w:t xml:space="preserve"> Essen, Germany</w:t>
      </w:r>
    </w:p>
    <w:p w14:paraId="66A66769" w14:textId="77777777" w:rsidR="00E61082" w:rsidRPr="00E61082" w:rsidRDefault="00E61082" w:rsidP="00E61082">
      <w:pPr>
        <w:spacing w:line="480" w:lineRule="auto"/>
        <w:rPr>
          <w:rFonts w:ascii="Times New Roman" w:eastAsia="黑体" w:hAnsi="Times New Roman"/>
          <w:sz w:val="22"/>
        </w:rPr>
      </w:pPr>
    </w:p>
    <w:p w14:paraId="18DA2759" w14:textId="77777777" w:rsidR="00E61082" w:rsidRPr="00E61082" w:rsidRDefault="00E61082" w:rsidP="00E61082">
      <w:pPr>
        <w:spacing w:line="480" w:lineRule="auto"/>
        <w:rPr>
          <w:rFonts w:ascii="Times New Roman" w:eastAsia="黑体" w:hAnsi="Times New Roman"/>
          <w:szCs w:val="21"/>
        </w:rPr>
      </w:pPr>
      <w:bookmarkStart w:id="1" w:name="_Hlk60322943"/>
      <w:r w:rsidRPr="00E61082">
        <w:rPr>
          <w:rFonts w:ascii="Times New Roman" w:eastAsia="黑体" w:hAnsi="Times New Roman"/>
          <w:szCs w:val="21"/>
        </w:rPr>
        <w:t>*</w:t>
      </w:r>
      <w:r w:rsidRPr="00E61082">
        <w:rPr>
          <w:rFonts w:ascii="Times New Roman" w:eastAsia="黑体" w:hAnsi="Times New Roman"/>
          <w:sz w:val="22"/>
        </w:rPr>
        <w:t xml:space="preserve"> </w:t>
      </w:r>
      <w:r w:rsidRPr="00E61082">
        <w:rPr>
          <w:rFonts w:ascii="Times New Roman" w:eastAsia="黑体" w:hAnsi="Times New Roman"/>
          <w:szCs w:val="21"/>
        </w:rPr>
        <w:t>These authors contributed equally to this work.</w:t>
      </w:r>
    </w:p>
    <w:p w14:paraId="04245302" w14:textId="77777777" w:rsidR="00E61082" w:rsidRPr="00E61082" w:rsidRDefault="00E61082" w:rsidP="00E61082">
      <w:pPr>
        <w:spacing w:line="480" w:lineRule="auto"/>
        <w:rPr>
          <w:rFonts w:ascii="Times New Roman" w:eastAsia="黑体" w:hAnsi="Times New Roman"/>
          <w:szCs w:val="21"/>
        </w:rPr>
      </w:pPr>
      <w:r w:rsidRPr="00E61082">
        <w:rPr>
          <w:rFonts w:ascii="Times New Roman" w:eastAsia="黑体" w:hAnsi="Times New Roman"/>
          <w:szCs w:val="21"/>
        </w:rPr>
        <w:t># These authors contributed equally to this work.</w:t>
      </w:r>
    </w:p>
    <w:p w14:paraId="009126C2" w14:textId="77777777" w:rsidR="00E61082" w:rsidRPr="00E61082" w:rsidRDefault="00E61082" w:rsidP="00E61082">
      <w:pPr>
        <w:spacing w:line="480" w:lineRule="auto"/>
        <w:rPr>
          <w:rFonts w:ascii="Times New Roman" w:eastAsia="黑体" w:hAnsi="Times New Roman"/>
          <w:b/>
          <w:bCs/>
          <w:sz w:val="24"/>
          <w:szCs w:val="24"/>
        </w:rPr>
      </w:pPr>
    </w:p>
    <w:p w14:paraId="5B888856" w14:textId="77777777" w:rsidR="00E61082" w:rsidRPr="00385EB3" w:rsidRDefault="00E61082" w:rsidP="00E61082">
      <w:pPr>
        <w:tabs>
          <w:tab w:val="left" w:pos="3318"/>
        </w:tabs>
        <w:spacing w:line="480" w:lineRule="auto"/>
        <w:rPr>
          <w:rFonts w:ascii="Times New Roman" w:eastAsia="黑体" w:hAnsi="Times New Roman"/>
          <w:b/>
        </w:rPr>
      </w:pPr>
      <w:r w:rsidRPr="00385EB3">
        <w:rPr>
          <w:rFonts w:ascii="Times New Roman" w:eastAsia="黑体" w:hAnsi="Times New Roman"/>
          <w:b/>
        </w:rPr>
        <w:t xml:space="preserve">Correspondence to: </w:t>
      </w:r>
      <w:r w:rsidRPr="00385EB3">
        <w:rPr>
          <w:rFonts w:ascii="Times New Roman" w:eastAsia="黑体" w:hAnsi="Times New Roman"/>
          <w:b/>
        </w:rPr>
        <w:tab/>
      </w:r>
    </w:p>
    <w:p w14:paraId="1FE33D5D" w14:textId="77777777" w:rsidR="00E61082" w:rsidRPr="00385EB3" w:rsidRDefault="00E61082" w:rsidP="00E61082">
      <w:pPr>
        <w:spacing w:line="480" w:lineRule="auto"/>
        <w:rPr>
          <w:rFonts w:ascii="Times New Roman" w:eastAsia="黑体" w:hAnsi="Times New Roman"/>
        </w:rPr>
      </w:pPr>
      <w:r w:rsidRPr="00385EB3">
        <w:rPr>
          <w:rFonts w:ascii="Times New Roman" w:eastAsia="黑体" w:hAnsi="Times New Roman"/>
        </w:rPr>
        <w:t xml:space="preserve">Prof. Dr. Jia Liu, e-mail: </w:t>
      </w:r>
      <w:hyperlink r:id="rId7" w:history="1">
        <w:r w:rsidRPr="00385EB3">
          <w:rPr>
            <w:rFonts w:ascii="Times New Roman" w:eastAsia="黑体" w:hAnsi="Times New Roman"/>
          </w:rPr>
          <w:t>jialiu77@hust.edu.cn</w:t>
        </w:r>
      </w:hyperlink>
      <w:r w:rsidRPr="00385EB3">
        <w:rPr>
          <w:rFonts w:ascii="Times New Roman" w:eastAsia="黑体" w:hAnsi="Times New Roman"/>
        </w:rPr>
        <w:t xml:space="preserve">, </w:t>
      </w:r>
    </w:p>
    <w:p w14:paraId="6BB5C9DC" w14:textId="77777777" w:rsidR="00E61082" w:rsidRPr="00385EB3" w:rsidRDefault="00E61082" w:rsidP="00E61082">
      <w:pPr>
        <w:spacing w:line="480" w:lineRule="auto"/>
        <w:rPr>
          <w:rFonts w:ascii="Times New Roman" w:eastAsia="黑体" w:hAnsi="Times New Roman"/>
        </w:rPr>
      </w:pPr>
      <w:r w:rsidRPr="00385EB3">
        <w:rPr>
          <w:rFonts w:ascii="Times New Roman" w:eastAsia="黑体" w:hAnsi="Times New Roman"/>
        </w:rPr>
        <w:t>Tel: +8618696159826</w:t>
      </w:r>
    </w:p>
    <w:p w14:paraId="380DFC27" w14:textId="77777777" w:rsidR="00E61082" w:rsidRPr="00385EB3" w:rsidRDefault="00E61082" w:rsidP="00E61082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/>
          <w:b/>
          <w:bCs/>
          <w:sz w:val="24"/>
          <w:szCs w:val="24"/>
        </w:rPr>
      </w:pPr>
      <w:r w:rsidRPr="00385EB3">
        <w:rPr>
          <w:rFonts w:ascii="Times New Roman" w:eastAsia="Arial Unicode MS" w:hAnsi="Times New Roman"/>
          <w:iCs/>
        </w:rPr>
        <w:t>Department of Infectious Diseases, Union Hospital, Tongji Medical College, Huazhong University of Science and Technology, Wuhan 430022, China</w:t>
      </w:r>
      <w:bookmarkEnd w:id="1"/>
      <w:r w:rsidRPr="00385EB3">
        <w:rPr>
          <w:rFonts w:ascii="Times New Roman" w:eastAsia="黑体" w:hAnsi="Times New Roman"/>
          <w:b/>
          <w:bCs/>
          <w:sz w:val="24"/>
          <w:szCs w:val="24"/>
        </w:rPr>
        <w:t xml:space="preserve"> </w:t>
      </w:r>
    </w:p>
    <w:p w14:paraId="0B8F2822" w14:textId="77777777" w:rsidR="00E61082" w:rsidRPr="00E61082" w:rsidRDefault="00E61082" w:rsidP="00E61082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/>
          <w:b/>
          <w:bCs/>
          <w:sz w:val="24"/>
          <w:szCs w:val="24"/>
        </w:rPr>
      </w:pPr>
    </w:p>
    <w:bookmarkEnd w:id="0"/>
    <w:p w14:paraId="0E034A2A" w14:textId="77777777" w:rsidR="00E61082" w:rsidRPr="00E61082" w:rsidRDefault="00E61082" w:rsidP="00E61082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/>
          <w:b/>
          <w:bCs/>
          <w:szCs w:val="21"/>
        </w:rPr>
      </w:pPr>
      <w:r w:rsidRPr="00E61082">
        <w:rPr>
          <w:rFonts w:ascii="Times New Roman" w:eastAsia="黑体" w:hAnsi="Times New Roman"/>
          <w:b/>
          <w:bCs/>
          <w:szCs w:val="21"/>
        </w:rPr>
        <w:t>Financial support statement:</w:t>
      </w:r>
    </w:p>
    <w:p w14:paraId="2F40EE5F" w14:textId="2F142599" w:rsidR="00E61082" w:rsidRPr="00E61082" w:rsidRDefault="00E61082" w:rsidP="00E61082">
      <w:pPr>
        <w:autoSpaceDE w:val="0"/>
        <w:autoSpaceDN w:val="0"/>
        <w:adjustRightInd w:val="0"/>
        <w:spacing w:line="480" w:lineRule="auto"/>
        <w:rPr>
          <w:rFonts w:ascii="Times New Roman" w:eastAsia="黑体" w:hAnsi="Times New Roman"/>
          <w:szCs w:val="21"/>
        </w:rPr>
      </w:pPr>
      <w:r w:rsidRPr="00E61082">
        <w:rPr>
          <w:rFonts w:ascii="Times New Roman" w:eastAsia="黑体" w:hAnsi="Times New Roman"/>
          <w:szCs w:val="21"/>
        </w:rPr>
        <w:t>This work is supported by the National Natural Science Foundation of China (</w:t>
      </w:r>
      <w:r w:rsidRPr="00E61082">
        <w:rPr>
          <w:rFonts w:ascii="Times New Roman" w:eastAsia="黑体" w:hAnsi="Times New Roman"/>
          <w:color w:val="000000"/>
          <w:kern w:val="0"/>
          <w:szCs w:val="21"/>
        </w:rPr>
        <w:t xml:space="preserve">81861138044, </w:t>
      </w:r>
      <w:r w:rsidR="001A63F0" w:rsidRPr="001A63F0">
        <w:rPr>
          <w:rFonts w:ascii="Times New Roman" w:eastAsia="黑体" w:hAnsi="Times New Roman"/>
          <w:color w:val="000000"/>
          <w:kern w:val="0"/>
          <w:szCs w:val="21"/>
        </w:rPr>
        <w:t>82172256, 92169105,</w:t>
      </w:r>
      <w:r w:rsidR="001A63F0">
        <w:rPr>
          <w:rFonts w:ascii="Times New Roman" w:eastAsia="黑体" w:hAnsi="Times New Roman"/>
          <w:color w:val="000000"/>
          <w:kern w:val="0"/>
          <w:szCs w:val="21"/>
        </w:rPr>
        <w:t xml:space="preserve"> </w:t>
      </w:r>
      <w:r w:rsidRPr="00E61082">
        <w:rPr>
          <w:rFonts w:ascii="Times New Roman" w:eastAsia="黑体" w:hAnsi="Times New Roman"/>
          <w:szCs w:val="21"/>
        </w:rPr>
        <w:t xml:space="preserve">91742114 and 91642118), the National Scientific and Technological Major </w:t>
      </w:r>
      <w:r w:rsidRPr="00E61082">
        <w:rPr>
          <w:rFonts w:ascii="Times New Roman" w:eastAsia="黑体" w:hAnsi="Times New Roman"/>
          <w:szCs w:val="21"/>
        </w:rPr>
        <w:lastRenderedPageBreak/>
        <w:t>Project of China (2017ZX10202203), the Integrated Innovative Team for Major Human Diseases Program of Tongji Medical College, HUST and the Sino-German Virtual Institute for Viral Immunology.</w:t>
      </w:r>
    </w:p>
    <w:p w14:paraId="153F05C9" w14:textId="0DB381A2" w:rsidR="00D27B19" w:rsidRPr="00E51EAA" w:rsidRDefault="00AC3C2B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 w:rsidRPr="00E51EA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07C0B3F" w14:textId="08ED31E2" w:rsidR="00C2726D" w:rsidRPr="00E51EAA" w:rsidRDefault="00C2726D" w:rsidP="00C2726D">
      <w:pPr>
        <w:spacing w:line="48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E51EAA">
        <w:rPr>
          <w:rFonts w:ascii="Times New Roman" w:hAnsi="Times New Roman"/>
          <w:b/>
          <w:bCs/>
          <w:sz w:val="24"/>
          <w:szCs w:val="24"/>
        </w:rPr>
        <w:lastRenderedPageBreak/>
        <w:t>Supplementary figure legends</w:t>
      </w:r>
    </w:p>
    <w:p w14:paraId="2E498CFE" w14:textId="553B763C" w:rsidR="00E51EAA" w:rsidRPr="00E51EAA" w:rsidRDefault="00C2726D" w:rsidP="00087F00">
      <w:pPr>
        <w:spacing w:line="480" w:lineRule="auto"/>
        <w:rPr>
          <w:rFonts w:ascii="Times New Roman" w:hAnsi="Times New Roman"/>
          <w:sz w:val="24"/>
          <w:szCs w:val="24"/>
        </w:rPr>
      </w:pPr>
      <w:r w:rsidRPr="00E51EAA">
        <w:rPr>
          <w:rFonts w:ascii="Times New Roman" w:hAnsi="Times New Roman"/>
          <w:b/>
          <w:bCs/>
          <w:sz w:val="24"/>
          <w:szCs w:val="24"/>
        </w:rPr>
        <w:t xml:space="preserve">Figure S1. </w:t>
      </w:r>
      <w:r w:rsidR="00087F00" w:rsidRPr="00087F00">
        <w:rPr>
          <w:rFonts w:ascii="Times New Roman" w:hAnsi="Times New Roman"/>
          <w:b/>
          <w:bCs/>
          <w:sz w:val="24"/>
          <w:szCs w:val="24"/>
        </w:rPr>
        <w:t xml:space="preserve">Abolishment of LSEC-mediated T cell suppression by </w:t>
      </w:r>
      <w:r w:rsidR="00087F00" w:rsidRPr="00E51EAA">
        <w:rPr>
          <w:rFonts w:ascii="Times New Roman" w:hAnsi="Times New Roman"/>
          <w:b/>
          <w:bCs/>
          <w:sz w:val="24"/>
          <w:szCs w:val="24"/>
        </w:rPr>
        <w:t>hepatitis B virus (HBV)</w:t>
      </w:r>
      <w:r w:rsidR="00087F00" w:rsidRPr="00087F00">
        <w:rPr>
          <w:rFonts w:ascii="Times New Roman" w:hAnsi="Times New Roman"/>
          <w:b/>
          <w:bCs/>
          <w:sz w:val="24"/>
          <w:szCs w:val="24"/>
        </w:rPr>
        <w:t xml:space="preserve"> is </w:t>
      </w:r>
      <w:r w:rsidR="00087F00" w:rsidRPr="00E51EAA">
        <w:rPr>
          <w:rFonts w:ascii="Times New Roman" w:hAnsi="Times New Roman"/>
          <w:b/>
          <w:bCs/>
          <w:sz w:val="24"/>
          <w:szCs w:val="24"/>
        </w:rPr>
        <w:t>hepatitis B e antigen (HBeAg)</w:t>
      </w:r>
      <w:r w:rsidR="00087F00" w:rsidRPr="00087F00">
        <w:rPr>
          <w:rFonts w:ascii="Times New Roman" w:hAnsi="Times New Roman"/>
          <w:b/>
          <w:bCs/>
          <w:sz w:val="24"/>
          <w:szCs w:val="24"/>
        </w:rPr>
        <w:t>-dependent</w:t>
      </w:r>
      <w:r w:rsidR="00087F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1EAA" w:rsidRPr="00E51EAA">
        <w:rPr>
          <w:rFonts w:ascii="Times New Roman" w:hAnsi="Times New Roman"/>
          <w:sz w:val="24"/>
          <w:szCs w:val="24"/>
        </w:rPr>
        <w:t>C57BL/6 mice are hydrodynamically injected with pBS/HBV1.3 plus pCI-neo/null (HB</w:t>
      </w:r>
      <w:r w:rsidR="00E51EAA">
        <w:rPr>
          <w:rFonts w:ascii="Times New Roman" w:hAnsi="Times New Roman"/>
          <w:sz w:val="24"/>
          <w:szCs w:val="24"/>
        </w:rPr>
        <w:t>e</w:t>
      </w:r>
      <w:r w:rsidR="00E51EAA" w:rsidRPr="00E51EAA">
        <w:rPr>
          <w:rFonts w:ascii="Times New Roman" w:hAnsi="Times New Roman" w:hint="eastAsia"/>
          <w:sz w:val="24"/>
          <w:szCs w:val="24"/>
          <w:vertAlign w:val="superscript"/>
        </w:rPr>
        <w:t>wt</w:t>
      </w:r>
      <w:r w:rsidR="00E51EAA" w:rsidRPr="00E51EAA">
        <w:rPr>
          <w:rFonts w:ascii="Times New Roman" w:hAnsi="Times New Roman"/>
          <w:sz w:val="24"/>
          <w:szCs w:val="24"/>
        </w:rPr>
        <w:t>) or pBS/HBV1.3-HBeAg</w:t>
      </w:r>
      <w:r w:rsidR="00E51EAA" w:rsidRPr="00E51EAA">
        <w:rPr>
          <w:rFonts w:ascii="Times New Roman" w:hAnsi="Times New Roman"/>
          <w:sz w:val="24"/>
          <w:szCs w:val="24"/>
          <w:vertAlign w:val="superscript"/>
        </w:rPr>
        <w:t>dep</w:t>
      </w:r>
      <w:r w:rsidR="00E51EAA" w:rsidRPr="00E51EAA">
        <w:rPr>
          <w:rFonts w:ascii="Times New Roman" w:hAnsi="Times New Roman"/>
          <w:sz w:val="24"/>
          <w:szCs w:val="24"/>
        </w:rPr>
        <w:t xml:space="preserve"> plus pCI-neo/null (HB</w:t>
      </w:r>
      <w:r w:rsidR="00E51EAA">
        <w:rPr>
          <w:rFonts w:ascii="Times New Roman" w:hAnsi="Times New Roman"/>
          <w:sz w:val="24"/>
          <w:szCs w:val="24"/>
        </w:rPr>
        <w:t>e</w:t>
      </w:r>
      <w:r w:rsidR="00E51EAA">
        <w:rPr>
          <w:rFonts w:ascii="Times New Roman" w:hAnsi="Times New Roman"/>
          <w:sz w:val="24"/>
          <w:szCs w:val="24"/>
          <w:vertAlign w:val="superscript"/>
        </w:rPr>
        <w:t>del</w:t>
      </w:r>
      <w:r w:rsidR="00E51EAA" w:rsidRPr="00E51EAA">
        <w:rPr>
          <w:rFonts w:ascii="Times New Roman" w:hAnsi="Times New Roman"/>
          <w:sz w:val="24"/>
          <w:szCs w:val="24"/>
        </w:rPr>
        <w:t>) or pBS/HBV1.3-HBeAg</w:t>
      </w:r>
      <w:r w:rsidR="00E51EAA" w:rsidRPr="00E51EAA">
        <w:rPr>
          <w:rFonts w:ascii="Times New Roman" w:hAnsi="Times New Roman"/>
          <w:sz w:val="24"/>
          <w:szCs w:val="24"/>
          <w:vertAlign w:val="superscript"/>
        </w:rPr>
        <w:t>dep</w:t>
      </w:r>
      <w:r w:rsidR="00E51EAA" w:rsidRPr="00E51EAA">
        <w:rPr>
          <w:rFonts w:ascii="Times New Roman" w:hAnsi="Times New Roman"/>
          <w:sz w:val="24"/>
          <w:szCs w:val="24"/>
        </w:rPr>
        <w:t xml:space="preserve"> plus pCI-neo/HBeAg (HB</w:t>
      </w:r>
      <w:r w:rsidR="00E51EAA">
        <w:rPr>
          <w:rFonts w:ascii="Times New Roman" w:hAnsi="Times New Roman"/>
          <w:sz w:val="24"/>
          <w:szCs w:val="24"/>
        </w:rPr>
        <w:t>e</w:t>
      </w:r>
      <w:r w:rsidR="00E51EAA" w:rsidRPr="00E51EAA">
        <w:rPr>
          <w:rFonts w:ascii="Times New Roman" w:hAnsi="Times New Roman"/>
          <w:sz w:val="24"/>
          <w:szCs w:val="24"/>
          <w:vertAlign w:val="superscript"/>
        </w:rPr>
        <w:t>res</w:t>
      </w:r>
      <w:r w:rsidR="00E51EAA" w:rsidRPr="00E51EAA">
        <w:rPr>
          <w:rFonts w:ascii="Times New Roman" w:hAnsi="Times New Roman"/>
          <w:sz w:val="24"/>
          <w:szCs w:val="24"/>
        </w:rPr>
        <w:t xml:space="preserve">). </w:t>
      </w:r>
      <w:r w:rsidR="00E51EAA" w:rsidRPr="008415B5">
        <w:rPr>
          <w:rFonts w:ascii="Times New Roman" w:hAnsi="Times New Roman"/>
          <w:sz w:val="24"/>
          <w:szCs w:val="24"/>
        </w:rPr>
        <w:t>(A) The HBeAg expression levels of the mice hydrodynamically injected with different combinations of plasmids at different time points.</w:t>
      </w:r>
      <w:r w:rsidR="00E51EAA" w:rsidRPr="00E51EAA">
        <w:rPr>
          <w:rFonts w:ascii="Times New Roman" w:hAnsi="Times New Roman"/>
          <w:sz w:val="24"/>
          <w:szCs w:val="24"/>
        </w:rPr>
        <w:t xml:space="preserve"> (B) CD8 T cells in the spleen are analyzed for CD69 expression by </w:t>
      </w:r>
      <w:r w:rsidR="001D3B8D" w:rsidRPr="001D3B8D">
        <w:rPr>
          <w:rFonts w:ascii="Times New Roman" w:hAnsi="Times New Roman"/>
          <w:sz w:val="24"/>
          <w:szCs w:val="24"/>
        </w:rPr>
        <w:t xml:space="preserve">flow cytometry </w:t>
      </w:r>
      <w:r w:rsidR="00E51EAA" w:rsidRPr="00E51EAA">
        <w:rPr>
          <w:rFonts w:ascii="Times New Roman" w:hAnsi="Times New Roman"/>
          <w:sz w:val="24"/>
          <w:szCs w:val="24"/>
        </w:rPr>
        <w:t xml:space="preserve">at 14 dpi. </w:t>
      </w:r>
      <w:r w:rsidR="008415B5">
        <w:rPr>
          <w:rFonts w:ascii="Times New Roman" w:hAnsi="Times New Roman"/>
          <w:sz w:val="24"/>
          <w:szCs w:val="24"/>
        </w:rPr>
        <w:t>D</w:t>
      </w:r>
      <w:r w:rsidR="002D2959">
        <w:rPr>
          <w:rFonts w:ascii="Times New Roman" w:hAnsi="Times New Roman"/>
          <w:sz w:val="24"/>
          <w:szCs w:val="24"/>
        </w:rPr>
        <w:t xml:space="preserve">ata are representative of 3 independent experiments. </w:t>
      </w:r>
      <w:r w:rsidR="00C9413D">
        <w:rPr>
          <w:rFonts w:ascii="Times New Roman" w:hAnsi="Times New Roman"/>
          <w:sz w:val="24"/>
          <w:szCs w:val="24"/>
        </w:rPr>
        <w:t>Error bars, mean</w:t>
      </w:r>
      <w:r w:rsidR="00C9413D" w:rsidRPr="00C9413D">
        <w:rPr>
          <w:rFonts w:ascii="Times New Roman" w:hAnsi="Times New Roman"/>
          <w:sz w:val="24"/>
          <w:szCs w:val="24"/>
        </w:rPr>
        <w:t xml:space="preserve"> ± </w:t>
      </w:r>
      <w:r w:rsidR="00C9413D">
        <w:rPr>
          <w:rFonts w:ascii="Times New Roman" w:hAnsi="Times New Roman"/>
          <w:sz w:val="24"/>
          <w:szCs w:val="24"/>
        </w:rPr>
        <w:t>SEM</w:t>
      </w:r>
      <w:r w:rsidR="00C9413D">
        <w:rPr>
          <w:rFonts w:ascii="Times New Roman" w:hAnsi="Times New Roman" w:hint="eastAsia"/>
          <w:sz w:val="24"/>
          <w:szCs w:val="24"/>
        </w:rPr>
        <w:t>.</w:t>
      </w:r>
      <w:r w:rsidR="00C9413D">
        <w:rPr>
          <w:rFonts w:ascii="Times New Roman" w:hAnsi="Times New Roman"/>
          <w:sz w:val="24"/>
          <w:szCs w:val="24"/>
        </w:rPr>
        <w:t xml:space="preserve"> </w:t>
      </w:r>
      <w:r w:rsidR="00E51EAA" w:rsidRPr="00E51EAA">
        <w:rPr>
          <w:rFonts w:ascii="Times New Roman" w:hAnsi="Times New Roman"/>
          <w:sz w:val="24"/>
          <w:szCs w:val="24"/>
        </w:rPr>
        <w:t>One-way ANOVA is used. **p&lt;0.01;</w:t>
      </w:r>
      <w:r w:rsidR="0070545A">
        <w:rPr>
          <w:rFonts w:ascii="Times New Roman" w:hAnsi="Times New Roman"/>
          <w:sz w:val="24"/>
          <w:szCs w:val="24"/>
        </w:rPr>
        <w:t xml:space="preserve"> </w:t>
      </w:r>
      <w:r w:rsidR="00EC62C1">
        <w:rPr>
          <w:rFonts w:ascii="Times New Roman" w:hAnsi="Times New Roman" w:hint="eastAsia"/>
          <w:sz w:val="24"/>
          <w:szCs w:val="24"/>
        </w:rPr>
        <w:t>ns</w:t>
      </w:r>
      <w:r w:rsidR="00EC62C1">
        <w:rPr>
          <w:rFonts w:ascii="Times New Roman" w:hAnsi="Times New Roman"/>
          <w:sz w:val="24"/>
          <w:szCs w:val="24"/>
        </w:rPr>
        <w:t>, no</w:t>
      </w:r>
      <w:r w:rsidR="00027282">
        <w:rPr>
          <w:rFonts w:ascii="Times New Roman" w:hAnsi="Times New Roman"/>
          <w:sz w:val="24"/>
          <w:szCs w:val="24"/>
        </w:rPr>
        <w:t>t</w:t>
      </w:r>
      <w:r w:rsidR="00EC62C1">
        <w:rPr>
          <w:rFonts w:ascii="Times New Roman" w:hAnsi="Times New Roman"/>
          <w:sz w:val="24"/>
          <w:szCs w:val="24"/>
        </w:rPr>
        <w:t xml:space="preserve"> significant(p&gt;0.05)</w:t>
      </w:r>
      <w:r w:rsidR="00E51EAA" w:rsidRPr="00E51EAA">
        <w:rPr>
          <w:rFonts w:ascii="Times New Roman" w:hAnsi="Times New Roman"/>
          <w:sz w:val="24"/>
          <w:szCs w:val="24"/>
        </w:rPr>
        <w:t>.</w:t>
      </w:r>
    </w:p>
    <w:p w14:paraId="622A8C8C" w14:textId="77777777" w:rsidR="00C2726D" w:rsidRPr="00E51EAA" w:rsidRDefault="00C2726D" w:rsidP="00E51EA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A3AD6FA" w14:textId="00C7DE5E" w:rsidR="00323AF3" w:rsidRDefault="00C2726D" w:rsidP="00592F67">
      <w:pPr>
        <w:spacing w:line="480" w:lineRule="auto"/>
        <w:rPr>
          <w:rFonts w:ascii="Times New Roman" w:hAnsi="Times New Roman"/>
          <w:sz w:val="24"/>
          <w:szCs w:val="24"/>
        </w:rPr>
      </w:pPr>
      <w:r w:rsidRPr="00E51EAA">
        <w:rPr>
          <w:rFonts w:ascii="Times New Roman" w:hAnsi="Times New Roman"/>
          <w:b/>
          <w:bCs/>
          <w:sz w:val="24"/>
          <w:szCs w:val="24"/>
        </w:rPr>
        <w:t xml:space="preserve">Figure S2. </w:t>
      </w:r>
      <w:r w:rsidR="00453D04" w:rsidRPr="00E51EAA">
        <w:rPr>
          <w:rFonts w:ascii="Times New Roman" w:hAnsi="Times New Roman"/>
          <w:b/>
          <w:bCs/>
          <w:sz w:val="24"/>
          <w:szCs w:val="24"/>
        </w:rPr>
        <w:t>IL27 blockade in vivo does not result in difference in hepatitis B virus clearance</w:t>
      </w:r>
      <w:r w:rsidR="00453D04" w:rsidRPr="002E657C">
        <w:rPr>
          <w:rFonts w:ascii="Times New Roman" w:hAnsi="Times New Roman"/>
          <w:sz w:val="24"/>
          <w:szCs w:val="24"/>
        </w:rPr>
        <w:t xml:space="preserve"> </w:t>
      </w:r>
      <w:r w:rsidR="002E657C" w:rsidRPr="002E657C">
        <w:rPr>
          <w:rFonts w:ascii="Times New Roman" w:hAnsi="Times New Roman"/>
          <w:sz w:val="24"/>
          <w:szCs w:val="24"/>
        </w:rPr>
        <w:t>(A)</w:t>
      </w:r>
      <w:r w:rsidR="006E6C15">
        <w:rPr>
          <w:rFonts w:ascii="Times New Roman" w:hAnsi="Times New Roman"/>
          <w:sz w:val="24"/>
          <w:szCs w:val="24"/>
        </w:rPr>
        <w:t xml:space="preserve"> </w:t>
      </w:r>
      <w:r w:rsidR="00453D04" w:rsidRPr="00E51EAA">
        <w:rPr>
          <w:rFonts w:ascii="Times New Roman" w:hAnsi="Times New Roman"/>
          <w:sz w:val="24"/>
          <w:szCs w:val="24"/>
        </w:rPr>
        <w:t xml:space="preserve">C57BL/6 mice are hydrodynamically injected with the pSM2 plasmid and intraperitoneally injected with anti-IL27 antibody or isotype control antibody (control). The serum HBsAg and HBeAg levels in the plasmid-injected mice </w:t>
      </w:r>
      <w:r w:rsidR="003825CA">
        <w:rPr>
          <w:rFonts w:ascii="Times New Roman" w:hAnsi="Times New Roman" w:hint="eastAsia"/>
          <w:sz w:val="24"/>
          <w:szCs w:val="24"/>
        </w:rPr>
        <w:t>a</w:t>
      </w:r>
      <w:r w:rsidR="00453D04" w:rsidRPr="00E51EAA">
        <w:rPr>
          <w:rFonts w:ascii="Times New Roman" w:hAnsi="Times New Roman"/>
          <w:sz w:val="24"/>
          <w:szCs w:val="24"/>
        </w:rPr>
        <w:t>re monitored at indicated time points. Data are shown as the kinetic of HBsAg or HBeAg positive percentage at indicated time points.</w:t>
      </w:r>
      <w:r w:rsidR="00C95C5E">
        <w:rPr>
          <w:rFonts w:ascii="Times New Roman" w:hAnsi="Times New Roman"/>
          <w:sz w:val="24"/>
          <w:szCs w:val="24"/>
        </w:rPr>
        <w:t xml:space="preserve"> </w:t>
      </w:r>
      <w:r w:rsidR="00FA5872">
        <w:rPr>
          <w:rFonts w:ascii="Times New Roman" w:hAnsi="Times New Roman"/>
          <w:sz w:val="24"/>
          <w:szCs w:val="24"/>
        </w:rPr>
        <w:t>Four mice were analyzed per group, and at least two independent experiments were performed.</w:t>
      </w:r>
      <w:r w:rsidR="006E6C15">
        <w:rPr>
          <w:rFonts w:ascii="Times New Roman" w:hAnsi="Times New Roman"/>
          <w:sz w:val="24"/>
          <w:szCs w:val="24"/>
        </w:rPr>
        <w:t xml:space="preserve"> </w:t>
      </w:r>
    </w:p>
    <w:p w14:paraId="04DCA2EE" w14:textId="162DC747" w:rsidR="00323AF3" w:rsidRDefault="00323AF3" w:rsidP="00592F6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02FD2AF" w14:textId="0397063B" w:rsidR="00724865" w:rsidRDefault="00323AF3" w:rsidP="00592F67">
      <w:pPr>
        <w:spacing w:line="480" w:lineRule="auto"/>
        <w:rPr>
          <w:rFonts w:ascii="Times New Roman" w:hAnsi="Times New Roman"/>
          <w:sz w:val="24"/>
          <w:szCs w:val="24"/>
          <w:lang w:val="en-PH"/>
        </w:rPr>
      </w:pPr>
      <w:r w:rsidRPr="00E51EAA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51EA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HB</w:t>
      </w:r>
      <w:r>
        <w:rPr>
          <w:rFonts w:ascii="Times New Roman" w:hAnsi="Times New Roman" w:hint="eastAsia"/>
          <w:b/>
          <w:bCs/>
          <w:sz w:val="24"/>
          <w:szCs w:val="24"/>
        </w:rPr>
        <w:t>eAg</w:t>
      </w:r>
      <w:r>
        <w:rPr>
          <w:rFonts w:ascii="Times New Roman" w:hAnsi="Times New Roman"/>
          <w:b/>
          <w:bCs/>
          <w:sz w:val="24"/>
          <w:szCs w:val="24"/>
        </w:rPr>
        <w:t xml:space="preserve"> stimulated</w:t>
      </w:r>
      <w:r w:rsidRPr="00323A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3AF3">
        <w:rPr>
          <w:rFonts w:ascii="Times New Roman" w:hAnsi="Times New Roman"/>
          <w:b/>
          <w:bCs/>
          <w:sz w:val="24"/>
          <w:szCs w:val="24"/>
          <w:lang w:val="en-PH"/>
        </w:rPr>
        <w:t>Kupffer cells (KCs)</w:t>
      </w:r>
      <w:r>
        <w:rPr>
          <w:rFonts w:ascii="Times New Roman" w:hAnsi="Times New Roman"/>
          <w:b/>
          <w:bCs/>
          <w:sz w:val="24"/>
          <w:szCs w:val="24"/>
          <w:lang w:val="en-PH"/>
        </w:rPr>
        <w:t xml:space="preserve"> are incapable of</w:t>
      </w:r>
      <w:r w:rsidRPr="00323AF3">
        <w:rPr>
          <w:rFonts w:ascii="Times New Roman" w:hAnsi="Times New Roman"/>
          <w:b/>
          <w:bCs/>
          <w:sz w:val="24"/>
          <w:szCs w:val="24"/>
          <w:lang w:val="en-PH"/>
        </w:rPr>
        <w:t xml:space="preserve"> trigger</w:t>
      </w:r>
      <w:r>
        <w:rPr>
          <w:rFonts w:ascii="Times New Roman" w:hAnsi="Times New Roman"/>
          <w:b/>
          <w:bCs/>
          <w:sz w:val="24"/>
          <w:szCs w:val="24"/>
          <w:lang w:val="en-PH"/>
        </w:rPr>
        <w:t>ing</w:t>
      </w:r>
      <w:r w:rsidRPr="00323AF3">
        <w:rPr>
          <w:rFonts w:ascii="Times New Roman" w:hAnsi="Times New Roman"/>
          <w:b/>
          <w:bCs/>
          <w:sz w:val="24"/>
          <w:szCs w:val="24"/>
          <w:lang w:val="en-PH"/>
        </w:rPr>
        <w:t xml:space="preserve"> CD8 T cells responses </w:t>
      </w:r>
      <w:r w:rsidR="006E6C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 w:rsidR="006E6C15">
        <w:rPr>
          <w:rFonts w:ascii="Times New Roman" w:hAnsi="Times New Roman"/>
          <w:sz w:val="24"/>
          <w:szCs w:val="24"/>
        </w:rPr>
        <w:t xml:space="preserve">) </w:t>
      </w:r>
      <w:r w:rsidR="006E6C15">
        <w:rPr>
          <w:rFonts w:ascii="Times New Roman" w:hAnsi="Times New Roman"/>
          <w:sz w:val="24"/>
          <w:szCs w:val="24"/>
          <w:lang w:val="en-PH"/>
        </w:rPr>
        <w:t>KCs</w:t>
      </w:r>
      <w:r w:rsidR="006E6C15" w:rsidRPr="00296E32">
        <w:rPr>
          <w:rFonts w:ascii="Times New Roman" w:hAnsi="Times New Roman"/>
          <w:sz w:val="24"/>
          <w:szCs w:val="24"/>
          <w:lang w:val="en-PH"/>
        </w:rPr>
        <w:t xml:space="preserve"> from naïve mice </w:t>
      </w:r>
      <w:r w:rsidR="006719C1">
        <w:rPr>
          <w:rFonts w:ascii="Times New Roman" w:hAnsi="Times New Roman"/>
          <w:sz w:val="24"/>
          <w:szCs w:val="24"/>
          <w:lang w:val="en-PH"/>
        </w:rPr>
        <w:t>(n=3)</w:t>
      </w:r>
      <w:r w:rsidR="00AA55CB">
        <w:rPr>
          <w:rFonts w:ascii="Times New Roman" w:hAnsi="Times New Roman"/>
          <w:sz w:val="24"/>
          <w:szCs w:val="24"/>
          <w:lang w:val="en-PH"/>
        </w:rPr>
        <w:t xml:space="preserve"> </w:t>
      </w:r>
      <w:r w:rsidR="006E6C15">
        <w:rPr>
          <w:rFonts w:ascii="Times New Roman" w:hAnsi="Times New Roman"/>
          <w:sz w:val="24"/>
          <w:szCs w:val="24"/>
          <w:lang w:val="en-PH"/>
        </w:rPr>
        <w:t>are</w:t>
      </w:r>
      <w:r w:rsidR="006E6C15" w:rsidRPr="00296E32">
        <w:rPr>
          <w:rFonts w:ascii="Times New Roman" w:hAnsi="Times New Roman"/>
          <w:sz w:val="24"/>
          <w:szCs w:val="24"/>
          <w:lang w:val="en-PH"/>
        </w:rPr>
        <w:t xml:space="preserve"> pretreated with</w:t>
      </w:r>
      <w:r w:rsidR="006E6C15">
        <w:rPr>
          <w:rFonts w:ascii="Times New Roman" w:hAnsi="Times New Roman"/>
          <w:sz w:val="24"/>
          <w:szCs w:val="24"/>
          <w:lang w:val="en-PH"/>
        </w:rPr>
        <w:t xml:space="preserve"> </w:t>
      </w:r>
      <w:r w:rsidR="006E6C15" w:rsidRPr="00296E32">
        <w:rPr>
          <w:rFonts w:ascii="Times New Roman" w:hAnsi="Times New Roman"/>
          <w:sz w:val="24"/>
          <w:szCs w:val="24"/>
          <w:lang w:val="en-PH"/>
        </w:rPr>
        <w:t xml:space="preserve">1 μg/ml </w:t>
      </w:r>
      <w:r w:rsidR="006E6C15">
        <w:rPr>
          <w:rFonts w:ascii="Times New Roman" w:hAnsi="Times New Roman"/>
          <w:sz w:val="24"/>
          <w:szCs w:val="24"/>
          <w:lang w:val="en-PH"/>
        </w:rPr>
        <w:t xml:space="preserve">or </w:t>
      </w:r>
      <w:r w:rsidR="006E6C15" w:rsidRPr="00296E32">
        <w:rPr>
          <w:rFonts w:ascii="Times New Roman" w:hAnsi="Times New Roman"/>
          <w:sz w:val="24"/>
          <w:szCs w:val="24"/>
          <w:lang w:val="en-PH"/>
        </w:rPr>
        <w:t>10 μg/ml rHBeAg or not (Ctrl) for 24 h</w:t>
      </w:r>
      <w:r w:rsidR="00CE0AE8">
        <w:rPr>
          <w:rFonts w:ascii="Times New Roman" w:hAnsi="Times New Roman"/>
          <w:sz w:val="24"/>
          <w:szCs w:val="24"/>
          <w:lang w:val="en-PH"/>
        </w:rPr>
        <w:t xml:space="preserve">, and then </w:t>
      </w:r>
      <w:r w:rsidR="00CE0AE8" w:rsidRPr="00CE0AE8">
        <w:rPr>
          <w:rFonts w:ascii="Times New Roman" w:hAnsi="Times New Roman"/>
          <w:sz w:val="24"/>
          <w:szCs w:val="24"/>
          <w:lang w:val="en-PH"/>
        </w:rPr>
        <w:t xml:space="preserve">cocultured with polyclonal stimulated </w:t>
      </w:r>
      <w:r w:rsidR="00CE0AE8" w:rsidRPr="00CE0AE8">
        <w:rPr>
          <w:rFonts w:ascii="Times New Roman" w:hAnsi="Times New Roman"/>
          <w:sz w:val="24"/>
          <w:szCs w:val="24"/>
          <w:lang w:val="en-PH"/>
        </w:rPr>
        <w:lastRenderedPageBreak/>
        <w:t>splenocytes at a ratio of 1:2 (</w:t>
      </w:r>
      <w:r w:rsidR="00CE0AE8">
        <w:rPr>
          <w:rFonts w:ascii="Times New Roman" w:hAnsi="Times New Roman"/>
          <w:sz w:val="24"/>
          <w:szCs w:val="24"/>
          <w:lang w:val="en-PH"/>
        </w:rPr>
        <w:t>KC</w:t>
      </w:r>
      <w:r w:rsidR="00CE0AE8" w:rsidRPr="00CE0AE8">
        <w:rPr>
          <w:rFonts w:ascii="Times New Roman" w:hAnsi="Times New Roman"/>
          <w:sz w:val="24"/>
          <w:szCs w:val="24"/>
          <w:lang w:val="en-PH"/>
        </w:rPr>
        <w:t>s to splenocytes). IFNγ production is measured after 48 h.</w:t>
      </w:r>
      <w:r w:rsidR="006A0CEF">
        <w:rPr>
          <w:rFonts w:ascii="Times New Roman" w:hAnsi="Times New Roman"/>
          <w:sz w:val="24"/>
          <w:szCs w:val="24"/>
          <w:lang w:val="en-PH"/>
        </w:rPr>
        <w:t xml:space="preserve"> </w:t>
      </w:r>
      <w:r w:rsidR="006A0CEF" w:rsidRPr="006A0CEF">
        <w:rPr>
          <w:rFonts w:ascii="Times New Roman" w:hAnsi="Times New Roman"/>
          <w:sz w:val="24"/>
          <w:szCs w:val="24"/>
          <w:lang w:val="en-PH"/>
        </w:rPr>
        <w:t>Anti-CD3/anti-CD28–stimulated splenocytes only is used as responder controls (RC). Unstimulated splenocytes is used as negative control (NC).</w:t>
      </w:r>
      <w:r w:rsidR="006A0CEF">
        <w:rPr>
          <w:rFonts w:ascii="Times New Roman" w:hAnsi="Times New Roman"/>
          <w:sz w:val="24"/>
          <w:szCs w:val="24"/>
          <w:lang w:val="en-PH"/>
        </w:rPr>
        <w:t xml:space="preserve"> </w:t>
      </w:r>
      <w:r w:rsidR="00AA55CB">
        <w:rPr>
          <w:rFonts w:ascii="Times New Roman" w:hAnsi="Times New Roman"/>
          <w:sz w:val="24"/>
          <w:szCs w:val="24"/>
          <w:lang w:val="en-PH"/>
        </w:rPr>
        <w:t>Data are representative of 2 independent experiments. Error bars, mean</w:t>
      </w:r>
      <w:r w:rsidR="00A450DC" w:rsidRPr="00A450DC">
        <w:rPr>
          <w:rFonts w:ascii="Times New Roman" w:hAnsi="Times New Roman"/>
          <w:sz w:val="24"/>
          <w:szCs w:val="24"/>
          <w:lang w:val="en-PH"/>
        </w:rPr>
        <w:t xml:space="preserve"> ± </w:t>
      </w:r>
      <w:r w:rsidR="00A450DC">
        <w:rPr>
          <w:rFonts w:ascii="Times New Roman" w:hAnsi="Times New Roman"/>
          <w:sz w:val="24"/>
          <w:szCs w:val="24"/>
          <w:lang w:val="en-PH"/>
        </w:rPr>
        <w:t>SEM</w:t>
      </w:r>
      <w:r w:rsidR="00A450DC">
        <w:rPr>
          <w:rFonts w:ascii="Times New Roman" w:hAnsi="Times New Roman" w:hint="eastAsia"/>
          <w:sz w:val="24"/>
          <w:szCs w:val="24"/>
          <w:lang w:val="en-PH"/>
        </w:rPr>
        <w:t>.</w:t>
      </w:r>
      <w:r w:rsidR="00AA55CB">
        <w:rPr>
          <w:rFonts w:ascii="Times New Roman" w:hAnsi="Times New Roman"/>
          <w:sz w:val="24"/>
          <w:szCs w:val="24"/>
          <w:lang w:val="en-PH"/>
        </w:rPr>
        <w:t xml:space="preserve"> </w:t>
      </w:r>
    </w:p>
    <w:p w14:paraId="408ADED8" w14:textId="40C5D5D0" w:rsidR="005C05DD" w:rsidRDefault="00724865" w:rsidP="00724865">
      <w:pPr>
        <w:widowControl/>
        <w:jc w:val="left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sz w:val="24"/>
          <w:szCs w:val="24"/>
          <w:lang w:val="en-PH"/>
        </w:rPr>
        <w:br w:type="page"/>
      </w:r>
    </w:p>
    <w:p w14:paraId="269C0A06" w14:textId="2F7123C0" w:rsidR="001E720F" w:rsidRDefault="001E720F" w:rsidP="00592F67">
      <w:pPr>
        <w:spacing w:line="480" w:lineRule="auto"/>
        <w:rPr>
          <w:rFonts w:ascii="Times New Roman" w:hAnsi="Times New Roman"/>
          <w:sz w:val="24"/>
          <w:szCs w:val="24"/>
          <w:lang w:val="en-PH"/>
        </w:rPr>
      </w:pPr>
    </w:p>
    <w:p w14:paraId="7A204FAD" w14:textId="4C50F40D" w:rsidR="005C05DD" w:rsidRDefault="006C5CD8" w:rsidP="006C5CD8">
      <w:pPr>
        <w:widowControl/>
        <w:jc w:val="left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noProof/>
          <w:sz w:val="24"/>
          <w:szCs w:val="24"/>
          <w:lang w:val="en-PH"/>
        </w:rPr>
        <w:drawing>
          <wp:inline distT="0" distB="0" distL="0" distR="0" wp14:anchorId="22673AEA" wp14:editId="0D6FD945">
            <wp:extent cx="4536000" cy="4964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49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5246F" w14:textId="355EA6A8" w:rsidR="006C5CD8" w:rsidRDefault="006C5CD8">
      <w:pPr>
        <w:widowControl/>
        <w:jc w:val="left"/>
        <w:rPr>
          <w:noProof/>
        </w:rPr>
      </w:pPr>
      <w:r>
        <w:rPr>
          <w:noProof/>
        </w:rPr>
        <w:br w:type="page"/>
      </w:r>
    </w:p>
    <w:p w14:paraId="0B2C5480" w14:textId="59975DFF" w:rsidR="001E720F" w:rsidRDefault="006C5CD8" w:rsidP="006C5CD8">
      <w:pPr>
        <w:spacing w:line="480" w:lineRule="auto"/>
        <w:jc w:val="left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noProof/>
          <w:sz w:val="24"/>
          <w:szCs w:val="24"/>
          <w:lang w:val="en-PH"/>
        </w:rPr>
        <w:lastRenderedPageBreak/>
        <w:drawing>
          <wp:inline distT="0" distB="0" distL="0" distR="0" wp14:anchorId="67E71CE9" wp14:editId="1EFDE611">
            <wp:extent cx="4536000" cy="3434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4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ECDD1" w14:textId="245C2773" w:rsidR="005C05DD" w:rsidRDefault="001E720F" w:rsidP="001E720F">
      <w:pPr>
        <w:widowControl/>
        <w:jc w:val="left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sz w:val="24"/>
          <w:szCs w:val="24"/>
          <w:lang w:val="en-PH"/>
        </w:rPr>
        <w:br w:type="page"/>
      </w:r>
    </w:p>
    <w:p w14:paraId="2533A4A5" w14:textId="091ECF80" w:rsidR="00592F67" w:rsidRDefault="006C5CD8" w:rsidP="006C5CD8">
      <w:pPr>
        <w:spacing w:line="480" w:lineRule="auto"/>
        <w:jc w:val="left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noProof/>
          <w:sz w:val="24"/>
          <w:szCs w:val="24"/>
          <w:lang w:val="en-PH"/>
        </w:rPr>
        <w:lastRenderedPageBreak/>
        <w:drawing>
          <wp:inline distT="0" distB="0" distL="0" distR="0" wp14:anchorId="11E75C55" wp14:editId="77669023">
            <wp:extent cx="3096000" cy="3769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376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7574B" w14:textId="349564D5" w:rsidR="00592F67" w:rsidRPr="001E720F" w:rsidRDefault="00AA4D93" w:rsidP="001E720F">
      <w:pPr>
        <w:widowControl/>
        <w:jc w:val="left"/>
        <w:rPr>
          <w:rFonts w:ascii="Times New Roman" w:hAnsi="Times New Roman"/>
          <w:sz w:val="24"/>
          <w:szCs w:val="24"/>
          <w:lang w:val="en-PH"/>
        </w:rPr>
      </w:pPr>
      <w:r w:rsidRPr="00E51EAA">
        <w:rPr>
          <w:rFonts w:ascii="Times New Roman" w:hAnsi="Times New Roman"/>
        </w:rPr>
        <w:br w:type="page"/>
      </w:r>
    </w:p>
    <w:p w14:paraId="1461CAFE" w14:textId="1C1F45F9" w:rsidR="001E720F" w:rsidRDefault="00B44E0D" w:rsidP="001E720F">
      <w:pPr>
        <w:rPr>
          <w:rFonts w:ascii="Times New Roman" w:hAnsi="Times New Roman"/>
        </w:rPr>
      </w:pPr>
      <w:r w:rsidRPr="00E51EAA">
        <w:rPr>
          <w:rFonts w:ascii="Times New Roman" w:hAnsi="Times New Roman"/>
          <w:noProof/>
        </w:rPr>
        <w:lastRenderedPageBreak/>
        <w:drawing>
          <wp:inline distT="0" distB="0" distL="0" distR="0" wp14:anchorId="304468F7" wp14:editId="6B462ED1">
            <wp:extent cx="5270500" cy="17081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8D8D" w14:textId="3A832041" w:rsidR="00AA4D93" w:rsidRPr="00E51EAA" w:rsidRDefault="001E720F" w:rsidP="001E720F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6B526CD" w14:textId="21C29BEF" w:rsidR="003635BC" w:rsidRPr="00E51EAA" w:rsidRDefault="001E720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41E4F624" wp14:editId="4F6FFE38">
            <wp:extent cx="5274310" cy="51562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E469C" w14:textId="77777777" w:rsidR="00192ED9" w:rsidRPr="00E51EAA" w:rsidRDefault="00192ED9">
      <w:pPr>
        <w:rPr>
          <w:rFonts w:ascii="Times New Roman" w:hAnsi="Times New Roman"/>
        </w:rPr>
      </w:pPr>
    </w:p>
    <w:sectPr w:rsidR="00192ED9" w:rsidRPr="00E51EAA" w:rsidSect="00950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2447" w14:textId="77777777" w:rsidR="00913A05" w:rsidRDefault="00913A05" w:rsidP="00D27B19">
      <w:r>
        <w:separator/>
      </w:r>
    </w:p>
  </w:endnote>
  <w:endnote w:type="continuationSeparator" w:id="0">
    <w:p w14:paraId="56FF175F" w14:textId="77777777" w:rsidR="00913A05" w:rsidRDefault="00913A05" w:rsidP="00D2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8349" w14:textId="77777777" w:rsidR="00913A05" w:rsidRDefault="00913A05" w:rsidP="00D27B19">
      <w:r>
        <w:separator/>
      </w:r>
    </w:p>
  </w:footnote>
  <w:footnote w:type="continuationSeparator" w:id="0">
    <w:p w14:paraId="3EDFE889" w14:textId="77777777" w:rsidR="00913A05" w:rsidRDefault="00913A05" w:rsidP="00D2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94"/>
    <w:rsid w:val="00027282"/>
    <w:rsid w:val="00055133"/>
    <w:rsid w:val="00064DB7"/>
    <w:rsid w:val="00087F00"/>
    <w:rsid w:val="0009325E"/>
    <w:rsid w:val="001412E6"/>
    <w:rsid w:val="00192ED9"/>
    <w:rsid w:val="001A63F0"/>
    <w:rsid w:val="001D3B8D"/>
    <w:rsid w:val="001E720F"/>
    <w:rsid w:val="002355EC"/>
    <w:rsid w:val="002D2959"/>
    <w:rsid w:val="002E657C"/>
    <w:rsid w:val="002F48A3"/>
    <w:rsid w:val="00323AF3"/>
    <w:rsid w:val="003635BC"/>
    <w:rsid w:val="003825CA"/>
    <w:rsid w:val="00385EB3"/>
    <w:rsid w:val="003B51D4"/>
    <w:rsid w:val="003F6690"/>
    <w:rsid w:val="00453D04"/>
    <w:rsid w:val="004624BD"/>
    <w:rsid w:val="00467C16"/>
    <w:rsid w:val="0050665F"/>
    <w:rsid w:val="00523B8C"/>
    <w:rsid w:val="00540CF8"/>
    <w:rsid w:val="00592F67"/>
    <w:rsid w:val="005C05DD"/>
    <w:rsid w:val="005F753C"/>
    <w:rsid w:val="00634452"/>
    <w:rsid w:val="006719C1"/>
    <w:rsid w:val="00683394"/>
    <w:rsid w:val="00684792"/>
    <w:rsid w:val="006879C4"/>
    <w:rsid w:val="006A0CEF"/>
    <w:rsid w:val="006C5CD8"/>
    <w:rsid w:val="006E6C15"/>
    <w:rsid w:val="0070545A"/>
    <w:rsid w:val="00724865"/>
    <w:rsid w:val="00773ADA"/>
    <w:rsid w:val="00823AB7"/>
    <w:rsid w:val="008415B5"/>
    <w:rsid w:val="008D1850"/>
    <w:rsid w:val="00913A05"/>
    <w:rsid w:val="0094463D"/>
    <w:rsid w:val="00950EC6"/>
    <w:rsid w:val="00963B7C"/>
    <w:rsid w:val="009860EF"/>
    <w:rsid w:val="0099719A"/>
    <w:rsid w:val="00A10B96"/>
    <w:rsid w:val="00A450DC"/>
    <w:rsid w:val="00AA4D93"/>
    <w:rsid w:val="00AA55CB"/>
    <w:rsid w:val="00AC3C2B"/>
    <w:rsid w:val="00B3375D"/>
    <w:rsid w:val="00B44E0D"/>
    <w:rsid w:val="00C2726D"/>
    <w:rsid w:val="00C71763"/>
    <w:rsid w:val="00C9413D"/>
    <w:rsid w:val="00C95C5E"/>
    <w:rsid w:val="00CC7313"/>
    <w:rsid w:val="00CE0AE8"/>
    <w:rsid w:val="00D27B19"/>
    <w:rsid w:val="00D67945"/>
    <w:rsid w:val="00DC4ECF"/>
    <w:rsid w:val="00E4798C"/>
    <w:rsid w:val="00E51EAA"/>
    <w:rsid w:val="00E61082"/>
    <w:rsid w:val="00E75D15"/>
    <w:rsid w:val="00E97F24"/>
    <w:rsid w:val="00EC62C1"/>
    <w:rsid w:val="00F27824"/>
    <w:rsid w:val="00F52D67"/>
    <w:rsid w:val="00F72336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15B43"/>
  <w15:chartTrackingRefBased/>
  <w15:docId w15:val="{0D431BCA-06E6-4AB7-9C52-0C54A5ED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B1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B19"/>
    <w:rPr>
      <w:kern w:val="2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8D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liu77@hot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08F7-75D5-4988-86D4-89BC0E8A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hong</dc:creator>
  <cp:keywords/>
  <dc:description/>
  <cp:lastModifiedBy>xie hong</cp:lastModifiedBy>
  <cp:revision>50</cp:revision>
  <dcterms:created xsi:type="dcterms:W3CDTF">2021-04-29T01:04:00Z</dcterms:created>
  <dcterms:modified xsi:type="dcterms:W3CDTF">2022-01-22T15:42:00Z</dcterms:modified>
</cp:coreProperties>
</file>