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954F" w14:textId="77777777" w:rsidR="006932AD" w:rsidRDefault="001C33E1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Suppl. TABLE 1</w:t>
      </w:r>
      <w:r>
        <w:rPr>
          <w:rFonts w:ascii="Times New Roman" w:hAnsi="Times New Roman" w:cs="Times New Roman"/>
          <w:szCs w:val="21"/>
        </w:rPr>
        <w:t xml:space="preserve"> Logistic regression analysis for associations of serum metabolites with frailty by continuous variables.</w:t>
      </w:r>
    </w:p>
    <w:tbl>
      <w:tblPr>
        <w:tblW w:w="7217" w:type="dxa"/>
        <w:jc w:val="center"/>
        <w:tblLook w:val="04A0" w:firstRow="1" w:lastRow="0" w:firstColumn="1" w:lastColumn="0" w:noHBand="0" w:noVBand="1"/>
      </w:tblPr>
      <w:tblGrid>
        <w:gridCol w:w="1056"/>
        <w:gridCol w:w="758"/>
        <w:gridCol w:w="1056"/>
        <w:gridCol w:w="866"/>
        <w:gridCol w:w="2736"/>
        <w:gridCol w:w="766"/>
      </w:tblGrid>
      <w:tr w:rsidR="006932AD" w14:paraId="198F6772" w14:textId="77777777">
        <w:trPr>
          <w:trHeight w:val="280"/>
          <w:jc w:val="center"/>
        </w:trPr>
        <w:tc>
          <w:tcPr>
            <w:tcW w:w="10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F29A8A" w14:textId="77777777" w:rsidR="006932AD" w:rsidRDefault="001C33E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Model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D1F8BBA" w14:textId="77777777" w:rsidR="006932AD" w:rsidRDefault="001C33E1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variables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E40587A" w14:textId="77777777" w:rsidR="006932AD" w:rsidRDefault="001C33E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sym w:font="Symbol" w:char="F062"/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8F2E8A" w14:textId="77777777" w:rsidR="006932AD" w:rsidRDefault="001C33E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F94577" w14:textId="77777777" w:rsidR="006932AD" w:rsidRDefault="001C33E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OR(95%CI)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EABE33" w14:textId="77777777" w:rsidR="006932AD" w:rsidRDefault="001C33E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P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value</w:t>
            </w:r>
          </w:p>
        </w:tc>
      </w:tr>
      <w:tr w:rsidR="006932AD" w14:paraId="3A32B8B1" w14:textId="77777777">
        <w:trPr>
          <w:trHeight w:val="57"/>
          <w:jc w:val="center"/>
        </w:trPr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4DBE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MODLE1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336E2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A6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D532A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-0.0964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C750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0.0453</w:t>
            </w: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A638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0.908(0.831,0.992)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79A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0.0334</w:t>
            </w:r>
          </w:p>
        </w:tc>
      </w:tr>
      <w:tr w:rsidR="006932AD" w14:paraId="1591DDFF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25C8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A4E6F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FDDEE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B2A0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82AF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1.018(0.997,1.039)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8564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0.0942</w:t>
            </w:r>
          </w:p>
        </w:tc>
      </w:tr>
      <w:tr w:rsidR="006932AD" w14:paraId="5AC07D27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4612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2F07E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BDF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-41.1544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52678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15.4761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8CBB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&lt;0.001(&lt;0.001,&lt;0.001)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0B22E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0.0078</w:t>
            </w:r>
          </w:p>
        </w:tc>
      </w:tr>
      <w:tr w:rsidR="006932AD" w14:paraId="295305D4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E3755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7C83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E961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3.7098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BF49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4.0191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CF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40.844(0.015,&gt;999.999)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387E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0.356</w:t>
            </w:r>
          </w:p>
        </w:tc>
      </w:tr>
      <w:tr w:rsidR="006932AD" w14:paraId="67AAD544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5780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C044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CA06F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2.3957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390DA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2.6606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BC75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10.976(0.06,&gt;999.999)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2B65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0.3679</w:t>
            </w:r>
          </w:p>
        </w:tc>
      </w:tr>
      <w:tr w:rsidR="006932AD" w14:paraId="3271EF3E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767C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23249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000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20.8263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EAAEB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11.5274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DC0E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&gt;999.999(0.171,&gt;999.999)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9C11B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0.0708</w:t>
            </w:r>
          </w:p>
        </w:tc>
      </w:tr>
      <w:tr w:rsidR="006932AD" w14:paraId="243FAC17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ED79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0D87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5D454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82.7088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5DA7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36.8895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89FEA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&gt;999.999(&gt;999.999,&gt;999.999)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BC273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0.025</w:t>
            </w:r>
          </w:p>
        </w:tc>
      </w:tr>
      <w:tr w:rsidR="006932AD" w14:paraId="78BD6625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9C0ED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B2462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F86B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0D0E9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42BA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0.99(0.981,0.998)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BA95F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0.0125</w:t>
            </w:r>
          </w:p>
        </w:tc>
      </w:tr>
      <w:tr w:rsidR="006932AD" w14:paraId="0DE4955A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481F8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AC98E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32AD8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-0.0319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F8DA4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9914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0.969(0.946,0.992)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27F90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5"/>
                <w:szCs w:val="15"/>
              </w:rPr>
              <w:t>0.0085</w:t>
            </w:r>
          </w:p>
        </w:tc>
      </w:tr>
      <w:tr w:rsidR="006932AD" w14:paraId="4468F260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4F9A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MODLE2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47960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114B7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-0.0562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9D34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9CDE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0.945(0.856,1.045)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1EDB5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0.2699</w:t>
            </w:r>
          </w:p>
        </w:tc>
      </w:tr>
      <w:tr w:rsidR="006932AD" w14:paraId="72F72703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1A81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0813C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A16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E41F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569F3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1.011(0.989,1.034)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E96A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0.3259</w:t>
            </w:r>
          </w:p>
        </w:tc>
      </w:tr>
      <w:tr w:rsidR="006932AD" w14:paraId="12F83F1D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98D3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39E82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4C27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-40.6207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E00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17.1374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0ED66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&lt;0.001(&lt;0.001,&lt;0.001)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2F0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0.0178</w:t>
            </w:r>
          </w:p>
        </w:tc>
      </w:tr>
      <w:tr w:rsidR="006932AD" w14:paraId="3618A19C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9F7C7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68A2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270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2.1202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2E661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4.1564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D1353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8.332(0.002,&gt;999.999)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02D6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</w:tr>
      <w:tr w:rsidR="006932AD" w14:paraId="5EDCC4A2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CBDA7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4A3A9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744C3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D9C9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2.7807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0D20D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2.836(0.012,660.028)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3B5A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0.7078</w:t>
            </w:r>
          </w:p>
        </w:tc>
      </w:tr>
      <w:tr w:rsidR="006932AD" w14:paraId="73C58DA4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6BFE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D3C1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75CD8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12.2235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19A1E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12.6589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4DF5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&gt;999.999(&lt;0.001,&gt;999.999)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5A0C5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0.3342</w:t>
            </w:r>
          </w:p>
        </w:tc>
      </w:tr>
      <w:tr w:rsidR="006932AD" w14:paraId="670437E5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7B1E1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FF4C1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D7F3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60.5092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6E2A8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40.3777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3A45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&gt;999.999(&lt;0.001,&gt;999.999)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250D7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</w:t>
            </w:r>
          </w:p>
        </w:tc>
      </w:tr>
      <w:tr w:rsidR="006932AD" w14:paraId="37B18EBA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4CB2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80FD9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4C0B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2E26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3ADA2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0.989(0.98,0.998)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E62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0.0189</w:t>
            </w:r>
          </w:p>
        </w:tc>
      </w:tr>
      <w:tr w:rsidR="006932AD" w14:paraId="5D116F71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D5076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7F01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35C8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-0.0311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337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29BD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0.969(0.944,0.995)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AFDA6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0.0212</w:t>
            </w:r>
          </w:p>
        </w:tc>
      </w:tr>
      <w:tr w:rsidR="006932AD" w14:paraId="0E603193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D2D5A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MODLE3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18D5E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9276A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-0.0612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9F1CD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1101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0.941(0.849,1.042)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0A70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0.2423</w:t>
            </w:r>
          </w:p>
        </w:tc>
      </w:tr>
      <w:tr w:rsidR="006932AD" w14:paraId="7449E023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A8170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45F87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1C6EF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9B9A3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34A87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1.011(0.988,1.034)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EEC3E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0.3484</w:t>
            </w:r>
          </w:p>
        </w:tc>
      </w:tr>
      <w:tr w:rsidR="006932AD" w14:paraId="2AF3842C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881D8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214D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C34AF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-46.9208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DC969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17.807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47E97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&lt;0.001(&lt;0.001,&lt;0.001)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9183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0.0084</w:t>
            </w:r>
          </w:p>
        </w:tc>
      </w:tr>
      <w:tr w:rsidR="006932AD" w14:paraId="195FE98B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265AC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36195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372C4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2.6977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67051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4.3693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FA639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14.846(0.003,&gt;999.999)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A788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0.5369</w:t>
            </w:r>
          </w:p>
        </w:tc>
      </w:tr>
      <w:tr w:rsidR="006932AD" w14:paraId="240D3A31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4ADF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0A88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8BBC1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1.685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7A55E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2.9465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FE137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5.392(0.017,&gt;999.999)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BB33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0.5674</w:t>
            </w:r>
          </w:p>
        </w:tc>
      </w:tr>
      <w:tr w:rsidR="006932AD" w14:paraId="6DFAAD81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3927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4E5B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D3F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16.1633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CD16A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13.6027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BBEE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&gt;999.999(&lt;0.001,&gt;999.999)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6D01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0.2347</w:t>
            </w:r>
          </w:p>
        </w:tc>
      </w:tr>
      <w:tr w:rsidR="006932AD" w14:paraId="56ED9C0C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F2EAA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E12E3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77437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69.2991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25572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42.9713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CCBB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&gt;999.999(&lt;0.001,&gt;999.999)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055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0.1068</w:t>
            </w:r>
          </w:p>
        </w:tc>
      </w:tr>
      <w:tr w:rsidR="006932AD" w14:paraId="53BA411E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85B7D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B02A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0883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4477B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714DF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0.986(0.976,0.995)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8B06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0.0038</w:t>
            </w:r>
          </w:p>
        </w:tc>
      </w:tr>
      <w:tr w:rsidR="006932AD" w14:paraId="36E68D68" w14:textId="77777777">
        <w:trPr>
          <w:trHeight w:val="57"/>
          <w:jc w:val="center"/>
        </w:trPr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60F0DE" w14:textId="77777777" w:rsidR="006932AD" w:rsidRDefault="006932AD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054DBD" w14:textId="77777777" w:rsidR="006932AD" w:rsidRDefault="001C33E1">
            <w:pPr>
              <w:widowControl/>
              <w:spacing w:line="1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842461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-0.0437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74531C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A54A04" w14:textId="77777777" w:rsidR="006932AD" w:rsidRDefault="001C33E1">
            <w:pPr>
              <w:widowControl/>
              <w:spacing w:line="10" w:lineRule="atLeast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5"/>
                <w:szCs w:val="15"/>
              </w:rPr>
              <w:t>0.957(0.93,0.985)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154435" w14:textId="77777777" w:rsidR="006932AD" w:rsidRDefault="001C33E1">
            <w:pPr>
              <w:widowControl/>
              <w:spacing w:line="10" w:lineRule="atLeast"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0.003</w:t>
            </w:r>
          </w:p>
        </w:tc>
      </w:tr>
    </w:tbl>
    <w:p w14:paraId="45CB94B0" w14:textId="77777777" w:rsidR="006932AD" w:rsidRDefault="006932AD"/>
    <w:p w14:paraId="2E140FD6" w14:textId="77777777" w:rsidR="006932AD" w:rsidRDefault="001C33E1">
      <w:pPr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SabonLTStd-Italic" w:hAnsi="Times New Roman" w:cs="Times New Roman"/>
          <w:i/>
          <w:iCs/>
          <w:color w:val="000000"/>
          <w:kern w:val="0"/>
          <w:sz w:val="18"/>
          <w:szCs w:val="18"/>
        </w:rPr>
        <w:t>Note</w:t>
      </w:r>
      <w:r>
        <w:rPr>
          <w:rFonts w:ascii="Times New Roman" w:eastAsia="SabonLTStd-Roman" w:hAnsi="Times New Roman" w:cs="Times New Roman"/>
          <w:color w:val="000000"/>
          <w:kern w:val="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Model1: </w:t>
      </w:r>
      <w:r>
        <w:rPr>
          <w:rFonts w:ascii="Times New Roman" w:eastAsia="SabonLTStd-Roman" w:hAnsi="Times New Roman" w:cs="Times New Roman"/>
          <w:color w:val="231F20"/>
          <w:kern w:val="0"/>
          <w:sz w:val="18"/>
          <w:szCs w:val="18"/>
        </w:rPr>
        <w:t xml:space="preserve">age, </w:t>
      </w:r>
      <w:r>
        <w:rPr>
          <w:rFonts w:ascii="Times New Roman" w:hAnsi="Times New Roman" w:cs="Times New Roman"/>
          <w:sz w:val="18"/>
          <w:szCs w:val="18"/>
        </w:rPr>
        <w:t>body mass index</w:t>
      </w:r>
      <w:r>
        <w:rPr>
          <w:rFonts w:ascii="Times New Roman" w:eastAsia="SabonLTStd-Roman" w:hAnsi="Times New Roman" w:cs="Times New Roman"/>
          <w:color w:val="231F20"/>
          <w:kern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smoking status;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Model2: further controlled for </w:t>
      </w:r>
      <w:r>
        <w:rPr>
          <w:rFonts w:ascii="Times New Roman" w:eastAsia="Microsoft YaHei" w:hAnsi="Times New Roman" w:cs="Times New Roman"/>
          <w:sz w:val="18"/>
          <w:szCs w:val="18"/>
        </w:rPr>
        <w:t>malnutrition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eastAsia="Microsoft YaHei" w:hAnsi="Times New Roman" w:cs="Times New Roman"/>
          <w:sz w:val="18"/>
          <w:szCs w:val="18"/>
        </w:rPr>
        <w:t xml:space="preserve"> cognitive decline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SabonLTStd-Roman" w:hAnsi="Times New Roman" w:cs="Times New Roman"/>
          <w:sz w:val="18"/>
          <w:szCs w:val="18"/>
        </w:rPr>
        <w:t>activities of daily living</w:t>
      </w:r>
      <w:r>
        <w:rPr>
          <w:rFonts w:ascii="Times New Roman" w:hAnsi="Times New Roman" w:cs="Times New Roman"/>
          <w:sz w:val="18"/>
          <w:szCs w:val="18"/>
        </w:rPr>
        <w:t xml:space="preserve">, polypharmacy, comorbidities; Model3: further controlled for </w:t>
      </w:r>
      <w:r>
        <w:rPr>
          <w:rStyle w:val="def2"/>
          <w:rFonts w:ascii="Times New Roman" w:hAnsi="Times New Roman" w:cs="Times New Roman"/>
          <w:sz w:val="18"/>
          <w:szCs w:val="18"/>
        </w:rPr>
        <w:t>red blood cell</w:t>
      </w:r>
      <w:r>
        <w:rPr>
          <w:rFonts w:ascii="Times New Roman" w:hAnsi="Times New Roman" w:cs="Times New Roman"/>
          <w:sz w:val="18"/>
          <w:szCs w:val="18"/>
        </w:rPr>
        <w:t xml:space="preserve"> and hemoglobin, </w:t>
      </w:r>
      <w:r>
        <w:rPr>
          <w:rFonts w:ascii="Times New Roman" w:eastAsia="URWPalladioL-Roma" w:hAnsi="Times New Roman" w:cs="Times New Roman"/>
          <w:kern w:val="0"/>
          <w:sz w:val="18"/>
          <w:szCs w:val="18"/>
        </w:rPr>
        <w:t xml:space="preserve">alanine aminotransferase </w:t>
      </w:r>
      <w:r>
        <w:rPr>
          <w:rFonts w:ascii="Times New Roman" w:hAnsi="Times New Roman" w:cs="Times New Roman"/>
          <w:sz w:val="18"/>
          <w:szCs w:val="18"/>
        </w:rPr>
        <w:t xml:space="preserve">and uric acid; </w:t>
      </w:r>
      <w:r>
        <w:rPr>
          <w:rFonts w:ascii="Times New Roman" w:hAnsi="Times New Roman" w:cs="Times New Roman"/>
          <w:color w:val="000000"/>
          <w:sz w:val="18"/>
          <w:szCs w:val="18"/>
        </w:rPr>
        <w:t>C5,valeryl-L-carnitine;C8,octanoyl-L-carnitine;C10,decanoyl-L-carnitin;</w:t>
      </w:r>
      <w:r>
        <w:rPr>
          <w:rFonts w:ascii="Times New Roman" w:hAnsi="Times New Roman" w:cs="Times New Roman"/>
          <w:sz w:val="18"/>
          <w:szCs w:val="18"/>
        </w:rPr>
        <w:t>C12,dodecanoy-L-carnitine;C14,tetradecanoyl-L-car-ni</w:t>
      </w:r>
      <w:r>
        <w:rPr>
          <w:rFonts w:ascii="Times New Roman" w:hAnsi="Times New Roman" w:cs="Times New Roman"/>
          <w:sz w:val="18"/>
          <w:szCs w:val="18"/>
        </w:rPr>
        <w:t>tine; LPC16:0,1-palmitoyl-2-hydroxy-sn-glycero-3-phosphocholine; LPC18:2,1-linoleoyl-2-hydroxy-sn-glycero-3-phosphocholine.</w:t>
      </w:r>
    </w:p>
    <w:p w14:paraId="52B04DCC" w14:textId="77777777" w:rsidR="006932AD" w:rsidRDefault="006932AD"/>
    <w:p w14:paraId="50A568C5" w14:textId="77777777" w:rsidR="006932AD" w:rsidRDefault="006932AD"/>
    <w:p w14:paraId="74B1295A" w14:textId="77777777" w:rsidR="006932AD" w:rsidRDefault="006932AD"/>
    <w:p w14:paraId="4B8C4F17" w14:textId="77777777" w:rsidR="006932AD" w:rsidRDefault="006932AD"/>
    <w:p w14:paraId="60C306B0" w14:textId="77777777" w:rsidR="006932AD" w:rsidRDefault="006932AD"/>
    <w:p w14:paraId="34E465E8" w14:textId="77777777" w:rsidR="006932AD" w:rsidRDefault="006932AD"/>
    <w:p w14:paraId="39263233" w14:textId="77777777" w:rsidR="006932AD" w:rsidRDefault="006932AD"/>
    <w:p w14:paraId="09609BDB" w14:textId="77777777" w:rsidR="006932AD" w:rsidRDefault="006932AD"/>
    <w:p w14:paraId="5A47E56B" w14:textId="77777777" w:rsidR="006932AD" w:rsidRDefault="001C33E1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</w:rPr>
        <w:t>Suppl. TABLE 2</w:t>
      </w:r>
      <w:r>
        <w:rPr>
          <w:sz w:val="22"/>
        </w:rPr>
        <w:t xml:space="preserve"> Logistic regression analysis for associations of serum metabolites with frailty by categorical variables</w:t>
      </w:r>
      <w:r>
        <w:rPr>
          <w:rFonts w:hint="eastAsia"/>
          <w:sz w:val="22"/>
        </w:rPr>
        <w:t>.</w:t>
      </w:r>
      <w:r>
        <w:rPr>
          <w:b/>
          <w:bCs/>
        </w:rPr>
        <w:t xml:space="preserve"> </w:t>
      </w:r>
    </w:p>
    <w:tbl>
      <w:tblPr>
        <w:tblW w:w="15213" w:type="dxa"/>
        <w:jc w:val="center"/>
        <w:tblLook w:val="04A0" w:firstRow="1" w:lastRow="0" w:firstColumn="1" w:lastColumn="0" w:noHBand="0" w:noVBand="1"/>
      </w:tblPr>
      <w:tblGrid>
        <w:gridCol w:w="1760"/>
        <w:gridCol w:w="1136"/>
        <w:gridCol w:w="565"/>
        <w:gridCol w:w="1848"/>
        <w:gridCol w:w="749"/>
        <w:gridCol w:w="673"/>
        <w:gridCol w:w="604"/>
        <w:gridCol w:w="766"/>
        <w:gridCol w:w="1848"/>
        <w:gridCol w:w="766"/>
        <w:gridCol w:w="222"/>
        <w:gridCol w:w="941"/>
        <w:gridCol w:w="766"/>
        <w:gridCol w:w="1803"/>
        <w:gridCol w:w="766"/>
      </w:tblGrid>
      <w:tr w:rsidR="006932AD" w14:paraId="67F80F4D" w14:textId="77777777">
        <w:trPr>
          <w:trHeight w:val="280"/>
          <w:jc w:val="center"/>
        </w:trPr>
        <w:tc>
          <w:tcPr>
            <w:tcW w:w="17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3910F1" w14:textId="77777777" w:rsidR="006932AD" w:rsidRDefault="001C33E1">
            <w:pPr>
              <w:widowControl/>
              <w:rPr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15"/>
                <w:szCs w:val="15"/>
              </w:rPr>
              <w:t>Variables</w:t>
            </w:r>
          </w:p>
        </w:tc>
        <w:tc>
          <w:tcPr>
            <w:tcW w:w="429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4BA394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Model1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CF16D1" w14:textId="77777777" w:rsidR="006932AD" w:rsidRDefault="006932AD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98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1AAB36A8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Model 2</w:t>
            </w: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5C7FA2" w14:textId="77777777" w:rsidR="006932AD" w:rsidRDefault="006932AD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389930F6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Model 3</w:t>
            </w:r>
          </w:p>
        </w:tc>
      </w:tr>
      <w:tr w:rsidR="006932AD" w14:paraId="4487E090" w14:textId="77777777">
        <w:trPr>
          <w:trHeight w:val="280"/>
          <w:jc w:val="center"/>
        </w:trPr>
        <w:tc>
          <w:tcPr>
            <w:tcW w:w="176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6FF72F" w14:textId="77777777" w:rsidR="006932AD" w:rsidRDefault="006932A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0C6A835E" w14:textId="77777777" w:rsidR="006932AD" w:rsidRDefault="001C33E1">
            <w:pPr>
              <w:widowControl/>
              <w:jc w:val="center"/>
              <w:rPr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i/>
                <w:iCs/>
                <w:color w:val="000000"/>
                <w:kern w:val="0"/>
                <w:sz w:val="15"/>
                <w:szCs w:val="15"/>
              </w:rPr>
              <w:sym w:font="Symbol" w:char="F062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6D3E76F3" w14:textId="77777777" w:rsidR="006932AD" w:rsidRDefault="001C33E1">
            <w:pPr>
              <w:widowControl/>
              <w:jc w:val="center"/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10664543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OR(95%CI)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3E7BCDEB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2E977B27" w14:textId="77777777" w:rsidR="006932AD" w:rsidRDefault="006932AD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045C454A" w14:textId="77777777" w:rsidR="006932AD" w:rsidRDefault="001C33E1">
            <w:pPr>
              <w:widowControl/>
              <w:jc w:val="center"/>
              <w:rPr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i/>
                <w:iCs/>
                <w:color w:val="000000"/>
                <w:kern w:val="0"/>
                <w:sz w:val="15"/>
                <w:szCs w:val="15"/>
              </w:rPr>
              <w:sym w:font="Symbol" w:char="F062"/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62DACB3F" w14:textId="77777777" w:rsidR="006932AD" w:rsidRDefault="001C33E1">
            <w:pPr>
              <w:widowControl/>
              <w:jc w:val="center"/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7EB425E5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OR(95%CI)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601EC59D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179008F4" w14:textId="77777777" w:rsidR="006932AD" w:rsidRDefault="006932AD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0BB44838" w14:textId="77777777" w:rsidR="006932AD" w:rsidRDefault="001C33E1">
            <w:pPr>
              <w:widowControl/>
              <w:jc w:val="center"/>
              <w:rPr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i/>
                <w:iCs/>
                <w:color w:val="000000"/>
                <w:kern w:val="0"/>
                <w:sz w:val="15"/>
                <w:szCs w:val="15"/>
              </w:rPr>
              <w:sym w:font="Symbol" w:char="F062"/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1E433C13" w14:textId="77777777" w:rsidR="006932AD" w:rsidRDefault="001C33E1">
            <w:pPr>
              <w:widowControl/>
              <w:jc w:val="center"/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  <w:t>SE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1464736E" w14:textId="77777777" w:rsidR="006932AD" w:rsidRDefault="001C33E1">
            <w:pPr>
              <w:widowControl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OR(95%CI)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6CAD0439" w14:textId="77777777" w:rsidR="006932AD" w:rsidRDefault="001C33E1">
            <w:pPr>
              <w:widowControl/>
              <w:jc w:val="center"/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</w:p>
        </w:tc>
      </w:tr>
      <w:tr w:rsidR="006932AD" w14:paraId="69C990BD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ED6D8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>Glycine</w:t>
            </w: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-M3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4F0D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0.663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82FD1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F11E1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1.941(0.921,4.091)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DE458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DC455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A1CBD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5E49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EC3C7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1.426(0.635,3.203)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9841B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DDF58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DFD2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56DE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0.424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5FB42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1.368(0.596,3.142)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54D05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6932AD" w14:paraId="0DA8C57F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29BAB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     -M2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DAD65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5EE00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5BE32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1.793(0.883,3.638)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E407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C90FE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31FB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569BB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5FD21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1.462(0.685,3.118)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CBECB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0497D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00EC8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40EB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0.398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51FDA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1.382(0.634,3.015)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3CFD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0.416</w:t>
            </w:r>
          </w:p>
        </w:tc>
      </w:tr>
      <w:tr w:rsidR="006932AD" w14:paraId="660CF128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D4592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     -M1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2C0D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0.827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DBB6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BEFAF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2.286(1.101,4.747)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6D11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C00000"/>
                <w:kern w:val="0"/>
                <w:sz w:val="15"/>
                <w:szCs w:val="15"/>
              </w:rPr>
            </w:pPr>
            <w:r>
              <w:rPr>
                <w:rFonts w:eastAsia="DengXian"/>
                <w:b/>
                <w:bCs/>
                <w:color w:val="000000"/>
                <w:kern w:val="0"/>
                <w:sz w:val="15"/>
                <w:szCs w:val="15"/>
              </w:rPr>
              <w:t>0.027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F0709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DD543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B41E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B4D12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1.846(0.847,4.022)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18A0CE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DBCA8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B26E3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FB29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0.409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37325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1.76(0.789,3.927)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52AE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0.17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6932AD" w14:paraId="359B7017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C7FAC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C5-M3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AB1C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-0.777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3771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C65A1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0.46(0.206,1.024)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394C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F4E1D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494B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-0.659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AE73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4C036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0.518(0.214,1.254)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E96E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114F4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DD57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-0.841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2332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0.470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2518A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0.431(0.172,1.083)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2EEF3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0.073</w:t>
            </w:r>
          </w:p>
        </w:tc>
      </w:tr>
      <w:tr w:rsidR="006932AD" w14:paraId="508CE4B1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7DFCC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lastRenderedPageBreak/>
              <w:t xml:space="preserve">  -M2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16CD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-0.568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9B591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77BBB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0.567(0.257,1.249)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278B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2EF99F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B387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-0.292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299D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531DC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0.747(0.314,1.772)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6B3D1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D2C2C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4664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-0.453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3B66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0.459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8C797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0.636(0.258,1.564)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D943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0.32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6932AD" w14:paraId="2B9F646D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2E2FF2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-M1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221FE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EE74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AD4F3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1.021(0.457,2.283)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83F6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0.959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60792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D571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3BCA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9AA62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1.142(0.474,2.755)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A6FB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C4133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E488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208F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0.463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F9B7D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1.023(0.413,2.536)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CF27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0.96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6932AD" w14:paraId="7854D54D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C7A39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C10-M3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9A14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C8F43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D0C3D9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2.213(1.033,4.742)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632B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C00000"/>
                <w:kern w:val="0"/>
                <w:sz w:val="15"/>
                <w:szCs w:val="15"/>
              </w:rPr>
            </w:pPr>
            <w:r>
              <w:rPr>
                <w:rFonts w:eastAsia="DengXian"/>
                <w:b/>
                <w:bCs/>
                <w:color w:val="000000"/>
                <w:kern w:val="0"/>
                <w:sz w:val="15"/>
                <w:szCs w:val="15"/>
              </w:rPr>
              <w:t>0.041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5BE34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E8B3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E700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D9BBC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1.911(0.834,4.38)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C3C3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DBC75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D37EC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2E9C3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0.442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EBF65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2.097(0.882,4.986)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1728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0.09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</w:tr>
      <w:tr w:rsidR="006932AD" w14:paraId="79371E3F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7E6C1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 -M2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C56A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504A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07F84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1.875(0.912,3.854)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8C6BE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D2E0D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CB06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8D0E9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364E5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1.661(0.750,3.676)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26E8B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0.211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7C407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58323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B0A39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0.417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406EB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1.762(0.778,3.989)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A59E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0.174</w:t>
            </w:r>
          </w:p>
        </w:tc>
      </w:tr>
      <w:tr w:rsidR="006932AD" w14:paraId="62BB6858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04D59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 -M1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42FEB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0.803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F0305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839694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2.232(1.070,4.653)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49BB5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C00000"/>
                <w:kern w:val="0"/>
                <w:sz w:val="15"/>
                <w:szCs w:val="15"/>
              </w:rPr>
            </w:pPr>
            <w:r>
              <w:rPr>
                <w:rFonts w:eastAsia="DengXian"/>
                <w:b/>
                <w:bCs/>
                <w:color w:val="000000"/>
                <w:kern w:val="0"/>
                <w:sz w:val="15"/>
                <w:szCs w:val="15"/>
              </w:rPr>
              <w:t>0.032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656D5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7DE851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65B7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EED19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2.105(0.962,4.608)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A92E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271F3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A3C6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D6143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0.408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49399B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2.091(0.939,4.655)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3C939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0.07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6932AD" w14:paraId="5D22D155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EF39A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C14-M3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4298B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0.873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AA818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F5817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2.394(1.132,5.064)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34D1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b/>
                <w:bCs/>
                <w:color w:val="000000"/>
                <w:kern w:val="0"/>
                <w:sz w:val="15"/>
                <w:szCs w:val="15"/>
              </w:rPr>
              <w:t>0.022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21472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E73B1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3E8B5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3366E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2.003(0.888,4.517)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9BE92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CA382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9955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0.784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3A9D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0.432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65DAB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2.19(0.939,5.108)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4191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0.0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6932AD" w14:paraId="1C21A5BF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58525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 -M2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1991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9AC45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2820C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1.487(0.739,2.99)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3DBE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0.266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8FD92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4A827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0.222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39909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42E94D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1.249(0.585,2.667)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D12B4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0.566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3543D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3819F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0AC5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0.398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F8D7E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1.462(0.670,3.190)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41476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</w:tr>
      <w:tr w:rsidR="006932AD" w14:paraId="1DDD4F88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050AD" w14:textId="77777777" w:rsidR="006932AD" w:rsidRDefault="001C33E1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 xml:space="preserve">   -M1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3D0D8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0.203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FB9B2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0.389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3C997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1.225(0.572,2.624)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97D39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5C59A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8A933D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0.197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7363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A69EB" w14:textId="77777777" w:rsidR="006932AD" w:rsidRDefault="001C33E1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1.218(0.532,2.79)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FE24C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4C56C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69AC0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0.220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B7B6A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0.432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A45CF" w14:textId="77777777" w:rsidR="006932AD" w:rsidRDefault="001C33E1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1.246(0.534,2.908)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24E7CC" w14:textId="77777777" w:rsidR="006932AD" w:rsidRDefault="001C33E1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</w:rPr>
              <w:t>0.610</w:t>
            </w:r>
          </w:p>
        </w:tc>
      </w:tr>
      <w:tr w:rsidR="006932AD" w14:paraId="50D4D6A5" w14:textId="77777777">
        <w:trPr>
          <w:trHeight w:val="280"/>
          <w:jc w:val="center"/>
        </w:trPr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E40E6C0" w14:textId="77777777" w:rsidR="006932AD" w:rsidRDefault="006932AD">
            <w:pPr>
              <w:widowControl/>
              <w:spacing w:line="20" w:lineRule="atLeas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AE1457E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F33C246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FB0C68E" w14:textId="77777777" w:rsidR="006932AD" w:rsidRDefault="006932AD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BBE083B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44EA6B0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5D6CF3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3299D44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E82FE43" w14:textId="77777777" w:rsidR="006932AD" w:rsidRDefault="006932AD">
            <w:pPr>
              <w:widowControl/>
              <w:spacing w:line="20" w:lineRule="atLeast"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26131E5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5C40B10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CE93BBC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AA54362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116E742" w14:textId="77777777" w:rsidR="006932AD" w:rsidRDefault="006932AD">
            <w:pPr>
              <w:widowControl/>
              <w:spacing w:line="20" w:lineRule="atLeast"/>
              <w:jc w:val="center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6B2B4F4" w14:textId="77777777" w:rsidR="006932AD" w:rsidRDefault="006932AD">
            <w:pPr>
              <w:widowControl/>
              <w:spacing w:line="20" w:lineRule="atLeast"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</w:p>
        </w:tc>
      </w:tr>
    </w:tbl>
    <w:p w14:paraId="103B6843" w14:textId="77777777" w:rsidR="006932AD" w:rsidRDefault="001C33E1">
      <w:pPr>
        <w:jc w:val="left"/>
        <w:rPr>
          <w:color w:val="000000"/>
          <w:sz w:val="18"/>
          <w:szCs w:val="18"/>
        </w:rPr>
      </w:pPr>
      <w:r>
        <w:rPr>
          <w:rFonts w:eastAsia="SabonLTStd-Italic"/>
          <w:i/>
          <w:iCs/>
          <w:color w:val="000000"/>
          <w:kern w:val="0"/>
          <w:sz w:val="18"/>
          <w:szCs w:val="18"/>
        </w:rPr>
        <w:t>Note</w:t>
      </w:r>
      <w:r>
        <w:rPr>
          <w:rFonts w:eastAsia="SabonLTStd-Roman"/>
          <w:color w:val="000000"/>
          <w:kern w:val="0"/>
          <w:sz w:val="18"/>
          <w:szCs w:val="18"/>
        </w:rPr>
        <w:t>:</w:t>
      </w:r>
      <w:r>
        <w:rPr>
          <w:sz w:val="18"/>
          <w:szCs w:val="18"/>
        </w:rPr>
        <w:t xml:space="preserve"> Model1</w:t>
      </w:r>
      <w:r>
        <w:rPr>
          <w:rFonts w:hint="eastAsia"/>
          <w:sz w:val="18"/>
          <w:szCs w:val="18"/>
        </w:rPr>
        <w:t xml:space="preserve">: </w:t>
      </w:r>
      <w:r>
        <w:rPr>
          <w:rFonts w:eastAsia="SabonLTStd-Roman"/>
          <w:color w:val="231F20"/>
          <w:kern w:val="0"/>
          <w:sz w:val="18"/>
          <w:szCs w:val="18"/>
        </w:rPr>
        <w:t xml:space="preserve">age, </w:t>
      </w:r>
      <w:r>
        <w:rPr>
          <w:sz w:val="18"/>
          <w:szCs w:val="18"/>
        </w:rPr>
        <w:t>body mass index</w:t>
      </w:r>
      <w:r>
        <w:rPr>
          <w:rFonts w:eastAsia="SabonLTStd-Roman"/>
          <w:color w:val="231F20"/>
          <w:kern w:val="0"/>
          <w:sz w:val="18"/>
          <w:szCs w:val="18"/>
        </w:rPr>
        <w:t xml:space="preserve">, </w:t>
      </w:r>
      <w:r>
        <w:rPr>
          <w:sz w:val="18"/>
          <w:szCs w:val="18"/>
        </w:rPr>
        <w:t>smoking status;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Model2: further controlled for </w:t>
      </w:r>
      <w:r>
        <w:rPr>
          <w:rFonts w:eastAsia="Microsoft YaHei"/>
          <w:sz w:val="18"/>
          <w:szCs w:val="18"/>
        </w:rPr>
        <w:t>malnutrition</w:t>
      </w:r>
      <w:r>
        <w:rPr>
          <w:sz w:val="18"/>
          <w:szCs w:val="18"/>
        </w:rPr>
        <w:t>,</w:t>
      </w:r>
      <w:r>
        <w:rPr>
          <w:rFonts w:eastAsia="Microsoft YaHei"/>
          <w:sz w:val="18"/>
          <w:szCs w:val="18"/>
        </w:rPr>
        <w:t xml:space="preserve"> cognitive decline</w:t>
      </w:r>
      <w:r>
        <w:rPr>
          <w:sz w:val="18"/>
          <w:szCs w:val="18"/>
        </w:rPr>
        <w:t xml:space="preserve">, </w:t>
      </w:r>
      <w:r>
        <w:rPr>
          <w:rFonts w:eastAsia="SabonLTStd-Roman"/>
          <w:sz w:val="18"/>
          <w:szCs w:val="18"/>
        </w:rPr>
        <w:t xml:space="preserve">activities of </w:t>
      </w:r>
      <w:r>
        <w:rPr>
          <w:rFonts w:eastAsia="SabonLTStd-Roman"/>
          <w:sz w:val="18"/>
          <w:szCs w:val="18"/>
        </w:rPr>
        <w:t>daily living</w:t>
      </w:r>
      <w:r>
        <w:rPr>
          <w:sz w:val="18"/>
          <w:szCs w:val="18"/>
        </w:rPr>
        <w:t xml:space="preserve">, polypharmacy, comorbidities; Model3: further controlled for </w:t>
      </w:r>
      <w:r>
        <w:rPr>
          <w:rStyle w:val="def2"/>
          <w:sz w:val="18"/>
          <w:szCs w:val="18"/>
        </w:rPr>
        <w:t>red blood cell</w:t>
      </w:r>
      <w:r>
        <w:rPr>
          <w:sz w:val="18"/>
          <w:szCs w:val="18"/>
        </w:rPr>
        <w:t xml:space="preserve"> and hemoglobin, </w:t>
      </w:r>
      <w:r>
        <w:rPr>
          <w:rFonts w:eastAsia="URWPalladioL-Roma"/>
          <w:kern w:val="0"/>
          <w:sz w:val="18"/>
          <w:szCs w:val="18"/>
        </w:rPr>
        <w:t xml:space="preserve">alanine aminotransferase </w:t>
      </w:r>
      <w:r>
        <w:rPr>
          <w:sz w:val="18"/>
          <w:szCs w:val="18"/>
        </w:rPr>
        <w:t xml:space="preserve">and </w:t>
      </w:r>
      <w:r>
        <w:rPr>
          <w:rFonts w:hint="eastAsia"/>
          <w:sz w:val="18"/>
          <w:szCs w:val="18"/>
        </w:rPr>
        <w:t>uric acid</w:t>
      </w:r>
      <w:r>
        <w:rPr>
          <w:sz w:val="18"/>
          <w:szCs w:val="18"/>
        </w:rPr>
        <w:t xml:space="preserve">; Measured metabolites were used as categorical variables: </w:t>
      </w:r>
      <w:r>
        <w:rPr>
          <w:color w:val="000000"/>
          <w:sz w:val="18"/>
          <w:szCs w:val="18"/>
          <w:shd w:val="clear" w:color="auto" w:fill="FCFCFE"/>
        </w:rPr>
        <w:t>lower quartile</w:t>
      </w:r>
      <w:r>
        <w:rPr>
          <w:rFonts w:hint="eastAsia"/>
          <w:color w:val="000000"/>
          <w:sz w:val="18"/>
          <w:szCs w:val="18"/>
          <w:shd w:val="clear" w:color="auto" w:fill="FCFCFE"/>
        </w:rPr>
        <w:t xml:space="preserve"> </w:t>
      </w:r>
      <w:r>
        <w:rPr>
          <w:color w:val="000000"/>
          <w:sz w:val="18"/>
          <w:szCs w:val="18"/>
          <w:shd w:val="clear" w:color="auto" w:fill="FCFCFE"/>
        </w:rPr>
        <w:t>(M1), median</w:t>
      </w:r>
      <w:r>
        <w:rPr>
          <w:rFonts w:hint="eastAsia"/>
          <w:color w:val="000000"/>
          <w:sz w:val="18"/>
          <w:szCs w:val="18"/>
          <w:shd w:val="clear" w:color="auto" w:fill="FCFCFE"/>
        </w:rPr>
        <w:t xml:space="preserve"> </w:t>
      </w:r>
      <w:r>
        <w:rPr>
          <w:color w:val="000000"/>
          <w:sz w:val="18"/>
          <w:szCs w:val="18"/>
          <w:shd w:val="clear" w:color="auto" w:fill="FCFCFE"/>
        </w:rPr>
        <w:t>(M2), upper quartile</w:t>
      </w:r>
      <w:r>
        <w:rPr>
          <w:rFonts w:hint="eastAsia"/>
          <w:color w:val="000000"/>
          <w:sz w:val="18"/>
          <w:szCs w:val="18"/>
          <w:shd w:val="clear" w:color="auto" w:fill="FCFCFE"/>
        </w:rPr>
        <w:t xml:space="preserve"> </w:t>
      </w:r>
      <w:r>
        <w:rPr>
          <w:color w:val="000000"/>
          <w:sz w:val="18"/>
          <w:szCs w:val="18"/>
          <w:shd w:val="clear" w:color="auto" w:fill="FCFCFE"/>
        </w:rPr>
        <w:t>(M3) versus lowest quartile</w:t>
      </w:r>
      <w:r>
        <w:rPr>
          <w:rFonts w:hint="eastAsia"/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C5,valeryl-L-carnitine</w:t>
      </w:r>
      <w:r>
        <w:rPr>
          <w:rFonts w:hint="eastAsia"/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t xml:space="preserve"> C10,decanoyl-L-carnitin</w:t>
      </w:r>
      <w:r>
        <w:rPr>
          <w:rFonts w:hint="eastAsia"/>
          <w:color w:val="000000"/>
          <w:sz w:val="18"/>
          <w:szCs w:val="18"/>
        </w:rPr>
        <w:t>;</w:t>
      </w:r>
      <w:r>
        <w:rPr>
          <w:sz w:val="18"/>
          <w:szCs w:val="18"/>
        </w:rPr>
        <w:t xml:space="preserve"> C14,tetradecanoyl-L-car-nitine</w:t>
      </w:r>
    </w:p>
    <w:p w14:paraId="521B9088" w14:textId="77777777" w:rsidR="006932AD" w:rsidRDefault="006932AD">
      <w:pPr>
        <w:rPr>
          <w:szCs w:val="21"/>
        </w:rPr>
      </w:pPr>
    </w:p>
    <w:p w14:paraId="0684821C" w14:textId="77777777" w:rsidR="006932AD" w:rsidRDefault="006932AD">
      <w:pPr>
        <w:rPr>
          <w:rFonts w:ascii="Times New Roman" w:hAnsi="Times New Roman" w:cs="Times New Roman"/>
          <w:sz w:val="10"/>
          <w:szCs w:val="10"/>
        </w:rPr>
      </w:pPr>
    </w:p>
    <w:p w14:paraId="24801157" w14:textId="77777777" w:rsidR="006932AD" w:rsidRDefault="001C33E1">
      <w:r>
        <w:rPr>
          <w:b/>
          <w:bCs/>
        </w:rPr>
        <w:t>Suppl. Figure1</w:t>
      </w:r>
    </w:p>
    <w:p w14:paraId="6025EDAD" w14:textId="77777777" w:rsidR="006932AD" w:rsidRDefault="001C33E1">
      <w:r>
        <w:rPr>
          <w:noProof/>
        </w:rPr>
        <w:lastRenderedPageBreak/>
        <w:drawing>
          <wp:inline distT="0" distB="0" distL="0" distR="0" wp14:anchorId="5F693FBE" wp14:editId="63BF3E8D">
            <wp:extent cx="6623050" cy="372808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074" cy="37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F318" w14:textId="77777777" w:rsidR="006932AD" w:rsidRDefault="006932AD"/>
    <w:p w14:paraId="0D49B31E" w14:textId="77777777" w:rsidR="006932AD" w:rsidRDefault="001C33E1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FIGURE 1</w:t>
      </w:r>
      <w:r>
        <w:rPr>
          <w:rFonts w:ascii="Times New Roman" w:eastAsia="LtcvswAdvTTb8864ccf . B" w:hAnsi="Times New Roman" w:cs="Times New Roman"/>
          <w:color w:val="231F20"/>
          <w:sz w:val="18"/>
          <w:szCs w:val="18"/>
        </w:rPr>
        <w:t xml:space="preserve"> Validation </w:t>
      </w:r>
      <w:r>
        <w:rPr>
          <w:rFonts w:ascii="Times New Roman" w:eastAsia="LtcvswAdvTTb8864ccf . B" w:hAnsi="Times New Roman" w:cs="Times New Roman"/>
          <w:color w:val="231F20"/>
          <w:sz w:val="18"/>
          <w:szCs w:val="18"/>
        </w:rPr>
        <w:t>of O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>PLS-DA analysis.</w:t>
      </w:r>
      <w:r>
        <w:rPr>
          <w:rFonts w:ascii="Times New Roman" w:eastAsia="LtcvswAdvTTb8864ccf . B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231F20"/>
          <w:sz w:val="18"/>
          <w:szCs w:val="18"/>
        </w:rPr>
        <w:t>(A</w:t>
      </w:r>
      <w:r>
        <w:rPr>
          <w:rFonts w:ascii="Times New Roman" w:eastAsia="LtcvswAdvTTb8864ccf . B" w:hAnsi="Times New Roman" w:cs="Times New Roman"/>
          <w:b/>
          <w:bCs/>
          <w:color w:val="231F20"/>
          <w:sz w:val="18"/>
          <w:szCs w:val="18"/>
        </w:rPr>
        <w:t>)</w:t>
      </w:r>
      <w:r>
        <w:rPr>
          <w:rFonts w:ascii="Times New Roman" w:eastAsia="LtcvswAdvTTb8864ccf . B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34343"/>
          <w:sz w:val="18"/>
          <w:szCs w:val="18"/>
          <w:shd w:val="clear" w:color="auto" w:fill="FCFCFE"/>
        </w:rPr>
        <w:t>Permutation tests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 xml:space="preserve"> of OPLS-DA model analysis for frailty versus nonfrailty groups. </w:t>
      </w:r>
      <w:r>
        <w:rPr>
          <w:rFonts w:ascii="Times New Roman" w:eastAsia="SimSun" w:hAnsi="Times New Roman" w:cs="Times New Roman"/>
          <w:b/>
          <w:bCs/>
          <w:color w:val="231F20"/>
          <w:sz w:val="18"/>
          <w:szCs w:val="18"/>
        </w:rPr>
        <w:t>(B)</w:t>
      </w:r>
      <w:r>
        <w:rPr>
          <w:rFonts w:ascii="Times New Roman" w:eastAsia="LtcvswAdvTTb8864ccf . B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34343"/>
          <w:sz w:val="18"/>
          <w:szCs w:val="18"/>
          <w:shd w:val="clear" w:color="auto" w:fill="FCFCFE"/>
        </w:rPr>
        <w:t>Permutation tests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 xml:space="preserve"> of OPLS-DA model analysis for </w:t>
      </w:r>
      <w:r>
        <w:rPr>
          <w:rFonts w:ascii="Times New Roman" w:hAnsi="Times New Roman" w:cs="Times New Roman"/>
          <w:color w:val="000000"/>
          <w:sz w:val="18"/>
          <w:szCs w:val="18"/>
        </w:rPr>
        <w:t>frailty and sarcopenia (F&amp;S)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 xml:space="preserve"> versus nonfrail and nonsarcopenic </w:t>
      </w:r>
      <w:r>
        <w:rPr>
          <w:rFonts w:ascii="Times New Roman" w:hAnsi="Times New Roman" w:cs="Times New Roman"/>
          <w:color w:val="000000"/>
          <w:sz w:val="18"/>
          <w:szCs w:val="18"/>
        </w:rPr>
        <w:t>control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HmnvdrAdvTT3713a231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231F20"/>
          <w:sz w:val="18"/>
          <w:szCs w:val="18"/>
        </w:rPr>
        <w:t>(C)</w:t>
      </w:r>
      <w:r>
        <w:rPr>
          <w:rFonts w:ascii="Times New Roman" w:eastAsia="LtcvswAdvTTb8864ccf . B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34343"/>
          <w:sz w:val="18"/>
          <w:szCs w:val="18"/>
          <w:shd w:val="clear" w:color="auto" w:fill="FCFCFE"/>
        </w:rPr>
        <w:t xml:space="preserve">The area under the </w:t>
      </w:r>
      <w:r>
        <w:rPr>
          <w:rFonts w:ascii="Times New Roman" w:hAnsi="Times New Roman" w:cs="Times New Roman"/>
          <w:color w:val="333333"/>
          <w:sz w:val="18"/>
          <w:szCs w:val="18"/>
        </w:rPr>
        <w:t>curve</w:t>
      </w:r>
      <w:r>
        <w:rPr>
          <w:rFonts w:ascii="Times New Roman" w:hAnsi="Times New Roman" w:cs="Times New Roman"/>
          <w:sz w:val="18"/>
          <w:szCs w:val="18"/>
        </w:rPr>
        <w:t xml:space="preserve"> (AUC) 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 xml:space="preserve">for separation of frailty and nonfrailty groups. </w:t>
      </w:r>
      <w:r>
        <w:rPr>
          <w:rFonts w:ascii="Times New Roman" w:eastAsia="SimSun" w:hAnsi="Times New Roman" w:cs="Times New Roman"/>
          <w:b/>
          <w:bCs/>
          <w:color w:val="231F20"/>
          <w:sz w:val="18"/>
          <w:szCs w:val="18"/>
        </w:rPr>
        <w:t>(D)</w:t>
      </w:r>
      <w:r>
        <w:rPr>
          <w:rFonts w:ascii="Times New Roman" w:hAnsi="Times New Roman" w:cs="Times New Roman"/>
          <w:color w:val="434343"/>
          <w:sz w:val="18"/>
          <w:szCs w:val="18"/>
          <w:shd w:val="clear" w:color="auto" w:fill="FCFCFE"/>
        </w:rPr>
        <w:t xml:space="preserve"> The area under the </w:t>
      </w:r>
      <w:r>
        <w:rPr>
          <w:rFonts w:ascii="Times New Roman" w:hAnsi="Times New Roman" w:cs="Times New Roman"/>
          <w:color w:val="333333"/>
          <w:sz w:val="18"/>
          <w:szCs w:val="18"/>
        </w:rPr>
        <w:t>curve</w:t>
      </w:r>
      <w:r>
        <w:rPr>
          <w:rFonts w:ascii="Times New Roman" w:hAnsi="Times New Roman" w:cs="Times New Roman"/>
          <w:sz w:val="18"/>
          <w:szCs w:val="18"/>
        </w:rPr>
        <w:t xml:space="preserve"> (AUC) </w:t>
      </w:r>
      <w:r>
        <w:rPr>
          <w:rFonts w:ascii="Times New Roman" w:hAnsi="Times New Roman" w:cs="Times New Roman"/>
          <w:color w:val="434343"/>
          <w:sz w:val="18"/>
          <w:szCs w:val="18"/>
          <w:shd w:val="clear" w:color="auto" w:fill="FCFCFE"/>
        </w:rPr>
        <w:t xml:space="preserve"> 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>for separation of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frailty and sarcopenia (F&amp;S)</w:t>
      </w:r>
      <w:r>
        <w:rPr>
          <w:rFonts w:ascii="Times New Roman" w:eastAsia="HmnvdrAdvTT3713a231" w:hAnsi="Times New Roman" w:cs="Times New Roman"/>
          <w:color w:val="231F20"/>
          <w:sz w:val="18"/>
          <w:szCs w:val="18"/>
        </w:rPr>
        <w:t xml:space="preserve"> versus nonfrail and nonsarcopenic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control. </w:t>
      </w:r>
    </w:p>
    <w:sectPr w:rsidR="006932AD">
      <w:pgSz w:w="16838" w:h="11906" w:orient="landscape"/>
      <w:pgMar w:top="1814" w:right="1440" w:bottom="181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LTStd-Italic">
    <w:altName w:val="宋体"/>
    <w:charset w:val="00"/>
    <w:family w:val="auto"/>
    <w:pitch w:val="default"/>
    <w:sig w:usb0="00000000" w:usb1="00000000" w:usb2="00000000" w:usb3="00000000" w:csb0="00040001" w:csb1="00000000"/>
  </w:font>
  <w:font w:name="SabonLTStd-Roman">
    <w:altName w:val="宋体"/>
    <w:charset w:val="00"/>
    <w:family w:val="auto"/>
    <w:pitch w:val="default"/>
    <w:sig w:usb0="00000000" w:usb1="00000000" w:usb2="00000000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PalladioL-Roma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tcvswAdvTTb8864ccf . 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mnvdrAdvTT3713a23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1C"/>
    <w:rsid w:val="000134AF"/>
    <w:rsid w:val="00016945"/>
    <w:rsid w:val="00087B55"/>
    <w:rsid w:val="001422F2"/>
    <w:rsid w:val="001C33E1"/>
    <w:rsid w:val="00294447"/>
    <w:rsid w:val="002C18E9"/>
    <w:rsid w:val="002C3EA2"/>
    <w:rsid w:val="002D4BDD"/>
    <w:rsid w:val="006932AD"/>
    <w:rsid w:val="007338E8"/>
    <w:rsid w:val="008003F7"/>
    <w:rsid w:val="0095370B"/>
    <w:rsid w:val="009C665B"/>
    <w:rsid w:val="00B27D1C"/>
    <w:rsid w:val="00B53780"/>
    <w:rsid w:val="00B96455"/>
    <w:rsid w:val="00C10FAD"/>
    <w:rsid w:val="00C207B5"/>
    <w:rsid w:val="00CA0173"/>
    <w:rsid w:val="00EC5820"/>
    <w:rsid w:val="2FE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FBB6"/>
  <w15:docId w15:val="{721F2AE5-4E19-4629-A417-493647F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def2">
    <w:name w:val="de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 红岺</dc:creator>
  <cp:lastModifiedBy>Tom Flint</cp:lastModifiedBy>
  <cp:revision>2</cp:revision>
  <dcterms:created xsi:type="dcterms:W3CDTF">2022-01-04T11:47:00Z</dcterms:created>
  <dcterms:modified xsi:type="dcterms:W3CDTF">2022-01-04T11:47:00Z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5548246D73B34647A38D0C4A6B8D10E9</vt:lpwstr>
  </property>
</Properties>
</file>