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126B2F3E" w:rsidR="00994A3D" w:rsidRPr="00994A3D" w:rsidRDefault="00654E8F" w:rsidP="0001436A">
      <w:pPr>
        <w:pStyle w:val="Heading1"/>
      </w:pPr>
      <w:r w:rsidRPr="00994A3D">
        <w:t>Supplementary Figures</w:t>
      </w:r>
    </w:p>
    <w:p w14:paraId="3C419443" w14:textId="1A1BCF98" w:rsidR="00994A3D" w:rsidRPr="001549D3" w:rsidRDefault="000B08CC" w:rsidP="00994A3D">
      <w:pPr>
        <w:keepNext/>
        <w:jc w:val="center"/>
        <w:rPr>
          <w:rFonts w:cs="Times New Roman"/>
          <w:szCs w:val="24"/>
        </w:rPr>
      </w:pPr>
      <w:r w:rsidRPr="003A41FE">
        <w:rPr>
          <w:noProof/>
        </w:rPr>
        <w:drawing>
          <wp:inline distT="0" distB="0" distL="0" distR="0" wp14:anchorId="37F7C479" wp14:editId="37393006">
            <wp:extent cx="5727700" cy="129848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29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E26AD" w14:textId="309023C7" w:rsidR="000B08CC" w:rsidRDefault="00994A3D" w:rsidP="000B08CC">
      <w:pPr>
        <w:keepNext/>
        <w:rPr>
          <w:rFonts w:cs="Times New Roman"/>
          <w:szCs w:val="24"/>
          <w:lang w:val="en-AU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0B08CC" w:rsidRPr="000B08CC">
        <w:rPr>
          <w:rFonts w:cs="Times New Roman"/>
          <w:szCs w:val="24"/>
          <w:lang w:val="en-AU"/>
        </w:rPr>
        <w:t>Sequence alignments corresponding to the Na</w:t>
      </w:r>
      <w:r w:rsidR="000B08CC" w:rsidRPr="000B08CC">
        <w:rPr>
          <w:rFonts w:cs="Times New Roman"/>
          <w:szCs w:val="24"/>
          <w:vertAlign w:val="subscript"/>
          <w:lang w:val="en-AU"/>
        </w:rPr>
        <w:t>V</w:t>
      </w:r>
      <w:r w:rsidR="000B08CC" w:rsidRPr="000B08CC">
        <w:rPr>
          <w:rFonts w:cs="Times New Roman"/>
          <w:szCs w:val="24"/>
          <w:lang w:val="en-AU"/>
        </w:rPr>
        <w:t>1.7 and Na</w:t>
      </w:r>
      <w:r w:rsidR="000B08CC" w:rsidRPr="000B08CC">
        <w:rPr>
          <w:rFonts w:cs="Times New Roman"/>
          <w:szCs w:val="24"/>
          <w:vertAlign w:val="subscript"/>
          <w:lang w:val="en-AU"/>
        </w:rPr>
        <w:t>V</w:t>
      </w:r>
      <w:r w:rsidR="000B08CC" w:rsidRPr="000B08CC">
        <w:rPr>
          <w:rFonts w:cs="Times New Roman"/>
          <w:szCs w:val="24"/>
          <w:lang w:val="en-AU"/>
        </w:rPr>
        <w:t xml:space="preserve">1.8 DII and DIV extracellular loops and the generated chimeras used in this study. </w:t>
      </w:r>
    </w:p>
    <w:p w14:paraId="24B9647C" w14:textId="77509EB1" w:rsidR="000B08CC" w:rsidRDefault="000B08CC" w:rsidP="000B08CC">
      <w:pPr>
        <w:keepNext/>
        <w:rPr>
          <w:rFonts w:cs="Times New Roman"/>
          <w:szCs w:val="24"/>
          <w:lang w:val="en-AU"/>
        </w:rPr>
      </w:pPr>
    </w:p>
    <w:p w14:paraId="6AE4EE99" w14:textId="6BA25EFD" w:rsidR="000B08CC" w:rsidRDefault="000B08CC" w:rsidP="000B08CC">
      <w:pPr>
        <w:keepNext/>
        <w:rPr>
          <w:rFonts w:cs="Times New Roman"/>
          <w:szCs w:val="24"/>
          <w:lang w:val="en-AU"/>
        </w:rPr>
      </w:pPr>
    </w:p>
    <w:p w14:paraId="4F22F00B" w14:textId="77777777" w:rsidR="000B08CC" w:rsidRPr="000B08CC" w:rsidRDefault="000B08CC" w:rsidP="000B08CC">
      <w:pPr>
        <w:keepNext/>
        <w:rPr>
          <w:rFonts w:cs="Times New Roman"/>
          <w:szCs w:val="24"/>
          <w:lang w:val="en-AU"/>
        </w:rPr>
      </w:pPr>
    </w:p>
    <w:p w14:paraId="3AE196DF" w14:textId="71F7E1E4" w:rsidR="00994A3D" w:rsidRPr="002B4A57" w:rsidRDefault="000B08CC" w:rsidP="000B08CC">
      <w:pPr>
        <w:keepNext/>
        <w:jc w:val="center"/>
        <w:rPr>
          <w:rFonts w:cs="Times New Roman"/>
          <w:b/>
          <w:szCs w:val="24"/>
        </w:rPr>
      </w:pPr>
      <w:r w:rsidRPr="00690624">
        <w:rPr>
          <w:noProof/>
        </w:rPr>
        <w:drawing>
          <wp:inline distT="0" distB="0" distL="0" distR="0" wp14:anchorId="4DA1C976" wp14:editId="3183E016">
            <wp:extent cx="2919046" cy="222950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6778" cy="223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EFF69" w14:textId="76FC9E04" w:rsidR="000B08CC" w:rsidRDefault="000B08CC" w:rsidP="000B08CC">
      <w:pPr>
        <w:spacing w:before="240"/>
        <w:jc w:val="both"/>
        <w:rPr>
          <w:lang w:val="en-GB"/>
        </w:rPr>
      </w:pPr>
      <w:r>
        <w:rPr>
          <w:b/>
          <w:bCs/>
          <w:lang w:val="en-AU"/>
        </w:rPr>
        <w:t xml:space="preserve">Supplementary </w:t>
      </w:r>
      <w:r w:rsidRPr="000B08CC">
        <w:rPr>
          <w:b/>
          <w:bCs/>
          <w:lang w:val="en-AU"/>
        </w:rPr>
        <w:t xml:space="preserve">Figure 2. </w:t>
      </w:r>
      <w:r w:rsidRPr="000B08CC">
        <w:rPr>
          <w:lang w:val="en-GB"/>
        </w:rPr>
        <w:t xml:space="preserve">Chromatogram of native Eo1a purified from crude venom overlaid with synthetic Eo1a run on a Shimadzu LC-40D XR system using a Thermo </w:t>
      </w:r>
      <w:proofErr w:type="spellStart"/>
      <w:r w:rsidRPr="000B08CC">
        <w:rPr>
          <w:lang w:val="en-GB"/>
        </w:rPr>
        <w:t>Hypersil</w:t>
      </w:r>
      <w:proofErr w:type="spellEnd"/>
      <w:r w:rsidRPr="000B08CC">
        <w:rPr>
          <w:lang w:val="en-GB"/>
        </w:rPr>
        <w:t xml:space="preserve"> GOLD 2.1 x 100 mm C18 column heated at 40</w:t>
      </w:r>
      <w:r w:rsidRPr="000B08CC">
        <w:rPr>
          <w:lang w:val="en-GB"/>
        </w:rPr>
        <w:sym w:font="Symbol" w:char="F0B0"/>
      </w:r>
      <w:r w:rsidRPr="000B08CC">
        <w:rPr>
          <w:lang w:val="en-GB"/>
        </w:rPr>
        <w:t>C with flow rate of 0.3 mL/min using the following gradient: 0 to 50% B over 50 min (solvent A, 0.05% TFA in H</w:t>
      </w:r>
      <w:r w:rsidRPr="000B08CC">
        <w:rPr>
          <w:vertAlign w:val="subscript"/>
          <w:lang w:val="en-GB"/>
        </w:rPr>
        <w:t>2</w:t>
      </w:r>
      <w:r w:rsidRPr="000B08CC">
        <w:rPr>
          <w:lang w:val="en-GB"/>
        </w:rPr>
        <w:t>O; solvent B, 90% ACN, 0.05% TFA in H</w:t>
      </w:r>
      <w:r w:rsidRPr="000B08CC">
        <w:rPr>
          <w:vertAlign w:val="subscript"/>
          <w:lang w:val="en-GB"/>
        </w:rPr>
        <w:t>2</w:t>
      </w:r>
      <w:r w:rsidRPr="000B08CC">
        <w:rPr>
          <w:lang w:val="en-GB"/>
        </w:rPr>
        <w:t>O</w:t>
      </w:r>
      <w:r w:rsidR="00724DE5">
        <w:rPr>
          <w:lang w:val="en-GB"/>
        </w:rPr>
        <w:t>)</w:t>
      </w:r>
      <w:r w:rsidRPr="000B08CC">
        <w:rPr>
          <w:lang w:val="en-GB"/>
        </w:rPr>
        <w:t>.</w:t>
      </w:r>
    </w:p>
    <w:p w14:paraId="06AABF38" w14:textId="2B38793F" w:rsidR="000B08CC" w:rsidRPr="000B08CC" w:rsidRDefault="000B08CC" w:rsidP="000B08CC">
      <w:pPr>
        <w:spacing w:before="240"/>
        <w:jc w:val="center"/>
        <w:rPr>
          <w:lang w:val="en-GB"/>
        </w:rPr>
      </w:pPr>
      <w:r w:rsidRPr="00690624">
        <w:rPr>
          <w:noProof/>
        </w:rPr>
        <w:lastRenderedPageBreak/>
        <w:drawing>
          <wp:inline distT="0" distB="0" distL="0" distR="0" wp14:anchorId="7E281E36" wp14:editId="641BFF8A">
            <wp:extent cx="4295716" cy="214785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3616" cy="215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BD597" w14:textId="1F7F8201" w:rsidR="000B08CC" w:rsidRDefault="000B08CC" w:rsidP="000B08CC">
      <w:pPr>
        <w:spacing w:before="240"/>
        <w:jc w:val="both"/>
        <w:rPr>
          <w:lang w:val="en-AU"/>
        </w:rPr>
      </w:pPr>
      <w:r>
        <w:rPr>
          <w:b/>
          <w:bCs/>
          <w:lang w:val="en-AU"/>
        </w:rPr>
        <w:t>Supplementary Figure 3</w:t>
      </w:r>
      <w:r w:rsidRPr="000B08CC">
        <w:rPr>
          <w:b/>
          <w:bCs/>
          <w:lang w:val="en-AU"/>
        </w:rPr>
        <w:t xml:space="preserve">. </w:t>
      </w:r>
      <w:r w:rsidRPr="000B08CC">
        <w:rPr>
          <w:lang w:val="en-AU"/>
        </w:rPr>
        <w:t>Eo1a has minimal effect on the activation and fast inactivation kinetics of Na</w:t>
      </w:r>
      <w:r w:rsidRPr="000B08CC">
        <w:rPr>
          <w:vertAlign w:val="subscript"/>
          <w:lang w:val="en-AU"/>
        </w:rPr>
        <w:t>V</w:t>
      </w:r>
      <w:r w:rsidRPr="000B08CC">
        <w:rPr>
          <w:lang w:val="en-AU"/>
        </w:rPr>
        <w:t xml:space="preserve">1.8. </w:t>
      </w:r>
      <w:r w:rsidRPr="000B08CC">
        <w:rPr>
          <w:b/>
          <w:bCs/>
          <w:lang w:val="en-AU"/>
        </w:rPr>
        <w:t>(A)</w:t>
      </w:r>
      <w:r w:rsidRPr="000B08CC">
        <w:rPr>
          <w:lang w:val="en-AU"/>
        </w:rPr>
        <w:t xml:space="preserve"> Fast inactivation time constants as determined by a single exponential fit at potentials between −5 mV and +45 mV. </w:t>
      </w:r>
      <w:r w:rsidRPr="000B08CC">
        <w:rPr>
          <w:b/>
          <w:bCs/>
          <w:lang w:val="en-AU"/>
        </w:rPr>
        <w:t>(B)</w:t>
      </w:r>
      <w:r w:rsidRPr="000B08CC">
        <w:rPr>
          <w:lang w:val="en-AU"/>
        </w:rPr>
        <w:t xml:space="preserve"> Time to peak calculated from pulse onset to peak inward current at potentials between −5 mV and +45 mV. Data are presented as mean </w:t>
      </w:r>
      <w:r w:rsidRPr="000B08CC">
        <w:rPr>
          <w:lang w:val="en-AU"/>
        </w:rPr>
        <w:sym w:font="Symbol" w:char="F0B1"/>
      </w:r>
      <w:r w:rsidRPr="000B08CC">
        <w:rPr>
          <w:lang w:val="en-AU"/>
        </w:rPr>
        <w:t xml:space="preserve"> SEM (n = 4</w:t>
      </w:r>
      <w:r w:rsidR="00491049">
        <w:rPr>
          <w:lang w:val="en-AU"/>
        </w:rPr>
        <w:t xml:space="preserve"> </w:t>
      </w:r>
      <w:r w:rsidR="00491049" w:rsidRPr="00904F46">
        <w:rPr>
          <w:color w:val="000000" w:themeColor="text1"/>
          <w:lang w:val="en-AU"/>
        </w:rPr>
        <w:t>cells</w:t>
      </w:r>
      <w:r w:rsidRPr="000B08CC">
        <w:rPr>
          <w:lang w:val="en-AU"/>
        </w:rPr>
        <w:t>). Statistical significance was tested using two-way ANOVA, *</w:t>
      </w:r>
      <w:r w:rsidRPr="000B08CC">
        <w:rPr>
          <w:i/>
          <w:iCs/>
          <w:lang w:val="en-AU"/>
        </w:rPr>
        <w:t>P</w:t>
      </w:r>
      <w:r w:rsidRPr="000B08CC">
        <w:rPr>
          <w:lang w:val="en-AU"/>
        </w:rPr>
        <w:t xml:space="preserve"> &lt; 0.05.</w:t>
      </w:r>
    </w:p>
    <w:p w14:paraId="79AB1FE6" w14:textId="34F3BBF5" w:rsidR="00EB6A50" w:rsidRDefault="00EB6A50" w:rsidP="000B08CC">
      <w:pPr>
        <w:spacing w:before="240"/>
        <w:jc w:val="both"/>
        <w:rPr>
          <w:lang w:val="en-AU"/>
        </w:rPr>
      </w:pPr>
    </w:p>
    <w:p w14:paraId="057E7428" w14:textId="77777777" w:rsidR="00EB6A50" w:rsidRPr="000B08CC" w:rsidRDefault="00EB6A50" w:rsidP="000B08CC">
      <w:pPr>
        <w:spacing w:before="240"/>
        <w:jc w:val="both"/>
        <w:rPr>
          <w:lang w:val="en-AU"/>
        </w:rPr>
      </w:pPr>
    </w:p>
    <w:p w14:paraId="7B65BC41" w14:textId="680D2D71" w:rsidR="00DE23E8" w:rsidRDefault="00491049" w:rsidP="00654E8F">
      <w:pPr>
        <w:spacing w:before="240"/>
      </w:pPr>
      <w:r w:rsidRPr="00491049">
        <w:rPr>
          <w:noProof/>
        </w:rPr>
        <w:drawing>
          <wp:inline distT="0" distB="0" distL="0" distR="0" wp14:anchorId="1EB2E24C" wp14:editId="5E9EBD74">
            <wp:extent cx="6208395" cy="27222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5487A" w14:textId="54818359" w:rsidR="00491049" w:rsidRPr="00F75288" w:rsidRDefault="00491049" w:rsidP="00491049">
      <w:pPr>
        <w:spacing w:before="240"/>
        <w:jc w:val="both"/>
        <w:rPr>
          <w:color w:val="000000" w:themeColor="text1"/>
        </w:rPr>
      </w:pPr>
      <w:r w:rsidRPr="00F75288">
        <w:rPr>
          <w:b/>
          <w:bCs/>
          <w:color w:val="000000" w:themeColor="text1"/>
          <w:lang w:val="en-AU"/>
        </w:rPr>
        <w:t xml:space="preserve">Supplementary Figure 4. </w:t>
      </w:r>
      <w:r w:rsidRPr="00F75288">
        <w:rPr>
          <w:color w:val="000000" w:themeColor="text1"/>
          <w:lang w:val="en-AU"/>
        </w:rPr>
        <w:t>The conductance-voltage (squares</w:t>
      </w:r>
      <w:r w:rsidR="00EB6A50" w:rsidRPr="00F75288">
        <w:rPr>
          <w:color w:val="000000" w:themeColor="text1"/>
          <w:lang w:val="en-AU"/>
        </w:rPr>
        <w:t>; left axis</w:t>
      </w:r>
      <w:r w:rsidRPr="00F75288">
        <w:rPr>
          <w:color w:val="000000" w:themeColor="text1"/>
          <w:lang w:val="en-AU"/>
        </w:rPr>
        <w:t>) and steady-state fast inactivation (circles</w:t>
      </w:r>
      <w:r w:rsidR="00EB6A50" w:rsidRPr="00F75288">
        <w:rPr>
          <w:color w:val="000000" w:themeColor="text1"/>
          <w:lang w:val="en-AU"/>
        </w:rPr>
        <w:t>; right axis</w:t>
      </w:r>
      <w:r w:rsidRPr="00F75288">
        <w:rPr>
          <w:color w:val="000000" w:themeColor="text1"/>
          <w:lang w:val="en-AU"/>
        </w:rPr>
        <w:t>) curves at Na</w:t>
      </w:r>
      <w:r w:rsidRPr="00F75288">
        <w:rPr>
          <w:color w:val="000000" w:themeColor="text1"/>
          <w:vertAlign w:val="subscript"/>
          <w:lang w:val="en-AU"/>
        </w:rPr>
        <w:t>V</w:t>
      </w:r>
      <w:r w:rsidRPr="00F75288">
        <w:rPr>
          <w:color w:val="000000" w:themeColor="text1"/>
          <w:lang w:val="en-AU"/>
        </w:rPr>
        <w:t>1.1-Na</w:t>
      </w:r>
      <w:r w:rsidRPr="00F75288">
        <w:rPr>
          <w:color w:val="000000" w:themeColor="text1"/>
          <w:vertAlign w:val="subscript"/>
          <w:lang w:val="en-AU"/>
        </w:rPr>
        <w:t>V</w:t>
      </w:r>
      <w:r w:rsidRPr="00F75288">
        <w:rPr>
          <w:color w:val="000000" w:themeColor="text1"/>
          <w:lang w:val="en-AU"/>
        </w:rPr>
        <w:t xml:space="preserve">1.7 before (black) and after addition of Eo1a 10 </w:t>
      </w:r>
      <w:r w:rsidRPr="00F75288">
        <w:rPr>
          <w:color w:val="000000" w:themeColor="text1"/>
          <w:lang w:val="en-AU"/>
        </w:rPr>
        <w:sym w:font="Symbol" w:char="F06D"/>
      </w:r>
      <w:r w:rsidRPr="00F75288">
        <w:rPr>
          <w:color w:val="000000" w:themeColor="text1"/>
          <w:lang w:val="en-AU"/>
        </w:rPr>
        <w:t xml:space="preserve">M (orange). Data are presented as mean </w:t>
      </w:r>
      <w:r w:rsidRPr="00F75288">
        <w:rPr>
          <w:color w:val="000000" w:themeColor="text1"/>
          <w:lang w:val="en-AU"/>
        </w:rPr>
        <w:sym w:font="Symbol" w:char="F0B1"/>
      </w:r>
      <w:r w:rsidRPr="00F75288">
        <w:rPr>
          <w:color w:val="000000" w:themeColor="text1"/>
          <w:lang w:val="en-AU"/>
        </w:rPr>
        <w:t xml:space="preserve"> SEM (n = 4</w:t>
      </w:r>
      <w:r w:rsidR="00EB6A50" w:rsidRPr="00F75288">
        <w:rPr>
          <w:color w:val="000000" w:themeColor="text1"/>
          <w:lang w:val="en-AU"/>
        </w:rPr>
        <w:t>-6</w:t>
      </w:r>
      <w:r w:rsidRPr="00F75288">
        <w:rPr>
          <w:color w:val="000000" w:themeColor="text1"/>
          <w:lang w:val="en-AU"/>
        </w:rPr>
        <w:t xml:space="preserve"> cells).</w:t>
      </w:r>
    </w:p>
    <w:sectPr w:rsidR="00491049" w:rsidRPr="00F75288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06874" w14:textId="77777777" w:rsidR="008C7DD6" w:rsidRDefault="008C7DD6" w:rsidP="00117666">
      <w:pPr>
        <w:spacing w:after="0"/>
      </w:pPr>
      <w:r>
        <w:separator/>
      </w:r>
    </w:p>
  </w:endnote>
  <w:endnote w:type="continuationSeparator" w:id="0">
    <w:p w14:paraId="5600BFF9" w14:textId="77777777" w:rsidR="008C7DD6" w:rsidRDefault="008C7DD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CFCC50" w14:textId="77777777" w:rsidR="008C7DD6" w:rsidRDefault="008C7DD6" w:rsidP="00117666">
      <w:pPr>
        <w:spacing w:after="0"/>
      </w:pPr>
      <w:r>
        <w:separator/>
      </w:r>
    </w:p>
  </w:footnote>
  <w:footnote w:type="continuationSeparator" w:id="0">
    <w:p w14:paraId="00BEB6EF" w14:textId="77777777" w:rsidR="008C7DD6" w:rsidRDefault="008C7DD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5601C"/>
    <w:rsid w:val="00077D53"/>
    <w:rsid w:val="000B08CC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1049"/>
    <w:rsid w:val="004947A6"/>
    <w:rsid w:val="004961FF"/>
    <w:rsid w:val="004C21AA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4DE5"/>
    <w:rsid w:val="00725A7D"/>
    <w:rsid w:val="007501BE"/>
    <w:rsid w:val="00790BB3"/>
    <w:rsid w:val="007C206C"/>
    <w:rsid w:val="00817DD6"/>
    <w:rsid w:val="0083759F"/>
    <w:rsid w:val="00885156"/>
    <w:rsid w:val="008C7DD6"/>
    <w:rsid w:val="00904F46"/>
    <w:rsid w:val="009151AA"/>
    <w:rsid w:val="0093429D"/>
    <w:rsid w:val="00943573"/>
    <w:rsid w:val="00964134"/>
    <w:rsid w:val="00970F7D"/>
    <w:rsid w:val="00994A3D"/>
    <w:rsid w:val="009C2B12"/>
    <w:rsid w:val="00A174D9"/>
    <w:rsid w:val="00A20790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A7F96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B6A50"/>
    <w:rsid w:val="00EC090A"/>
    <w:rsid w:val="00ED20B5"/>
    <w:rsid w:val="00F1463C"/>
    <w:rsid w:val="00F46900"/>
    <w:rsid w:val="00F61D89"/>
    <w:rsid w:val="00F75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9</TotalTime>
  <Pages>2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Jennifer Deuis</cp:lastModifiedBy>
  <cp:revision>7</cp:revision>
  <cp:lastPrinted>2013-10-03T12:51:00Z</cp:lastPrinted>
  <dcterms:created xsi:type="dcterms:W3CDTF">2021-11-12T00:30:00Z</dcterms:created>
  <dcterms:modified xsi:type="dcterms:W3CDTF">2022-01-04T01:58:00Z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f488380-630a-4f55-a077-a19445e3f360_Enabled">
    <vt:lpwstr>true</vt:lpwstr>
  </property>
  <property fmtid="{D5CDD505-2E9C-101B-9397-08002B2CF9AE}" pid="3" name="MSIP_Label_0f488380-630a-4f55-a077-a19445e3f360_SetDate">
    <vt:lpwstr>2022-01-04T01:58:15Z</vt:lpwstr>
  </property>
  <property fmtid="{D5CDD505-2E9C-101B-9397-08002B2CF9AE}" pid="4" name="MSIP_Label_0f488380-630a-4f55-a077-a19445e3f360_Method">
    <vt:lpwstr>Privileged</vt:lpwstr>
  </property>
  <property fmtid="{D5CDD505-2E9C-101B-9397-08002B2CF9AE}" pid="5" name="MSIP_Label_0f488380-630a-4f55-a077-a19445e3f360_Name">
    <vt:lpwstr>OFFICIAL - INTERNAL</vt:lpwstr>
  </property>
  <property fmtid="{D5CDD505-2E9C-101B-9397-08002B2CF9AE}" pid="6" name="MSIP_Label_0f488380-630a-4f55-a077-a19445e3f360_SiteId">
    <vt:lpwstr>b6e377cf-9db3-46cb-91a2-fad9605bb15c</vt:lpwstr>
  </property>
  <property fmtid="{D5CDD505-2E9C-101B-9397-08002B2CF9AE}" pid="7" name="MSIP_Label_0f488380-630a-4f55-a077-a19445e3f360_ActionId">
    <vt:lpwstr>1fc51849-b968-4cf7-a6f0-32ee7acb3a90</vt:lpwstr>
  </property>
  <property fmtid="{D5CDD505-2E9C-101B-9397-08002B2CF9AE}" pid="8" name="MSIP_Label_0f488380-630a-4f55-a077-a19445e3f360_ContentBits">
    <vt:lpwstr>0</vt:lpwstr>
  </property>
</Properties>
</file>