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E4" w:rsidRPr="000A3D71" w:rsidRDefault="000A3D71" w:rsidP="000A3D71">
      <w:pPr>
        <w:tabs>
          <w:tab w:val="left" w:pos="1785"/>
          <w:tab w:val="left" w:pos="2790"/>
        </w:tabs>
        <w:ind w:left="0" w:firstLine="0"/>
      </w:pPr>
      <w:r w:rsidRPr="000A3D71">
        <w:rPr>
          <w:b/>
          <w:bCs/>
        </w:rPr>
        <w:t>Microbes used:</w:t>
      </w:r>
      <w:r w:rsidRPr="000A3D71">
        <w:t xml:space="preserve"> 16S </w:t>
      </w:r>
      <w:proofErr w:type="spellStart"/>
      <w:r w:rsidRPr="000A3D71">
        <w:t>rR</w:t>
      </w:r>
      <w:bookmarkStart w:id="0" w:name="_GoBack"/>
      <w:bookmarkEnd w:id="0"/>
      <w:r w:rsidRPr="000A3D71">
        <w:t>NA</w:t>
      </w:r>
      <w:proofErr w:type="spellEnd"/>
      <w:r w:rsidRPr="000A3D71">
        <w:t xml:space="preserve"> (for bacteria used) and 18S </w:t>
      </w:r>
      <w:proofErr w:type="spellStart"/>
      <w:r w:rsidRPr="000A3D71">
        <w:t>rRNA</w:t>
      </w:r>
      <w:proofErr w:type="spellEnd"/>
      <w:r w:rsidRPr="000A3D71">
        <w:t xml:space="preserve"> (</w:t>
      </w:r>
      <w:r w:rsidR="007A4117">
        <w:t>f</w:t>
      </w:r>
      <w:r w:rsidRPr="000A3D71">
        <w:t xml:space="preserve">or fungus used) were submitted in NCBI and accession number were received from NCBI. URL against each accession number is added in the below table. </w:t>
      </w:r>
    </w:p>
    <w:p w:rsidR="000A3D71" w:rsidRDefault="000A3D71" w:rsidP="000A3D71">
      <w:pPr>
        <w:tabs>
          <w:tab w:val="left" w:pos="1785"/>
          <w:tab w:val="left" w:pos="2790"/>
        </w:tabs>
        <w:ind w:left="0" w:firstLine="0"/>
        <w:rPr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1890"/>
        <w:gridCol w:w="3155"/>
        <w:gridCol w:w="7384"/>
      </w:tblGrid>
      <w:tr w:rsidR="000A3D71" w:rsidRPr="002D6763" w:rsidTr="00A874B8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b/>
                <w:szCs w:val="24"/>
              </w:rPr>
            </w:pPr>
            <w:r w:rsidRPr="002D6763">
              <w:rPr>
                <w:b/>
                <w:szCs w:val="24"/>
              </w:rPr>
              <w:t>Bacterial Strain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b/>
                <w:szCs w:val="24"/>
              </w:rPr>
            </w:pPr>
            <w:r w:rsidRPr="002D6763">
              <w:rPr>
                <w:b/>
                <w:szCs w:val="24"/>
              </w:rPr>
              <w:t>Accession Number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b/>
                <w:szCs w:val="24"/>
              </w:rPr>
            </w:pPr>
            <w:r w:rsidRPr="002D6763">
              <w:rPr>
                <w:b/>
                <w:szCs w:val="24"/>
              </w:rPr>
              <w:t xml:space="preserve">Bacteria </w:t>
            </w:r>
          </w:p>
        </w:tc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</w:tcPr>
          <w:p w:rsidR="000A3D71" w:rsidRPr="002D6763" w:rsidRDefault="000A3D71" w:rsidP="00A874B8">
            <w:pPr>
              <w:tabs>
                <w:tab w:val="left" w:pos="219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URL</w:t>
            </w:r>
          </w:p>
        </w:tc>
      </w:tr>
      <w:tr w:rsidR="000A3D71" w:rsidRPr="002D6763" w:rsidTr="00A874B8">
        <w:tc>
          <w:tcPr>
            <w:tcW w:w="548" w:type="pct"/>
            <w:tcBorders>
              <w:top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AK1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MW444883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2D6763">
              <w:rPr>
                <w:i/>
                <w:szCs w:val="24"/>
              </w:rPr>
              <w:t>Lysinibacillus</w:t>
            </w:r>
            <w:proofErr w:type="spellEnd"/>
            <w:r w:rsidRPr="002D6763">
              <w:rPr>
                <w:szCs w:val="24"/>
              </w:rPr>
              <w:t xml:space="preserve"> sp.</w:t>
            </w:r>
          </w:p>
        </w:tc>
        <w:tc>
          <w:tcPr>
            <w:tcW w:w="2645" w:type="pct"/>
            <w:tcBorders>
              <w:top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6" w:history="1">
              <w:r w:rsidRPr="0047142B">
                <w:rPr>
                  <w:rStyle w:val="Hyperlink"/>
                  <w:i/>
                  <w:szCs w:val="24"/>
                </w:rPr>
                <w:t>https://www.ncbi.nlm.nih.gov/nuccore/MW44488</w:t>
              </w:r>
              <w:r w:rsidRPr="0047142B">
                <w:rPr>
                  <w:rStyle w:val="Hyperlink"/>
                  <w:i/>
                  <w:szCs w:val="24"/>
                </w:rPr>
                <w:t>3</w:t>
              </w:r>
              <w:r w:rsidRPr="0047142B">
                <w:rPr>
                  <w:rStyle w:val="Hyperlink"/>
                  <w:i/>
                  <w:szCs w:val="24"/>
                </w:rPr>
                <w:t>.1?report=GenBank</w:t>
              </w:r>
            </w:hyperlink>
            <w:r>
              <w:rPr>
                <w:i/>
                <w:szCs w:val="24"/>
              </w:rPr>
              <w:t xml:space="preserve"> </w:t>
            </w:r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AK2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 xml:space="preserve">KY614289 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2D6763">
              <w:rPr>
                <w:i/>
                <w:szCs w:val="24"/>
              </w:rPr>
              <w:t>Arthrobacter</w:t>
            </w:r>
            <w:proofErr w:type="spellEnd"/>
            <w:r w:rsidRPr="002D6763">
              <w:rPr>
                <w:i/>
                <w:szCs w:val="24"/>
              </w:rPr>
              <w:t xml:space="preserve"> </w:t>
            </w:r>
            <w:proofErr w:type="spellStart"/>
            <w:r w:rsidRPr="002D6763">
              <w:rPr>
                <w:i/>
                <w:szCs w:val="24"/>
              </w:rPr>
              <w:t>pascens</w:t>
            </w:r>
            <w:proofErr w:type="spellEnd"/>
            <w:r w:rsidRPr="002D6763">
              <w:rPr>
                <w:szCs w:val="24"/>
              </w:rPr>
              <w:t xml:space="preserve"> </w:t>
            </w:r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7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https://www.ncbi.nlm.nih.gov/nuccore/KY614289.1?report=GenBank</w:t>
              </w:r>
            </w:hyperlink>
            <w:r>
              <w:rPr>
                <w:i/>
                <w:szCs w:val="24"/>
              </w:rPr>
              <w:t xml:space="preserve"> </w:t>
            </w:r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AK3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MW532754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r w:rsidRPr="002D6763">
              <w:rPr>
                <w:i/>
                <w:szCs w:val="24"/>
              </w:rPr>
              <w:t xml:space="preserve">Bacillus </w:t>
            </w:r>
            <w:proofErr w:type="spellStart"/>
            <w:r w:rsidRPr="002D6763">
              <w:rPr>
                <w:i/>
                <w:szCs w:val="24"/>
              </w:rPr>
              <w:t>aryabhattai</w:t>
            </w:r>
            <w:proofErr w:type="spellEnd"/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8" w:history="1">
              <w:r w:rsidRPr="0047142B">
                <w:rPr>
                  <w:rStyle w:val="Hyperlink"/>
                  <w:i/>
                  <w:szCs w:val="24"/>
                </w:rPr>
                <w:t>https://www.ncbi.nlm.nih.gov/nuccore/MW532754.1?report=GenBank</w:t>
              </w:r>
            </w:hyperlink>
            <w:r>
              <w:rPr>
                <w:i/>
                <w:szCs w:val="24"/>
              </w:rPr>
              <w:t xml:space="preserve"> </w:t>
            </w:r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AK4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KY614290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2D6763">
              <w:rPr>
                <w:i/>
                <w:szCs w:val="24"/>
              </w:rPr>
              <w:t>Kocuria</w:t>
            </w:r>
            <w:proofErr w:type="spellEnd"/>
            <w:r w:rsidRPr="002D6763">
              <w:rPr>
                <w:i/>
                <w:szCs w:val="24"/>
              </w:rPr>
              <w:t xml:space="preserve"> </w:t>
            </w:r>
            <w:proofErr w:type="spellStart"/>
            <w:r w:rsidRPr="002D6763">
              <w:rPr>
                <w:i/>
                <w:szCs w:val="24"/>
              </w:rPr>
              <w:t>rosea</w:t>
            </w:r>
            <w:proofErr w:type="spellEnd"/>
            <w:r w:rsidRPr="002D6763">
              <w:rPr>
                <w:szCs w:val="24"/>
              </w:rPr>
              <w:t xml:space="preserve"> </w:t>
            </w:r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9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https://www.ncbi.nlm.nih.gov/nuccore/KY614290.1?report=GenBank</w:t>
              </w:r>
            </w:hyperlink>
            <w:r>
              <w:rPr>
                <w:i/>
                <w:szCs w:val="24"/>
              </w:rPr>
              <w:t xml:space="preserve"> </w:t>
            </w:r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AK5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 xml:space="preserve">KY614291 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2D6763">
              <w:rPr>
                <w:i/>
                <w:szCs w:val="24"/>
              </w:rPr>
              <w:t>Arthrobacter</w:t>
            </w:r>
            <w:proofErr w:type="spellEnd"/>
            <w:r w:rsidRPr="002D6763">
              <w:rPr>
                <w:i/>
                <w:szCs w:val="24"/>
              </w:rPr>
              <w:t xml:space="preserve"> sp.</w:t>
            </w:r>
            <w:r w:rsidRPr="002D6763">
              <w:rPr>
                <w:szCs w:val="24"/>
              </w:rPr>
              <w:t xml:space="preserve"> </w:t>
            </w:r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0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https://www.ncbi.nlm.nih.gov/nuccore/KY614291.1?report=GenBank</w:t>
              </w:r>
            </w:hyperlink>
            <w:r>
              <w:rPr>
                <w:i/>
                <w:szCs w:val="24"/>
              </w:rPr>
              <w:t xml:space="preserve"> </w:t>
            </w:r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AK6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 xml:space="preserve">KY614292 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2D6763">
              <w:rPr>
                <w:i/>
                <w:szCs w:val="24"/>
              </w:rPr>
              <w:t>Kocuria</w:t>
            </w:r>
            <w:proofErr w:type="spellEnd"/>
            <w:r w:rsidRPr="002D6763">
              <w:rPr>
                <w:i/>
                <w:szCs w:val="24"/>
              </w:rPr>
              <w:t xml:space="preserve"> </w:t>
            </w:r>
            <w:proofErr w:type="spellStart"/>
            <w:r w:rsidRPr="002D6763">
              <w:rPr>
                <w:i/>
                <w:szCs w:val="24"/>
              </w:rPr>
              <w:t>flava</w:t>
            </w:r>
            <w:proofErr w:type="spellEnd"/>
            <w:r w:rsidRPr="002D6763">
              <w:rPr>
                <w:szCs w:val="24"/>
              </w:rPr>
              <w:t xml:space="preserve"> </w:t>
            </w:r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1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https://www.ncbi.nlm.nih.gov/nuccore/KY614292.1?report=GenBank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AK7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KY614293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i/>
                <w:szCs w:val="24"/>
              </w:rPr>
              <w:t>Pseudomonas aeruginosa</w:t>
            </w:r>
            <w:r w:rsidRPr="002D6763">
              <w:rPr>
                <w:szCs w:val="24"/>
              </w:rPr>
              <w:t xml:space="preserve"> </w:t>
            </w:r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2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https://www.ncbi.nlm.nih.gov/nuccore/KY614293.1?report=GenBank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AK8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MW444917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r w:rsidRPr="002D6763">
              <w:rPr>
                <w:i/>
                <w:szCs w:val="24"/>
              </w:rPr>
              <w:t xml:space="preserve">Bacillus </w:t>
            </w:r>
            <w:proofErr w:type="spellStart"/>
            <w:r w:rsidRPr="002D6763">
              <w:rPr>
                <w:i/>
                <w:szCs w:val="24"/>
              </w:rPr>
              <w:t>megaterium</w:t>
            </w:r>
            <w:proofErr w:type="spellEnd"/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3" w:history="1">
              <w:r w:rsidRPr="0047142B">
                <w:rPr>
                  <w:rStyle w:val="Hyperlink"/>
                  <w:i/>
                  <w:szCs w:val="24"/>
                </w:rPr>
                <w:t>https://www.ncbi.nlm.nih.gov/nuccore/MW444917.1?report=GenBank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AK9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 xml:space="preserve">KY614294 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2D6763">
              <w:rPr>
                <w:i/>
                <w:szCs w:val="24"/>
              </w:rPr>
              <w:t>Nocardioides</w:t>
            </w:r>
            <w:proofErr w:type="spellEnd"/>
            <w:r w:rsidRPr="002D6763">
              <w:rPr>
                <w:szCs w:val="24"/>
              </w:rPr>
              <w:t xml:space="preserve"> sp. </w:t>
            </w:r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4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https://www.ncbi.nlm.nih.gov/nuccore/KY614294.1?report=GenBank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AK11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MW444884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i/>
                <w:szCs w:val="24"/>
              </w:rPr>
              <w:t>Bacillus</w:t>
            </w:r>
            <w:r w:rsidRPr="002D6763">
              <w:rPr>
                <w:szCs w:val="24"/>
              </w:rPr>
              <w:t xml:space="preserve"> sp.</w:t>
            </w:r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5" w:history="1">
              <w:r w:rsidRPr="0047142B">
                <w:rPr>
                  <w:rStyle w:val="Hyperlink"/>
                  <w:i/>
                  <w:szCs w:val="24"/>
                </w:rPr>
                <w:t>https://www.ncbi.nlm.nih.gov/nuccore/MW444884.1?report=GenBank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AK12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MW444885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i/>
                <w:szCs w:val="24"/>
              </w:rPr>
              <w:t>Pseudomonas</w:t>
            </w:r>
            <w:r w:rsidRPr="002D6763">
              <w:rPr>
                <w:szCs w:val="24"/>
              </w:rPr>
              <w:t xml:space="preserve"> sp.</w:t>
            </w:r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6" w:history="1">
              <w:r w:rsidRPr="0047142B">
                <w:rPr>
                  <w:rStyle w:val="Hyperlink"/>
                  <w:i/>
                  <w:szCs w:val="24"/>
                </w:rPr>
                <w:t>https://www.ncbi.nlm.nih.gov/nuccore/MW444885.1?report=GenBank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AK13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 xml:space="preserve">KY614295 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proofErr w:type="spellStart"/>
            <w:r w:rsidRPr="002D6763">
              <w:rPr>
                <w:i/>
                <w:szCs w:val="24"/>
              </w:rPr>
              <w:t>Sporosarcina</w:t>
            </w:r>
            <w:proofErr w:type="spellEnd"/>
            <w:r w:rsidRPr="002D6763">
              <w:rPr>
                <w:i/>
                <w:szCs w:val="24"/>
              </w:rPr>
              <w:t xml:space="preserve"> </w:t>
            </w:r>
            <w:proofErr w:type="spellStart"/>
            <w:r w:rsidRPr="002D6763">
              <w:rPr>
                <w:i/>
                <w:szCs w:val="24"/>
              </w:rPr>
              <w:t>luteola</w:t>
            </w:r>
            <w:proofErr w:type="spellEnd"/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7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https://www.ncbi.nlm.nih.gov/nuccore/KY614295.1?report=GenBank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AK14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 xml:space="preserve">KY614296 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r w:rsidRPr="002D6763">
              <w:rPr>
                <w:i/>
                <w:szCs w:val="24"/>
              </w:rPr>
              <w:t xml:space="preserve">Bacillus </w:t>
            </w:r>
            <w:proofErr w:type="spellStart"/>
            <w:r w:rsidRPr="002D6763">
              <w:rPr>
                <w:i/>
                <w:szCs w:val="24"/>
              </w:rPr>
              <w:t>niacini</w:t>
            </w:r>
            <w:proofErr w:type="spellEnd"/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8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https://www.ncbi.nlm.nih.gov/nuccore/KY614296.1?report=GenBank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AK15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MW444886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r w:rsidRPr="002D6763">
              <w:rPr>
                <w:i/>
                <w:szCs w:val="24"/>
              </w:rPr>
              <w:t xml:space="preserve">Bacillus </w:t>
            </w:r>
            <w:proofErr w:type="spellStart"/>
            <w:r w:rsidRPr="002D6763">
              <w:rPr>
                <w:i/>
                <w:szCs w:val="24"/>
              </w:rPr>
              <w:t>siamensis</w:t>
            </w:r>
            <w:proofErr w:type="spellEnd"/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19" w:history="1">
              <w:r w:rsidRPr="0047142B">
                <w:rPr>
                  <w:rStyle w:val="Hyperlink"/>
                  <w:i/>
                  <w:szCs w:val="24"/>
                </w:rPr>
                <w:t>https://www.ncbi.nlm.nih.gov/nuccore/MW444886.1?report=GenBank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A3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MW444887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i/>
                <w:szCs w:val="24"/>
              </w:rPr>
              <w:t>Pseudomonas</w:t>
            </w:r>
            <w:r w:rsidRPr="002D6763">
              <w:rPr>
                <w:szCs w:val="24"/>
              </w:rPr>
              <w:t xml:space="preserve"> sp. </w:t>
            </w:r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20" w:history="1">
              <w:r w:rsidRPr="0047142B">
                <w:rPr>
                  <w:rStyle w:val="Hyperlink"/>
                  <w:i/>
                  <w:szCs w:val="24"/>
                </w:rPr>
                <w:t>https://www.ncbi.nlm.nih.gov/nuccore/MW444887.1?report=GenBank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A9</w:t>
            </w:r>
          </w:p>
        </w:tc>
        <w:tc>
          <w:tcPr>
            <w:tcW w:w="677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MW532755</w:t>
            </w:r>
          </w:p>
        </w:tc>
        <w:tc>
          <w:tcPr>
            <w:tcW w:w="1130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r w:rsidRPr="002D6763">
              <w:rPr>
                <w:i/>
                <w:szCs w:val="24"/>
              </w:rPr>
              <w:t xml:space="preserve">Bacillus </w:t>
            </w:r>
            <w:proofErr w:type="spellStart"/>
            <w:r w:rsidRPr="002D6763">
              <w:rPr>
                <w:i/>
                <w:szCs w:val="24"/>
              </w:rPr>
              <w:t>amyloliquefaciens</w:t>
            </w:r>
            <w:proofErr w:type="spellEnd"/>
          </w:p>
        </w:tc>
        <w:tc>
          <w:tcPr>
            <w:tcW w:w="2645" w:type="pct"/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21" w:history="1">
              <w:r w:rsidRPr="0047142B">
                <w:rPr>
                  <w:rStyle w:val="Hyperlink"/>
                  <w:i/>
                  <w:szCs w:val="24"/>
                </w:rPr>
                <w:t>https://www.ncbi.nlm.nih.gov/nuccore/MW532755.1?report=GenBank</w:t>
              </w:r>
            </w:hyperlink>
          </w:p>
        </w:tc>
      </w:tr>
      <w:tr w:rsidR="000A3D71" w:rsidRPr="002D6763" w:rsidTr="00A874B8">
        <w:tc>
          <w:tcPr>
            <w:tcW w:w="548" w:type="pct"/>
            <w:tcBorders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A14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szCs w:val="24"/>
              </w:rPr>
              <w:t>MW444888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szCs w:val="24"/>
              </w:rPr>
            </w:pPr>
            <w:r w:rsidRPr="002D6763">
              <w:rPr>
                <w:i/>
                <w:szCs w:val="24"/>
              </w:rPr>
              <w:t>Staphylococcus</w:t>
            </w:r>
            <w:r w:rsidRPr="002D6763">
              <w:rPr>
                <w:szCs w:val="24"/>
              </w:rPr>
              <w:t xml:space="preserve"> sp.</w:t>
            </w:r>
          </w:p>
        </w:tc>
        <w:tc>
          <w:tcPr>
            <w:tcW w:w="2645" w:type="pct"/>
            <w:tcBorders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both"/>
              <w:rPr>
                <w:i/>
                <w:szCs w:val="24"/>
              </w:rPr>
            </w:pPr>
            <w:hyperlink r:id="rId22" w:history="1">
              <w:r w:rsidRPr="0047142B">
                <w:rPr>
                  <w:rStyle w:val="Hyperlink"/>
                  <w:i/>
                  <w:szCs w:val="24"/>
                </w:rPr>
                <w:t>https://www.ncbi.nlm.nih.gov/nuccore/MW444888.1?report=GenBank</w:t>
              </w:r>
            </w:hyperlink>
          </w:p>
        </w:tc>
      </w:tr>
    </w:tbl>
    <w:p w:rsidR="000A3D71" w:rsidRDefault="000A3D71" w:rsidP="000A3D71"/>
    <w:tbl>
      <w:tblPr>
        <w:tblStyle w:val="TableGrid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2237"/>
        <w:gridCol w:w="2913"/>
        <w:gridCol w:w="7535"/>
      </w:tblGrid>
      <w:tr w:rsidR="000A3D71" w:rsidRPr="002D6763" w:rsidTr="00A874B8">
        <w:tc>
          <w:tcPr>
            <w:tcW w:w="532" w:type="pct"/>
            <w:tcBorders>
              <w:top w:val="single" w:sz="4" w:space="0" w:color="auto"/>
            </w:tcBorders>
          </w:tcPr>
          <w:p w:rsidR="000A3D71" w:rsidRPr="000A3D71" w:rsidRDefault="000A3D71" w:rsidP="00A874B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0A3D71">
              <w:rPr>
                <w:b/>
                <w:bCs/>
                <w:szCs w:val="24"/>
              </w:rPr>
              <w:t>Fungal Strain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:rsidR="000A3D71" w:rsidRPr="000A3D71" w:rsidRDefault="000A3D71" w:rsidP="00A874B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0A3D71">
              <w:rPr>
                <w:b/>
                <w:bCs/>
                <w:szCs w:val="24"/>
              </w:rPr>
              <w:t>Accession Number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0A3D71" w:rsidRPr="000A3D71" w:rsidRDefault="000A3D71" w:rsidP="00A874B8">
            <w:pPr>
              <w:spacing w:line="360" w:lineRule="auto"/>
              <w:jc w:val="center"/>
              <w:rPr>
                <w:b/>
                <w:bCs/>
                <w:iCs/>
                <w:szCs w:val="24"/>
              </w:rPr>
            </w:pPr>
            <w:r w:rsidRPr="000A3D71">
              <w:rPr>
                <w:b/>
                <w:bCs/>
                <w:iCs/>
                <w:szCs w:val="24"/>
              </w:rPr>
              <w:t>Fungus</w:t>
            </w:r>
          </w:p>
        </w:tc>
        <w:tc>
          <w:tcPr>
            <w:tcW w:w="2654" w:type="pct"/>
            <w:tcBorders>
              <w:top w:val="single" w:sz="4" w:space="0" w:color="auto"/>
            </w:tcBorders>
          </w:tcPr>
          <w:p w:rsidR="000A3D71" w:rsidRPr="000A3D71" w:rsidRDefault="000A3D71" w:rsidP="00A874B8">
            <w:pPr>
              <w:tabs>
                <w:tab w:val="center" w:pos="3764"/>
              </w:tabs>
              <w:spacing w:line="360" w:lineRule="auto"/>
              <w:jc w:val="center"/>
              <w:rPr>
                <w:b/>
                <w:bCs/>
                <w:i/>
                <w:szCs w:val="24"/>
              </w:rPr>
            </w:pPr>
            <w:proofErr w:type="spellStart"/>
            <w:r w:rsidRPr="000A3D71">
              <w:rPr>
                <w:b/>
                <w:bCs/>
                <w:i/>
                <w:szCs w:val="24"/>
              </w:rPr>
              <w:t>Url</w:t>
            </w:r>
            <w:proofErr w:type="spellEnd"/>
          </w:p>
        </w:tc>
      </w:tr>
      <w:tr w:rsidR="000A3D71" w:rsidRPr="002D6763" w:rsidTr="00A874B8">
        <w:tc>
          <w:tcPr>
            <w:tcW w:w="532" w:type="pct"/>
            <w:tcBorders>
              <w:top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center"/>
              <w:rPr>
                <w:szCs w:val="24"/>
              </w:rPr>
            </w:pPr>
            <w:r w:rsidRPr="002D6763">
              <w:rPr>
                <w:szCs w:val="24"/>
              </w:rPr>
              <w:t>AK16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center"/>
              <w:rPr>
                <w:i/>
                <w:szCs w:val="24"/>
              </w:rPr>
            </w:pPr>
            <w:r w:rsidRPr="002D6763">
              <w:rPr>
                <w:szCs w:val="24"/>
              </w:rPr>
              <w:t>KY614297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center"/>
              <w:rPr>
                <w:i/>
                <w:szCs w:val="24"/>
              </w:rPr>
            </w:pPr>
            <w:r w:rsidRPr="002D6763">
              <w:rPr>
                <w:i/>
                <w:szCs w:val="24"/>
              </w:rPr>
              <w:t xml:space="preserve">Trichoderma </w:t>
            </w:r>
            <w:proofErr w:type="spellStart"/>
            <w:r w:rsidRPr="002D6763">
              <w:rPr>
                <w:i/>
                <w:szCs w:val="24"/>
              </w:rPr>
              <w:t>atroviride</w:t>
            </w:r>
            <w:proofErr w:type="spellEnd"/>
          </w:p>
        </w:tc>
        <w:tc>
          <w:tcPr>
            <w:tcW w:w="2654" w:type="pct"/>
            <w:tcBorders>
              <w:top w:val="single" w:sz="4" w:space="0" w:color="auto"/>
            </w:tcBorders>
          </w:tcPr>
          <w:p w:rsidR="000A3D71" w:rsidRPr="002D6763" w:rsidRDefault="000A3D71" w:rsidP="00A874B8">
            <w:pPr>
              <w:tabs>
                <w:tab w:val="center" w:pos="3764"/>
              </w:tabs>
              <w:spacing w:line="36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ab/>
            </w:r>
            <w:hyperlink r:id="rId23" w:history="1">
              <w:r w:rsidRPr="0047142B">
                <w:rPr>
                  <w:rStyle w:val="Hyperlink"/>
                  <w:i/>
                  <w:szCs w:val="24"/>
                </w:rPr>
                <w:t>https://www.ncbi.nlm.nih.gov/nuccore/</w:t>
              </w:r>
              <w:r>
                <w:rPr>
                  <w:rStyle w:val="Hyperlink"/>
                  <w:i/>
                  <w:szCs w:val="24"/>
                </w:rPr>
                <w:t>KY614297</w:t>
              </w:r>
              <w:r w:rsidRPr="0047142B">
                <w:rPr>
                  <w:rStyle w:val="Hyperlink"/>
                  <w:i/>
                  <w:szCs w:val="24"/>
                </w:rPr>
                <w:t>.1?report=GenBank</w:t>
              </w:r>
            </w:hyperlink>
          </w:p>
        </w:tc>
      </w:tr>
      <w:tr w:rsidR="000A3D71" w:rsidRPr="002D6763" w:rsidTr="00A874B8">
        <w:tc>
          <w:tcPr>
            <w:tcW w:w="532" w:type="pct"/>
          </w:tcPr>
          <w:p w:rsidR="000A3D71" w:rsidRPr="002D6763" w:rsidRDefault="000A3D71" w:rsidP="00A874B8">
            <w:pPr>
              <w:spacing w:line="360" w:lineRule="auto"/>
              <w:jc w:val="center"/>
              <w:rPr>
                <w:szCs w:val="24"/>
              </w:rPr>
            </w:pPr>
            <w:r w:rsidRPr="002D6763">
              <w:rPr>
                <w:szCs w:val="24"/>
              </w:rPr>
              <w:t>AK18</w:t>
            </w:r>
          </w:p>
        </w:tc>
        <w:tc>
          <w:tcPr>
            <w:tcW w:w="788" w:type="pct"/>
          </w:tcPr>
          <w:p w:rsidR="000A3D71" w:rsidRPr="002D6763" w:rsidRDefault="000A3D71" w:rsidP="00A874B8">
            <w:pPr>
              <w:spacing w:line="360" w:lineRule="auto"/>
              <w:jc w:val="center"/>
              <w:rPr>
                <w:i/>
                <w:szCs w:val="24"/>
              </w:rPr>
            </w:pPr>
            <w:r w:rsidRPr="002D6763">
              <w:rPr>
                <w:szCs w:val="24"/>
              </w:rPr>
              <w:t>KY614298</w:t>
            </w:r>
          </w:p>
        </w:tc>
        <w:tc>
          <w:tcPr>
            <w:tcW w:w="1026" w:type="pct"/>
          </w:tcPr>
          <w:p w:rsidR="000A3D71" w:rsidRPr="002D6763" w:rsidRDefault="000A3D71" w:rsidP="00A874B8">
            <w:pPr>
              <w:spacing w:line="360" w:lineRule="auto"/>
              <w:jc w:val="center"/>
              <w:rPr>
                <w:i/>
                <w:szCs w:val="24"/>
              </w:rPr>
            </w:pPr>
            <w:r w:rsidRPr="002D6763">
              <w:rPr>
                <w:i/>
                <w:szCs w:val="24"/>
              </w:rPr>
              <w:t xml:space="preserve">Aspergillus </w:t>
            </w:r>
            <w:proofErr w:type="spellStart"/>
            <w:r w:rsidRPr="002D6763">
              <w:rPr>
                <w:i/>
                <w:szCs w:val="24"/>
              </w:rPr>
              <w:t>nidulans</w:t>
            </w:r>
            <w:proofErr w:type="spellEnd"/>
          </w:p>
        </w:tc>
        <w:tc>
          <w:tcPr>
            <w:tcW w:w="2654" w:type="pct"/>
          </w:tcPr>
          <w:p w:rsidR="000A3D71" w:rsidRPr="002D6763" w:rsidRDefault="000A3D71" w:rsidP="00A874B8">
            <w:pPr>
              <w:spacing w:line="360" w:lineRule="auto"/>
              <w:jc w:val="center"/>
              <w:rPr>
                <w:i/>
                <w:szCs w:val="24"/>
              </w:rPr>
            </w:pPr>
            <w:hyperlink r:id="rId24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https://www.ncbi.nlm.nih.gov/nuccore/KY614298.1?report=GenBank</w:t>
              </w:r>
            </w:hyperlink>
          </w:p>
        </w:tc>
      </w:tr>
      <w:tr w:rsidR="000A3D71" w:rsidRPr="002D6763" w:rsidTr="00A874B8">
        <w:tc>
          <w:tcPr>
            <w:tcW w:w="532" w:type="pct"/>
            <w:tcBorders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center"/>
              <w:rPr>
                <w:szCs w:val="24"/>
              </w:rPr>
            </w:pPr>
            <w:r w:rsidRPr="002D6763">
              <w:rPr>
                <w:szCs w:val="24"/>
              </w:rPr>
              <w:t>AK20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center"/>
              <w:rPr>
                <w:i/>
                <w:szCs w:val="24"/>
              </w:rPr>
            </w:pPr>
            <w:r w:rsidRPr="002D6763">
              <w:rPr>
                <w:szCs w:val="24"/>
              </w:rPr>
              <w:t>KY614299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center"/>
              <w:rPr>
                <w:i/>
                <w:szCs w:val="24"/>
              </w:rPr>
            </w:pPr>
            <w:r w:rsidRPr="002D6763">
              <w:rPr>
                <w:i/>
                <w:szCs w:val="24"/>
              </w:rPr>
              <w:t xml:space="preserve">Aspergillus </w:t>
            </w:r>
            <w:proofErr w:type="spellStart"/>
            <w:r w:rsidRPr="002D6763">
              <w:rPr>
                <w:i/>
                <w:szCs w:val="24"/>
              </w:rPr>
              <w:t>sydowii</w:t>
            </w:r>
            <w:proofErr w:type="spellEnd"/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0A3D71" w:rsidRPr="002D6763" w:rsidRDefault="000A3D71" w:rsidP="00A874B8">
            <w:pPr>
              <w:spacing w:line="360" w:lineRule="auto"/>
              <w:jc w:val="center"/>
              <w:rPr>
                <w:i/>
                <w:szCs w:val="24"/>
              </w:rPr>
            </w:pPr>
            <w:hyperlink r:id="rId25" w:history="1">
              <w:r w:rsidRPr="0047142B">
                <w:rPr>
                  <w:rStyle w:val="Hyperlink"/>
                  <w:i/>
                  <w:szCs w:val="24"/>
                </w:rPr>
                <w:t>https://www.ncbi.nlm.nih.gov/nuccore/KY614299.1?report=GenBank</w:t>
              </w:r>
            </w:hyperlink>
          </w:p>
        </w:tc>
      </w:tr>
    </w:tbl>
    <w:p w:rsidR="000A3D71" w:rsidRPr="000A3D71" w:rsidRDefault="000A3D71" w:rsidP="000A3D71">
      <w:pPr>
        <w:tabs>
          <w:tab w:val="left" w:pos="1785"/>
          <w:tab w:val="left" w:pos="2790"/>
        </w:tabs>
        <w:rPr>
          <w:b/>
          <w:bCs/>
        </w:rPr>
      </w:pPr>
    </w:p>
    <w:sectPr w:rsidR="000A3D71" w:rsidRPr="000A3D71" w:rsidSect="005015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71" w:rsidRDefault="000A3D71" w:rsidP="000A3D71">
      <w:pPr>
        <w:spacing w:after="0" w:line="240" w:lineRule="auto"/>
      </w:pPr>
      <w:r>
        <w:separator/>
      </w:r>
    </w:p>
  </w:endnote>
  <w:endnote w:type="continuationSeparator" w:id="0">
    <w:p w:rsidR="000A3D71" w:rsidRDefault="000A3D71" w:rsidP="000A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71" w:rsidRDefault="000A3D71" w:rsidP="000A3D71">
      <w:pPr>
        <w:spacing w:after="0" w:line="240" w:lineRule="auto"/>
      </w:pPr>
      <w:r>
        <w:separator/>
      </w:r>
    </w:p>
  </w:footnote>
  <w:footnote w:type="continuationSeparator" w:id="0">
    <w:p w:rsidR="000A3D71" w:rsidRDefault="000A3D71" w:rsidP="000A3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4"/>
    <w:rsid w:val="000A3D71"/>
    <w:rsid w:val="00327952"/>
    <w:rsid w:val="0050153B"/>
    <w:rsid w:val="005221E4"/>
    <w:rsid w:val="007A4117"/>
    <w:rsid w:val="00C82DF8"/>
    <w:rsid w:val="00F3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F3304-9E9C-4B5F-9D74-012CAA16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E4"/>
    <w:pPr>
      <w:spacing w:after="12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1E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5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71"/>
    <w:rPr>
      <w:rFonts w:ascii="Times New Roman" w:eastAsia="Times New Roman" w:hAnsi="Times New Roman" w:cs="Times New Roman"/>
      <w:color w:val="000000"/>
      <w:sz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A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71"/>
    <w:rPr>
      <w:rFonts w:ascii="Times New Roman" w:eastAsia="Times New Roman" w:hAnsi="Times New Roman" w:cs="Times New Roman"/>
      <w:color w:val="000000"/>
      <w:sz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MW532754.1?report=GenBank" TargetMode="External"/><Relationship Id="rId13" Type="http://schemas.openxmlformats.org/officeDocument/2006/relationships/hyperlink" Target="https://www.ncbi.nlm.nih.gov/nuccore/MW444917.1?report=GenBank" TargetMode="External"/><Relationship Id="rId18" Type="http://schemas.openxmlformats.org/officeDocument/2006/relationships/hyperlink" Target="https://www.ncbi.nlm.nih.gov/nuccore/KY614296.1?report=GenBan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nuccore/MW532755.1?report=GenBank" TargetMode="External"/><Relationship Id="rId7" Type="http://schemas.openxmlformats.org/officeDocument/2006/relationships/hyperlink" Target="https://www.ncbi.nlm.nih.gov/nuccore/KY614289.1?report=GenBank" TargetMode="External"/><Relationship Id="rId12" Type="http://schemas.openxmlformats.org/officeDocument/2006/relationships/hyperlink" Target="https://www.ncbi.nlm.nih.gov/nuccore/KY614293.1?report=GenBank" TargetMode="External"/><Relationship Id="rId17" Type="http://schemas.openxmlformats.org/officeDocument/2006/relationships/hyperlink" Target="https://www.ncbi.nlm.nih.gov/nuccore/KY614295.1?report=GenBank" TargetMode="External"/><Relationship Id="rId25" Type="http://schemas.openxmlformats.org/officeDocument/2006/relationships/hyperlink" Target="https://www.ncbi.nlm.nih.gov/nuccore/KY614299.1?report=GenBa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nuccore/MW444885.1?report=GenBank" TargetMode="External"/><Relationship Id="rId20" Type="http://schemas.openxmlformats.org/officeDocument/2006/relationships/hyperlink" Target="https://www.ncbi.nlm.nih.gov/nuccore/MW444887.1?report=GenBa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MW444883.1?report=GenBank" TargetMode="External"/><Relationship Id="rId11" Type="http://schemas.openxmlformats.org/officeDocument/2006/relationships/hyperlink" Target="https://www.ncbi.nlm.nih.gov/nuccore/KY614292.1?report=GenBank" TargetMode="External"/><Relationship Id="rId24" Type="http://schemas.openxmlformats.org/officeDocument/2006/relationships/hyperlink" Target="https://www.ncbi.nlm.nih.gov/nuccore/KY614298.1?report=GenBa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nuccore/MW444884.1?report=GenBank" TargetMode="External"/><Relationship Id="rId23" Type="http://schemas.openxmlformats.org/officeDocument/2006/relationships/hyperlink" Target="https://www.ncbi.nlm.nih.gov/nuccore/MW532755.1?report=GenBank" TargetMode="External"/><Relationship Id="rId10" Type="http://schemas.openxmlformats.org/officeDocument/2006/relationships/hyperlink" Target="https://www.ncbi.nlm.nih.gov/nuccore/KY614291.1?report=GenBank" TargetMode="External"/><Relationship Id="rId19" Type="http://schemas.openxmlformats.org/officeDocument/2006/relationships/hyperlink" Target="https://www.ncbi.nlm.nih.gov/nuccore/MW444886.1?report=GenBa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nuccore/KY614290.1?report=GenBank" TargetMode="External"/><Relationship Id="rId14" Type="http://schemas.openxmlformats.org/officeDocument/2006/relationships/hyperlink" Target="https://www.ncbi.nlm.nih.gov/nuccore/KY614294.1?report=GenBank" TargetMode="External"/><Relationship Id="rId22" Type="http://schemas.openxmlformats.org/officeDocument/2006/relationships/hyperlink" Target="https://www.ncbi.nlm.nih.gov/nuccore/MW444888.1?report=GenB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2021-10-14T10:55:00Z</dcterms:created>
  <dcterms:modified xsi:type="dcterms:W3CDTF">2021-10-14T10:56:00Z</dcterms:modified>
</cp:coreProperties>
</file>