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CD2B" w14:textId="77777777" w:rsidR="008D730F" w:rsidRPr="0012117C" w:rsidRDefault="008D730F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bookmarkStart w:id="0" w:name="OLE_LINK19"/>
      <w:bookmarkStart w:id="1" w:name="OLE_LINK20"/>
      <w:r w:rsidRPr="0012117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MRI acquisition</w:t>
      </w:r>
    </w:p>
    <w:p w14:paraId="3C3809B7" w14:textId="4B52D316" w:rsidR="00B64005" w:rsidRPr="0012117C" w:rsidRDefault="00072B69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sz w:val="20"/>
          <w:szCs w:val="20"/>
        </w:rPr>
        <w:t xml:space="preserve">The MR imaging was performed on a 3T scanner (Excite; GE, Milwaukee, WI) with an eight-channel phased-array head coil. High-resolution T1-weighted images </w:t>
      </w:r>
      <w:r w:rsidR="00920F2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were acquired via a volumetric three-dimensional spoiled gradient recall sequence</w:t>
      </w:r>
      <w:r w:rsidR="00EF550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06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862D7" w:rsidRPr="0012117C">
        <w:rPr>
          <w:rFonts w:ascii="Times New Roman" w:hAnsi="Times New Roman" w:cs="Times New Roman"/>
          <w:kern w:val="0"/>
          <w:sz w:val="20"/>
          <w:szCs w:val="20"/>
        </w:rPr>
        <w:t>Repetition time</w:t>
      </w:r>
      <w:r w:rsidR="006862D7" w:rsidRPr="0012117C">
        <w:rPr>
          <w:rFonts w:ascii="Times New Roman" w:hAnsi="Times New Roman" w:cs="Times New Roman"/>
          <w:sz w:val="20"/>
          <w:szCs w:val="20"/>
        </w:rPr>
        <w:t>/</w:t>
      </w:r>
      <w:r w:rsidR="006862D7" w:rsidRPr="0012117C">
        <w:rPr>
          <w:rFonts w:ascii="Times New Roman" w:hAnsi="Times New Roman" w:cs="Times New Roman"/>
          <w:kern w:val="0"/>
          <w:sz w:val="20"/>
          <w:szCs w:val="20"/>
        </w:rPr>
        <w:t>echo time</w:t>
      </w:r>
      <w:r w:rsidR="006862D7" w:rsidRPr="0012117C">
        <w:rPr>
          <w:rFonts w:ascii="Times New Roman" w:hAnsi="Times New Roman" w:cs="Times New Roman"/>
          <w:sz w:val="20"/>
          <w:szCs w:val="20"/>
        </w:rPr>
        <w:t xml:space="preserve"> (TR/TE) = </w:t>
      </w:r>
      <w:r w:rsidR="003E146D" w:rsidRPr="0012117C">
        <w:rPr>
          <w:rFonts w:ascii="Times New Roman" w:hAnsi="Times New Roman" w:cs="Times New Roman"/>
          <w:sz w:val="20"/>
          <w:szCs w:val="20"/>
        </w:rPr>
        <w:t>8.5</w:t>
      </w:r>
      <w:r w:rsidR="006862D7" w:rsidRPr="0012117C">
        <w:rPr>
          <w:rFonts w:ascii="Times New Roman" w:hAnsi="Times New Roman" w:cs="Times New Roman"/>
          <w:sz w:val="20"/>
          <w:szCs w:val="20"/>
        </w:rPr>
        <w:t>/</w:t>
      </w:r>
      <w:r w:rsidR="003E146D" w:rsidRPr="0012117C">
        <w:rPr>
          <w:rFonts w:ascii="Times New Roman" w:hAnsi="Times New Roman" w:cs="Times New Roman"/>
          <w:sz w:val="20"/>
          <w:szCs w:val="20"/>
        </w:rPr>
        <w:t>3.4</w:t>
      </w:r>
      <w:r w:rsidR="006862D7" w:rsidRPr="00121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2D7" w:rsidRPr="0012117C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="006862D7" w:rsidRPr="0012117C">
        <w:rPr>
          <w:rFonts w:ascii="Times New Roman" w:hAnsi="Times New Roman" w:cs="Times New Roman"/>
          <w:sz w:val="20"/>
          <w:szCs w:val="20"/>
        </w:rPr>
        <w:t xml:space="preserve">, flip angle (FA) = </w:t>
      </w:r>
      <w:r w:rsidR="00FD331C" w:rsidRPr="0012117C">
        <w:rPr>
          <w:rFonts w:ascii="Times New Roman" w:hAnsi="Times New Roman" w:cs="Times New Roman"/>
          <w:sz w:val="20"/>
          <w:szCs w:val="20"/>
        </w:rPr>
        <w:t>12</w:t>
      </w:r>
      <w:r w:rsidR="006862D7" w:rsidRPr="0012117C">
        <w:rPr>
          <w:rFonts w:ascii="Times New Roman" w:hAnsi="Times New Roman" w:cs="Times New Roman"/>
          <w:sz w:val="20"/>
          <w:szCs w:val="20"/>
        </w:rPr>
        <w:t>°, field of view (FOV) = 240 × 240 mm</w:t>
      </w:r>
      <w:r w:rsidR="006862D7" w:rsidRPr="001211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63B2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, s</w:t>
      </w:r>
      <w:r w:rsidR="00263B2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lice thickness </w:t>
      </w:r>
      <w:r w:rsidR="007C6687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</w:t>
      </w:r>
      <w:r w:rsidR="00263B2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1.0 mm</w:t>
      </w:r>
      <w:r w:rsidR="00EF550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34AB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46A0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EF54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final </w:t>
      </w:r>
      <w:r w:rsidR="00CD4D3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156 contiguous axial slices with a slice thickness of 1.0 mm</w:t>
      </w:r>
      <w:r w:rsidR="0028520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</w:t>
      </w:r>
      <w:r w:rsidR="0028520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produced</w:t>
      </w:r>
      <w:r w:rsidR="00F82C2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52A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using the </w:t>
      </w:r>
      <w:r w:rsidR="00873EC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FOV (</w:t>
      </w:r>
      <w:r w:rsidR="00BB7A4B" w:rsidRPr="0012117C">
        <w:rPr>
          <w:rFonts w:ascii="Times New Roman" w:hAnsi="Times New Roman" w:cs="Times New Roman"/>
          <w:sz w:val="20"/>
          <w:szCs w:val="20"/>
        </w:rPr>
        <w:t>240 × 240 mm</w:t>
      </w:r>
      <w:r w:rsidR="00BB7A4B" w:rsidRPr="001211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73EC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E6A73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an acquisition matrix comprising 256 readings of 128 phase encoding steps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The final matrix size was automatically interpolated in-plane to 512×512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 in-plane resolution of 0.47×0.47 mm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0E194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58D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2117C">
        <w:rPr>
          <w:rFonts w:ascii="Times New Roman" w:hAnsi="Times New Roman" w:cs="Times New Roman"/>
          <w:sz w:val="20"/>
          <w:szCs w:val="20"/>
        </w:rPr>
        <w:t>The</w:t>
      </w:r>
      <w:r w:rsidR="00416EF4" w:rsidRPr="0012117C">
        <w:rPr>
          <w:rFonts w:ascii="Times New Roman" w:hAnsi="Times New Roman" w:cs="Times New Roman"/>
          <w:sz w:val="20"/>
          <w:szCs w:val="20"/>
        </w:rPr>
        <w:t xml:space="preserve"> resting-state functional MR </w:t>
      </w:r>
      <w:r w:rsidR="00AE43E6" w:rsidRPr="0012117C">
        <w:rPr>
          <w:rFonts w:ascii="Times New Roman" w:hAnsi="Times New Roman" w:cs="Times New Roman"/>
          <w:sz w:val="20"/>
          <w:szCs w:val="20"/>
        </w:rPr>
        <w:t>images</w:t>
      </w:r>
      <w:r w:rsidRPr="0012117C">
        <w:rPr>
          <w:rFonts w:ascii="Times New Roman" w:hAnsi="Times New Roman" w:cs="Times New Roman"/>
          <w:sz w:val="20"/>
          <w:szCs w:val="20"/>
        </w:rPr>
        <w:t xml:space="preserve"> </w:t>
      </w:r>
      <w:r w:rsidR="00957B68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were obtained via a gradient-echo echo-planar imaging sequence (EPI)</w:t>
      </w:r>
      <w:r w:rsidR="00957B68" w:rsidRPr="0012117C">
        <w:rPr>
          <w:rFonts w:ascii="Times New Roman" w:hAnsi="Times New Roman" w:cs="Times New Roman"/>
          <w:sz w:val="20"/>
          <w:szCs w:val="20"/>
        </w:rPr>
        <w:t xml:space="preserve"> </w:t>
      </w:r>
      <w:r w:rsidRPr="0012117C">
        <w:rPr>
          <w:rFonts w:ascii="Times New Roman" w:hAnsi="Times New Roman" w:cs="Times New Roman"/>
          <w:sz w:val="20"/>
          <w:szCs w:val="20"/>
        </w:rPr>
        <w:t xml:space="preserve">(TR/TE = 2000/30 </w:t>
      </w:r>
      <w:bookmarkStart w:id="2" w:name="OLE_LINK154"/>
      <w:bookmarkStart w:id="3" w:name="OLE_LINK155"/>
      <w:proofErr w:type="spellStart"/>
      <w:r w:rsidRPr="0012117C">
        <w:rPr>
          <w:rFonts w:ascii="Times New Roman" w:hAnsi="Times New Roman" w:cs="Times New Roman"/>
          <w:sz w:val="20"/>
          <w:szCs w:val="20"/>
        </w:rPr>
        <w:t>m</w:t>
      </w:r>
      <w:bookmarkEnd w:id="2"/>
      <w:bookmarkEnd w:id="3"/>
      <w:r w:rsidRPr="0012117C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2117C">
        <w:rPr>
          <w:rFonts w:ascii="Times New Roman" w:hAnsi="Times New Roman" w:cs="Times New Roman"/>
          <w:sz w:val="20"/>
          <w:szCs w:val="20"/>
        </w:rPr>
        <w:t>, FA = 90</w:t>
      </w:r>
      <w:bookmarkStart w:id="4" w:name="OLE_LINK51"/>
      <w:bookmarkStart w:id="5" w:name="OLE_LINK52"/>
      <w:r w:rsidRPr="0012117C">
        <w:rPr>
          <w:rFonts w:ascii="Times New Roman" w:hAnsi="Times New Roman" w:cs="Times New Roman"/>
          <w:sz w:val="20"/>
          <w:szCs w:val="20"/>
        </w:rPr>
        <w:t>°</w:t>
      </w:r>
      <w:bookmarkEnd w:id="4"/>
      <w:bookmarkEnd w:id="5"/>
      <w:r w:rsidRPr="0012117C">
        <w:rPr>
          <w:rFonts w:ascii="Times New Roman" w:hAnsi="Times New Roman" w:cs="Times New Roman"/>
          <w:sz w:val="20"/>
          <w:szCs w:val="20"/>
        </w:rPr>
        <w:t>, FOV = 240 × 240 mm</w:t>
      </w:r>
      <w:r w:rsidRPr="001211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2117C">
        <w:rPr>
          <w:rFonts w:ascii="Times New Roman" w:hAnsi="Times New Roman" w:cs="Times New Roman"/>
          <w:sz w:val="20"/>
          <w:szCs w:val="20"/>
        </w:rPr>
        <w:t xml:space="preserve">, </w:t>
      </w:r>
      <w:r w:rsidR="00201CA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matrix size = 64×64, </w:t>
      </w:r>
      <w:r w:rsidR="00A3057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slice thickness = </w:t>
      </w:r>
      <w:r w:rsidR="0057359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3057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.0 mm</w:t>
      </w:r>
      <w:r w:rsidR="0057359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3DE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="0095689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no slice gap</w:t>
      </w:r>
      <w:r w:rsidR="00F93DE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E33E99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voxel size </w:t>
      </w:r>
      <w:r w:rsidR="00E33E99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3.75</w:t>
      </w:r>
      <w:r w:rsidR="004B3E8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="004B3E8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3.75</w:t>
      </w:r>
      <w:r w:rsidR="004B3E8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="004B3E8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F700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mm</w:t>
      </w:r>
      <w:r w:rsidR="00453390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E33E99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EB210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4A84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EB210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functional run contained 200 image volumes</w:t>
      </w:r>
      <w:r w:rsidR="00126798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r w:rsidR="009F6289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30 axial slices</w:t>
      </w:r>
      <w:r w:rsidR="009F6289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e</w:t>
      </w:r>
      <w:r w:rsidR="00C7054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ach brain volume</w:t>
      </w:r>
      <w:r w:rsidR="00E96F6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6" w:name="OLE_LINK239"/>
      <w:bookmarkStart w:id="7" w:name="OLE_LINK240"/>
      <w:r w:rsidR="00B64005" w:rsidRPr="0012117C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bookmarkEnd w:id="7"/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scanning was performed in darkness, and </w:t>
      </w:r>
      <w:r w:rsidR="00201CA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all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participants were instructed to </w:t>
      </w:r>
      <w:r w:rsidR="00C06EC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relax</w:t>
      </w:r>
      <w:r w:rsidR="00C06EC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06EC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keep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their eyes </w:t>
      </w:r>
      <w:r w:rsidR="00C06EC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closed</w:t>
      </w:r>
      <w:r w:rsidR="002239B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6EC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C4236C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not fall asleep (confirmed</w:t>
      </w:r>
      <w:r w:rsidR="0033548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immediately after the </w:t>
      </w:r>
      <w:r w:rsidR="0033548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examination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during the </w:t>
      </w:r>
      <w:r w:rsidR="00EF700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MRI </w:t>
      </w:r>
      <w:r w:rsidR="008D730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acquisition. </w:t>
      </w:r>
      <w:r w:rsidR="00B64005" w:rsidRPr="0012117C">
        <w:rPr>
          <w:rFonts w:ascii="Times New Roman" w:hAnsi="Times New Roman" w:cs="Times New Roman"/>
          <w:sz w:val="20"/>
          <w:szCs w:val="20"/>
        </w:rPr>
        <w:t xml:space="preserve">Earplugs and cushions were used to minimize the </w:t>
      </w:r>
      <w:r w:rsidR="00B6400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scanner noise</w:t>
      </w:r>
      <w:r w:rsidR="00B64005" w:rsidRPr="0012117C">
        <w:rPr>
          <w:rFonts w:ascii="Times New Roman" w:hAnsi="Times New Roman" w:cs="Times New Roman"/>
          <w:sz w:val="20"/>
          <w:szCs w:val="20"/>
        </w:rPr>
        <w:t xml:space="preserve"> and </w:t>
      </w:r>
      <w:r w:rsidR="00B64005" w:rsidRPr="0012117C">
        <w:rPr>
          <w:rFonts w:ascii="Times New Roman" w:hAnsi="Times New Roman" w:cs="Times New Roman"/>
          <w:sz w:val="20"/>
          <w:szCs w:val="20"/>
        </w:rPr>
        <w:t>head movement</w:t>
      </w:r>
      <w:r w:rsidR="00014895" w:rsidRPr="0012117C">
        <w:rPr>
          <w:rFonts w:ascii="Times New Roman" w:hAnsi="Times New Roman" w:cs="Times New Roman"/>
          <w:sz w:val="20"/>
          <w:szCs w:val="20"/>
        </w:rPr>
        <w:t>, respectively.</w:t>
      </w:r>
    </w:p>
    <w:p w14:paraId="7EA11ED8" w14:textId="77777777" w:rsidR="008D730F" w:rsidRPr="0012117C" w:rsidRDefault="008D730F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82C844F" w14:textId="708D7A7E" w:rsidR="004922B8" w:rsidRPr="0012117C" w:rsidRDefault="00CC4736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12117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Network construction and analysis</w:t>
      </w:r>
    </w:p>
    <w:p w14:paraId="44A0BD9C" w14:textId="69AE7994" w:rsidR="004922B8" w:rsidRPr="0012117C" w:rsidRDefault="0075257E" w:rsidP="00495E57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Small-world </w:t>
      </w:r>
      <w:bookmarkStart w:id="8" w:name="OLE_LINK160"/>
      <w:bookmarkStart w:id="9" w:name="OLE_LINK161"/>
      <w:r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and global </w:t>
      </w:r>
      <w:r w:rsidR="00934C8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topographic</w:t>
      </w:r>
      <w:r w:rsidR="00934C85" w:rsidRPr="0012117C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parameters</w:t>
      </w:r>
      <w:bookmarkEnd w:id="8"/>
      <w:bookmarkEnd w:id="9"/>
    </w:p>
    <w:p w14:paraId="0421FAC3" w14:textId="14CBC2FD" w:rsidR="001F49C0" w:rsidRPr="0012117C" w:rsidRDefault="005A00AD" w:rsidP="00495E57">
      <w:pPr>
        <w:widowControl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These measures included </w:t>
      </w:r>
      <w:bookmarkStart w:id="10" w:name="OLE_LINK650"/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clustering coefficient </w:t>
      </w:r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(</w:t>
      </w:r>
      <w:r w:rsidR="00264751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C</w:t>
      </w:r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), </w:t>
      </w:r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characteristic path length </w:t>
      </w:r>
      <w:bookmarkStart w:id="11" w:name="OLE_LINK104"/>
      <w:bookmarkStart w:id="12" w:name="OLE_LINK105"/>
      <w:bookmarkStart w:id="13" w:name="OLE_LINK112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(</w:t>
      </w:r>
      <w:proofErr w:type="spellStart"/>
      <w:r w:rsidR="00264751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L</w:t>
      </w:r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bookmarkEnd w:id="11"/>
      <w:bookmarkEnd w:id="12"/>
      <w:bookmarkEnd w:id="13"/>
      <w:proofErr w:type="spellEnd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),</w:t>
      </w:r>
      <w:bookmarkEnd w:id="10"/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normalized clustering coefficient </w:t>
      </w:r>
      <w:bookmarkStart w:id="14" w:name="OLE_LINK108"/>
      <w:bookmarkStart w:id="15" w:name="OLE_LINK109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(</w:t>
      </w:r>
      <w:r w:rsidR="00D2586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γ</w:t>
      </w:r>
      <w:bookmarkEnd w:id="14"/>
      <w:bookmarkEnd w:id="15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</w:t>
      </w:r>
      <w:r w:rsidR="004B3ACF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,</w:t>
      </w:r>
      <w:r w:rsidR="00D2586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normalized characteristic path length </w:t>
      </w:r>
      <w:bookmarkStart w:id="16" w:name="OLE_LINK115"/>
      <w:bookmarkStart w:id="17" w:name="OLE_LINK116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(</w:t>
      </w:r>
      <w:r w:rsidR="0026475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λ</w:t>
      </w:r>
      <w:bookmarkEnd w:id="16"/>
      <w:bookmarkEnd w:id="17"/>
      <w:r w:rsidR="00105FF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</w:t>
      </w:r>
      <w:r w:rsidR="00A2565B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B3BBE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small-</w:t>
      </w:r>
      <w:proofErr w:type="spellStart"/>
      <w:r w:rsidR="006C2B2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worldness</w:t>
      </w:r>
      <w:proofErr w:type="spellEnd"/>
      <w:r w:rsidR="006C2B2A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72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bookmarkStart w:id="18" w:name="OLE_LINK83"/>
      <w:bookmarkStart w:id="19" w:name="OLE_LINK84"/>
      <w:r w:rsidR="00B4772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σ</w:t>
      </w:r>
      <w:bookmarkEnd w:id="18"/>
      <w:bookmarkEnd w:id="19"/>
      <w:r w:rsidR="00B4772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E2B2C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4082F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global efficiency (</w:t>
      </w:r>
      <w:proofErr w:type="spellStart"/>
      <w:r w:rsidR="0094082F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E</w:t>
      </w:r>
      <w:r w:rsidR="0094082F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glob</w:t>
      </w:r>
      <w:proofErr w:type="spellEnd"/>
      <w:r w:rsidR="0094082F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) </w:t>
      </w:r>
      <w:r w:rsidR="0021473E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and </w:t>
      </w:r>
      <w:r w:rsidR="00A2565B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local efficiency (</w:t>
      </w:r>
      <w:proofErr w:type="spellStart"/>
      <w:r w:rsidR="00A2565B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E</w:t>
      </w:r>
      <w:r w:rsidR="00A2565B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loc</w:t>
      </w:r>
      <w:proofErr w:type="spellEnd"/>
      <w:r w:rsidR="00A2565B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</w:t>
      </w:r>
      <w:r w:rsidR="00262503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.</w:t>
      </w:r>
    </w:p>
    <w:p w14:paraId="11A6E1A9" w14:textId="111BC98C" w:rsidR="0061573D" w:rsidRPr="0012117C" w:rsidRDefault="0061573D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a given graph </w:t>
      </w:r>
      <w:r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r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nodes, the </w:t>
      </w:r>
      <w:r w:rsidR="00660176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C</w:t>
      </w:r>
      <w:r w:rsidR="0066017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defined as</w:t>
      </w:r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&lt;EndNote&gt;&lt;Cite&gt;&lt;Author&gt;Watts&lt;/Author&gt;&lt;Year&gt;1998&lt;/Year&gt;&lt;RecNum&gt;15869&lt;/RecNum&gt;&lt;DisplayText&gt;(Watts and Strogatz, 1998)&lt;/DisplayText&gt;&lt;record&gt;&lt;rec-number&gt;15869&lt;/rec-number&gt;&lt;foreign-keys&gt;&lt;key app="EN" db-id="tszzastto0s2v3exvejpdz5fpsz0pztxz90v"&gt;15869&lt;/key&gt;&lt;/foreign-keys&gt;&lt;ref-type name="Journal Article"&gt;17&lt;/ref-type&gt;&lt;contributors&gt;&lt;authors&gt;&lt;author&gt;Watts, D. J.&lt;/author&gt;&lt;author&gt;Strogatz, S. H.&lt;/author&gt;&lt;/authors&gt;&lt;/contributors&gt;&lt;titles&gt;&lt;title&gt;Collective dynamics of &amp;apos;small-world&amp;apos; networks&lt;/title&gt;&lt;secondary-title&gt;Nature&lt;/secondary-title&gt;&lt;/titles&gt;&lt;periodical&gt;&lt;full-title&gt;Nature&lt;/full-title&gt;&lt;/periodical&gt;&lt;pages&gt;440-442&lt;/pages&gt;&lt;volume&gt;393&lt;/volume&gt;&lt;number&gt;6684&lt;/number&gt;&lt;dates&gt;&lt;year&gt;1998&lt;/year&gt;&lt;pub-dates&gt;&lt;date&gt;Jun 4&lt;/date&gt;&lt;/pub-dates&gt;&lt;/dates&gt;&lt;isbn&gt;0028-0836&lt;/isbn&gt;&lt;accession-num&gt;WOS:000074020000035&lt;/accession-num&gt;&lt;urls&gt;&lt;/urls&gt;&lt;/record&gt;&lt;/Cite&gt;&lt;/EndNote&gt;</w:instrTex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5" w:tooltip="Watts, 1998 #15869" w:history="1">
        <w:r w:rsidR="007C6CD6" w:rsidRPr="0012117C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Watts and Strogatz, 1998</w:t>
        </w:r>
      </w:hyperlink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EC1F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7C7771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</w:t>
      </w:r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nod</w:t>
      </w:r>
      <w:proofErr w:type="spellEnd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is the degree of node </w:t>
      </w:r>
      <w:proofErr w:type="spellStart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C7771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i</w:t>
      </w:r>
      <w:proofErr w:type="spellEnd"/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number of edges in </w:t>
      </w:r>
      <w:r w:rsidR="007C7771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</w:t>
      </w:r>
      <w:r w:rsidR="007C777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35189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EC1F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E61BB2F" w14:textId="117B595D" w:rsidR="004B41EF" w:rsidRPr="0012117C" w:rsidRDefault="00C37891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I∈G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nod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(i)(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nod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-1)/2</m:t>
                  </m:r>
                </m:den>
              </m:f>
            </m:e>
          </m:nary>
        </m:oMath>
      </m:oMathPara>
    </w:p>
    <w:p w14:paraId="0955D261" w14:textId="298D86B5" w:rsidR="0061573D" w:rsidRPr="0012117C" w:rsidRDefault="0061573D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proofErr w:type="spellStart"/>
      <w:r w:rsidR="00660176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L</w:t>
      </w:r>
      <w:r w:rsidR="0066017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proofErr w:type="spellEnd"/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defined as 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&lt;EndNote&gt;&lt;Cite&gt;&lt;Author&gt;Newman&lt;/Author&gt;&lt;Year&gt;2003&lt;/Year&gt;&lt;RecNum&gt;11453&lt;/RecNum&gt;&lt;DisplayText&gt;(Newman, 2003)&lt;/DisplayText&gt;&lt;record&gt;&lt;rec-number&gt;11453&lt;/rec-number&gt;&lt;foreign-keys&gt;&lt;key app="EN" db-id="ee0ptwzw7vewd6evzpopw0vs5fv0srdzts0d" timestamp="1403441151"&gt;11453&lt;/key&gt;&lt;/foreign-keys&gt;&lt;ref-type name="Journal Article"&gt;17&lt;/ref-type&gt;&lt;contributors&gt;&lt;authors&gt;&lt;author&gt;Newman, M. E.&lt;/author&gt;&lt;/authors&gt;&lt;/contributors&gt;&lt;auth-address&gt;Department of Physics, University of Michigan, Ann Arbor, MI 48109-1120, USA.&lt;/auth-address&gt;&lt;titles&gt;&lt;title&gt;Mixing patterns in networks&lt;/title&gt;&lt;secondary-title&gt;Phys Rev E Stat Nonlin Soft Matter Phys&lt;/secondary-title&gt;&lt;alt-title&gt;Physical review. E, Statistical, nonlinear, and soft matter physics&lt;/alt-title&gt;&lt;/titles&gt;&lt;periodical&gt;&lt;full-title&gt;Phys Rev E Stat Nonlin Soft Matter Phys&lt;/full-title&gt;&lt;abbr-1&gt;Physical review. E, Statistical, nonlinear, and soft matter physics&lt;/abbr-1&gt;&lt;/periodical&gt;&lt;alt-periodical&gt;&lt;full-title&gt;Phys Rev E Stat Nonlin Soft Matter Phys&lt;/full-title&gt;&lt;abbr-1&gt;Physical review. E, Statistical, nonlinear, and soft matter physics&lt;/abbr-1&gt;&lt;/alt-periodical&gt;&lt;pages&gt;026126&lt;/pages&gt;&lt;volume&gt;67&lt;/volume&gt;&lt;number&gt;2 Pt 2&lt;/number&gt;&lt;edition&gt;2003/03/15&lt;/edition&gt;&lt;dates&gt;&lt;year&gt;2003&lt;/year&gt;&lt;pub-dates&gt;&lt;date&gt;Feb&lt;/date&gt;&lt;/pub-dates&gt;&lt;/dates&gt;&lt;isbn&gt;1539-3755 (Print)&amp;#xD;1539-3755&lt;/isbn&gt;&lt;accession-num&gt;12636767&lt;/accession-num&gt;&lt;urls&gt;&lt;/urls&gt;&lt;remote-database-provider&gt;Nlm&lt;/remote-database-provider&gt;&lt;language&gt;eng&lt;/language&gt;&lt;/record&gt;&lt;/Cite&gt;&lt;/EndNote&gt;</w:instrTex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3" w:tooltip="Newman, 2003 #11453" w:history="1">
        <w:r w:rsidR="007C6CD6" w:rsidRPr="0012117C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Newman, 2003</w:t>
        </w:r>
      </w:hyperlink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5A7CD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9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35189F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 w:rsidR="0035189F" w:rsidRPr="0012117C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ij</w:t>
      </w:r>
      <w:proofErr w:type="spellEnd"/>
      <w:r w:rsidR="0035189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shortest path length between nodes </w:t>
      </w:r>
      <w:proofErr w:type="spellStart"/>
      <w:r w:rsidR="0035189F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proofErr w:type="spellEnd"/>
      <w:r w:rsidR="0035189F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5189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35189F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</w:t>
      </w:r>
      <w:r w:rsidR="0035189F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A7CD2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BD71DDE" w14:textId="6B1E81AE" w:rsidR="0061573D" w:rsidRPr="0012117C" w:rsidRDefault="00C37891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N(N-1)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j≠i∈G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ij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den>
          </m:f>
        </m:oMath>
      </m:oMathPara>
    </w:p>
    <w:p w14:paraId="1F75DBB1" w14:textId="4A0632D6" w:rsidR="0059171D" w:rsidRPr="0012117C" w:rsidRDefault="0059171D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bookmarkStart w:id="20" w:name="OLE_LINK128"/>
      <w:bookmarkStart w:id="21" w:name="OLE_LINK129"/>
      <w:proofErr w:type="spellStart"/>
      <w:r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glob</w:t>
      </w:r>
      <w:bookmarkEnd w:id="20"/>
      <w:bookmarkEnd w:id="21"/>
      <w:proofErr w:type="spellEnd"/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defined as 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&lt;EndNote&gt;&lt;Cite&gt;&lt;Author&gt;Latora&lt;/Author&gt;&lt;Year&gt;2001&lt;/Year&gt;&lt;RecNum&gt;10687&lt;/RecNum&gt;&lt;DisplayText&gt;(Latora and Marchiori, 2001)&lt;/DisplayText&gt;&lt;record&gt;&lt;rec-number&gt;10687&lt;/rec-number&gt;&lt;foreign-keys&gt;&lt;key app="EN" db-id="ee0ptwzw7vewd6evzpopw0vs5fv0srdzts0d" timestamp="1380281223"&gt;10687&lt;/key&gt;&lt;/foreign-keys&gt;&lt;ref-type name="Journal Article"&gt;17&lt;/ref-type&gt;&lt;contributors&gt;&lt;authors&gt;&lt;author&gt;Latora, V.&lt;/author&gt;&lt;author&gt;Marchiori, M.&lt;/author&gt;&lt;/authors&gt;&lt;/contributors&gt;&lt;auth-address&gt;Laboratoire de Physique Theorique et Modeles Statistiques, Universite Paris-Sud, Batiment 100, 91405 Orsay Cedex, France.&lt;/auth-address&gt;&lt;titles&gt;&lt;title&gt;Efficient behavior of small-world networks&lt;/title&gt;&lt;secondary-title&gt;Phys Rev Lett&lt;/secondary-title&gt;&lt;alt-title&gt;Physical review letters&lt;/alt-title&gt;&lt;/titles&gt;&lt;periodical&gt;&lt;full-title&gt;Phys Rev Lett&lt;/full-title&gt;&lt;abbr-1&gt;Physical review letters&lt;/abbr-1&gt;&lt;/periodical&gt;&lt;alt-periodical&gt;&lt;full-title&gt;Phys Rev Lett&lt;/full-title&gt;&lt;abbr-1&gt;Physical review letters&lt;/abbr-1&gt;&lt;/alt-periodical&gt;&lt;pages&gt;198701&lt;/pages&gt;&lt;volume&gt;87&lt;/volume&gt;&lt;number&gt;19&lt;/number&gt;&lt;edition&gt;2001/11/03&lt;/edition&gt;&lt;keywords&gt;&lt;keyword&gt;Brain/physiology&lt;/keyword&gt;&lt;keyword&gt;Models, Chemical&lt;/keyword&gt;&lt;keyword&gt;Models, Neurological&lt;/keyword&gt;&lt;keyword&gt;*Models, Theoretical&lt;/keyword&gt;&lt;keyword&gt;Social Support&lt;/keyword&gt;&lt;keyword&gt;Transportation&lt;/keyword&gt;&lt;/keywords&gt;&lt;dates&gt;&lt;year&gt;2001&lt;/year&gt;&lt;pub-dates&gt;&lt;date&gt;Nov 5&lt;/date&gt;&lt;/pub-dates&gt;&lt;/dates&gt;&lt;isbn&gt;0031-9007 (Print)&amp;#xD;0031-9007 (Linking)&lt;/isbn&gt;&lt;accession-num&gt;11690461&lt;/accession-num&gt;&lt;urls&gt;&lt;related-urls&gt;&lt;url&gt;http://www.ncbi.nlm.nih.gov/pubmed/11690461&lt;/url&gt;&lt;/related-urls&gt;&lt;/urls&gt;&lt;language&gt;eng&lt;/language&gt;&lt;/record&gt;&lt;/Cite&gt;&lt;/EndNote&gt;</w:instrTex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2" w:tooltip="Latora, 2001 #10687" w:history="1">
        <w:r w:rsidR="007C6CD6" w:rsidRPr="0012117C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Latora and Marchiori, 2001</w:t>
        </w:r>
      </w:hyperlink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C00118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706BC2DA" w14:textId="7F0D45DC" w:rsidR="003F3339" w:rsidRPr="0012117C" w:rsidRDefault="00C37891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glob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N(N-1)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j≠i∈G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ij</m:t>
                      </m:r>
                    </m:sub>
                  </m:sSub>
                </m:den>
              </m:f>
            </m:e>
          </m:nary>
        </m:oMath>
      </m:oMathPara>
    </w:p>
    <w:p w14:paraId="694E66FA" w14:textId="2B9DBEF3" w:rsidR="0059171D" w:rsidRPr="0012117C" w:rsidRDefault="0059171D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2" w:name="OLE_LINK132"/>
      <w:bookmarkStart w:id="23" w:name="OLE_LINK133"/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bookmarkStart w:id="24" w:name="OLE_LINK124"/>
      <w:bookmarkStart w:id="25" w:name="OLE_LINK125"/>
      <w:proofErr w:type="spellStart"/>
      <w:r w:rsidR="0056086D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="0056086D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loc</w:t>
      </w:r>
      <w:bookmarkEnd w:id="24"/>
      <w:bookmarkEnd w:id="25"/>
      <w:proofErr w:type="spellEnd"/>
      <w:r w:rsidR="000C69DC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</w:t>
      </w:r>
      <w:r w:rsidR="00491A91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defined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bookmarkEnd w:id="22"/>
      <w:bookmarkEnd w:id="23"/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&lt;EndNote&gt;&lt;Cite&gt;&lt;Author&gt;Latora&lt;/Author&gt;&lt;Year&gt;2001&lt;/Year&gt;&lt;RecNum&gt;10687&lt;/RecNum&gt;&lt;DisplayText&gt;(Latora and Marchiori, 2001)&lt;/DisplayText&gt;&lt;record&gt;&lt;rec-number&gt;10687&lt;/rec-number&gt;&lt;foreign-keys&gt;&lt;key app="EN" db-id="ee0ptwzw7vewd6evzpopw0vs5fv0srdzts0d" timestamp="1380281223"&gt;10687&lt;/key&gt;&lt;/foreign-keys&gt;&lt;ref-type name="Journal Article"&gt;17&lt;/ref-type&gt;&lt;contributors&gt;&lt;authors&gt;&lt;author&gt;Latora, V.&lt;/author&gt;&lt;author&gt;Marchiori, M.&lt;/author&gt;&lt;/authors&gt;&lt;/contributors&gt;&lt;auth-address&gt;Laboratoire de Physique Theorique et Modeles Statistiques, Universite Paris-Sud, Batiment 100, 91405 Orsay Cedex, France.&lt;/auth-address&gt;&lt;titles&gt;&lt;title&gt;Efficient behavior of small-world networks&lt;/title&gt;&lt;secondary-title&gt;Phys Rev Lett&lt;/secondary-title&gt;&lt;alt-title&gt;Physical review letters&lt;/alt-title&gt;&lt;/titles&gt;&lt;periodical&gt;&lt;full-title&gt;Phys Rev Lett&lt;/full-title&gt;&lt;abbr-1&gt;Physical review letters&lt;/abbr-1&gt;&lt;/periodical&gt;&lt;alt-periodical&gt;&lt;full-title&gt;Phys Rev Lett&lt;/full-title&gt;&lt;abbr-1&gt;Physical review letters&lt;/abbr-1&gt;&lt;/alt-periodical&gt;&lt;pages&gt;198701&lt;/pages&gt;&lt;volume&gt;87&lt;/volume&gt;&lt;number&gt;19&lt;/number&gt;&lt;edition&gt;2001/11/03&lt;/edition&gt;&lt;keywords&gt;&lt;keyword&gt;Brain/physiology&lt;/keyword&gt;&lt;keyword&gt;Models, Chemical&lt;/keyword&gt;&lt;keyword&gt;Models, Neurological&lt;/keyword&gt;&lt;keyword&gt;*Models, Theoretical&lt;/keyword&gt;&lt;keyword&gt;Social Support&lt;/keyword&gt;&lt;keyword&gt;Transportation&lt;/keyword&gt;&lt;/keywords&gt;&lt;dates&gt;&lt;year&gt;2001&lt;/year&gt;&lt;pub-dates&gt;&lt;date&gt;Nov 5&lt;/date&gt;&lt;/pub-dates&gt;&lt;/dates&gt;&lt;isbn&gt;0031-9007 (Print)&amp;#xD;0031-9007 (Linking)&lt;/isbn&gt;&lt;accession-num&gt;11690461&lt;/accession-num&gt;&lt;urls&gt;&lt;related-urls&gt;&lt;url&gt;http://www.ncbi.nlm.nih.gov/pubmed/11690461&lt;/url&gt;&lt;/related-urls&gt;&lt;/urls&gt;&lt;language&gt;eng&lt;/language&gt;&lt;/record&gt;&lt;/Cite&gt;&lt;/EndNote&gt;</w:instrTex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2" w:tooltip="Latora, 2001 #10687" w:history="1">
        <w:r w:rsidR="007C6CD6" w:rsidRPr="0012117C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Latora and Marchiori, 2001</w:t>
        </w:r>
      </w:hyperlink>
      <w:r w:rsidR="007C6CD6" w:rsidRPr="0012117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7C6CD6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bookmarkStart w:id="26" w:name="OLE_LINK136"/>
    <w:bookmarkStart w:id="27" w:name="OLE_LINK137"/>
    <w:p w14:paraId="493A3B5A" w14:textId="26A8AA87" w:rsidR="004B1738" w:rsidRPr="0012117C" w:rsidRDefault="00C37891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loc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(i</m:t>
          </m:r>
          <w:bookmarkEnd w:id="26"/>
          <w:bookmarkEnd w:id="27"/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)=</m:t>
          </m:r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glob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；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loc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N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i∈G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loc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(i)</m:t>
              </m:r>
            </m:e>
          </m:nary>
        </m:oMath>
      </m:oMathPara>
    </w:p>
    <w:p w14:paraId="4699E5D8" w14:textId="47A9CBF8" w:rsidR="0059171D" w:rsidRPr="0012117C" w:rsidRDefault="00361170" w:rsidP="00495E57">
      <w:pPr>
        <w:widowControl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Taken</w:t>
      </w:r>
      <w:r w:rsidR="0009422B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toge</w:t>
      </w: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ther</w:t>
      </w:r>
      <w:r w:rsidR="004B1738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A5385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C</w:t>
      </w:r>
      <w:r w:rsidR="007A538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r w:rsidR="007A538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proofErr w:type="spellStart"/>
      <w:r w:rsidR="00E13B90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="00E13B90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loc</w:t>
      </w:r>
      <w:proofErr w:type="spellEnd"/>
      <w:r w:rsidR="00E13B90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measure the local cliquishness of a network, and</w:t>
      </w:r>
      <w:r w:rsidR="00FC1B0A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="00FC1B0A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L</w:t>
      </w:r>
      <w:r w:rsidR="00FC1B0A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p</w:t>
      </w:r>
      <w:proofErr w:type="spellEnd"/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="00FC1B0A" w:rsidRPr="001211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="00FC1B0A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glob</w:t>
      </w:r>
      <w:proofErr w:type="spellEnd"/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measure the overall routing efficiency of a network.</w:t>
      </w:r>
    </w:p>
    <w:p w14:paraId="1AF7D3A3" w14:textId="41F0DB4D" w:rsidR="0059171D" w:rsidRPr="0012117C" w:rsidRDefault="008A7AEA" w:rsidP="00495E57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odal </w:t>
      </w:r>
      <w:r w:rsidR="00934C85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topographic</w:t>
      </w:r>
      <w:r w:rsidR="00934C85" w:rsidRPr="0012117C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59171D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parameters</w:t>
      </w:r>
    </w:p>
    <w:bookmarkEnd w:id="0"/>
    <w:bookmarkEnd w:id="1"/>
    <w:p w14:paraId="064E53E4" w14:textId="62013309" w:rsidR="00195F27" w:rsidRPr="0012117C" w:rsidRDefault="004762C5" w:rsidP="00495E5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081FD5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</w:t>
      </w:r>
      <w:r w:rsidR="00BB5A8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nodal efficiency (</w:t>
      </w:r>
      <w:proofErr w:type="spellStart"/>
      <w:r w:rsidR="00BB5A81" w:rsidRPr="0012117C">
        <w:rPr>
          <w:rFonts w:ascii="Times New Roman" w:hAnsi="Times New Roman" w:cs="Times New Roman"/>
          <w:i/>
          <w:color w:val="000000" w:themeColor="text1"/>
          <w:kern w:val="0"/>
          <w:sz w:val="20"/>
          <w:szCs w:val="20"/>
        </w:rPr>
        <w:t>E</w:t>
      </w:r>
      <w:r w:rsidR="001A69D8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bscript"/>
        </w:rPr>
        <w:t>nod</w:t>
      </w:r>
      <w:proofErr w:type="spellEnd"/>
      <w:r w:rsidR="00BB5A81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</w:t>
      </w:r>
      <w:r w:rsidR="00912A5D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D409E8"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t>is defined as</w:t>
      </w:r>
      <w:r w:rsidR="00D409E8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7C6CD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begin"/>
      </w:r>
      <w:r w:rsidR="007C6CD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instrText xml:space="preserve"> ADDIN EN.CITE &lt;EndNote&gt;&lt;Cite&gt;&lt;Author&gt;Achard&lt;/Author&gt;&lt;Year&gt;2007&lt;/Year&gt;&lt;RecNum&gt;15836&lt;/RecNum&gt;&lt;DisplayText&gt;(Achard and Bullmore, 2007)&lt;/DisplayText&gt;&lt;record&gt;&lt;rec-number&gt;15836&lt;/rec-number&gt;&lt;foreign-keys&gt;&lt;key app="EN" db-id="tszzastto0s2v3exvejpdz5fpsz0pztxz90v"&gt;15836&lt;/key&gt;&lt;/foreign-keys&gt;&lt;ref-type name="Journal Article"&gt;17&lt;/ref-type&gt;&lt;contributors&gt;&lt;authors&gt;&lt;author&gt;Achard, Sophie&lt;/author&gt;&lt;author&gt;Bullmore, Edward T.&lt;/author&gt;&lt;/authors&gt;&lt;/contributors&gt;&lt;titles&gt;&lt;title&gt;Efficiency and cost of economical brain functional networks&lt;/title&gt;&lt;secondary-title&gt;Plos Computational Biology&lt;/secondary-title&gt;&lt;/titles&gt;&lt;periodical&gt;&lt;full-title&gt;PLoS Comput Biol&lt;/full-title&gt;&lt;abbr-1&gt;PLoS computational biology&lt;/abbr-1&gt;&lt;/periodical&gt;&lt;pages&gt;174-183&lt;/pages&gt;&lt;volume&gt;3&lt;/volume&gt;&lt;number&gt;2&lt;/number&gt;&lt;dates&gt;&lt;year&gt;2007&lt;/year&gt;&lt;pub-dates&gt;&lt;date&gt;Feb&lt;/date&gt;&lt;/pub-dates&gt;&lt;/dates&gt;&lt;isbn&gt;1553-7358&lt;/isbn&gt;&lt;accession-num&gt;WOS:000244711500003&lt;/accession-num&gt;&lt;urls&gt;&lt;/urls&gt;&lt;/record&gt;&lt;/Cite&gt;&lt;/EndNote&gt;</w:instrText>
      </w:r>
      <w:r w:rsidR="007C6CD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separate"/>
      </w:r>
      <w:r w:rsidR="007C6CD6" w:rsidRPr="0012117C">
        <w:rPr>
          <w:rFonts w:ascii="Times New Roman" w:hAnsi="Times New Roman" w:cs="Times New Roman"/>
          <w:noProof/>
          <w:color w:val="000000" w:themeColor="text1"/>
          <w:kern w:val="0"/>
          <w:sz w:val="20"/>
          <w:szCs w:val="20"/>
        </w:rPr>
        <w:t>(</w:t>
      </w:r>
      <w:hyperlink w:anchor="_ENREF_1" w:tooltip="Achard, 2007 #15836" w:history="1">
        <w:r w:rsidR="007C6CD6" w:rsidRPr="0012117C">
          <w:rPr>
            <w:rFonts w:ascii="Times New Roman" w:hAnsi="Times New Roman" w:cs="Times New Roman"/>
            <w:noProof/>
            <w:color w:val="000000" w:themeColor="text1"/>
            <w:kern w:val="0"/>
            <w:sz w:val="20"/>
            <w:szCs w:val="20"/>
          </w:rPr>
          <w:t>Achard and Bullmore, 2007</w:t>
        </w:r>
      </w:hyperlink>
      <w:r w:rsidR="007C6CD6" w:rsidRPr="0012117C">
        <w:rPr>
          <w:rFonts w:ascii="Times New Roman" w:hAnsi="Times New Roman" w:cs="Times New Roman"/>
          <w:noProof/>
          <w:color w:val="000000" w:themeColor="text1"/>
          <w:kern w:val="0"/>
          <w:sz w:val="20"/>
          <w:szCs w:val="20"/>
        </w:rPr>
        <w:t>)</w:t>
      </w:r>
      <w:r w:rsidR="007C6CD6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end"/>
      </w:r>
      <w:r w:rsidR="00D409E8" w:rsidRPr="0012117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:</w:t>
      </w:r>
    </w:p>
    <w:p w14:paraId="58FE8226" w14:textId="1DCFEC84" w:rsidR="0008354B" w:rsidRPr="0012117C" w:rsidRDefault="00C37891" w:rsidP="00495E57">
      <w:pPr>
        <w:widowControl/>
        <w:autoSpaceDE w:val="0"/>
        <w:autoSpaceDN w:val="0"/>
        <w:adjustRightInd w:val="0"/>
        <w:spacing w:afterLines="100" w:after="312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nod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N-1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j≠i∈G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ij</m:t>
                      </m:r>
                    </m:sub>
                  </m:sSub>
                </m:den>
              </m:f>
            </m:e>
          </m:nary>
        </m:oMath>
      </m:oMathPara>
    </w:p>
    <w:p w14:paraId="4C663562" w14:textId="4D7F2103" w:rsidR="007113CE" w:rsidRPr="0012117C" w:rsidRDefault="007113CE" w:rsidP="00495E57">
      <w:pPr>
        <w:widowControl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sectPr w:rsidR="007113CE" w:rsidRPr="0012117C" w:rsidSect="009C6DDC">
          <w:footerReference w:type="even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CFB5B8" w14:textId="29C631CD" w:rsidR="00A56612" w:rsidRPr="0012117C" w:rsidRDefault="00A56612" w:rsidP="00495E57">
      <w:pPr>
        <w:pStyle w:val="EndNoteBibliography"/>
        <w:spacing w:line="360" w:lineRule="auto"/>
        <w:rPr>
          <w:rFonts w:ascii="Times New Roman" w:hAnsi="Times New Roman"/>
          <w:b/>
          <w:bCs/>
          <w:kern w:val="0"/>
          <w:sz w:val="20"/>
          <w:szCs w:val="20"/>
        </w:rPr>
      </w:pPr>
      <w:r w:rsidRPr="0012117C">
        <w:rPr>
          <w:rFonts w:ascii="Times New Roman" w:hAnsi="Times New Roman"/>
          <w:b/>
          <w:bCs/>
          <w:kern w:val="0"/>
          <w:sz w:val="20"/>
          <w:szCs w:val="20"/>
        </w:rPr>
        <w:lastRenderedPageBreak/>
        <w:t>Reference:</w:t>
      </w:r>
    </w:p>
    <w:p w14:paraId="133567B3" w14:textId="13D41253" w:rsidR="007C6CD6" w:rsidRPr="0012117C" w:rsidRDefault="00DB3CB9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r w:rsidRPr="0012117C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12117C">
        <w:rPr>
          <w:rFonts w:ascii="Times New Roman" w:hAnsi="Times New Roman"/>
          <w:color w:val="000000" w:themeColor="text1"/>
          <w:sz w:val="20"/>
          <w:szCs w:val="20"/>
        </w:rPr>
        <w:instrText xml:space="preserve"> ADDIN EN.REFLIST </w:instrText>
      </w:r>
      <w:r w:rsidRPr="0012117C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bookmarkStart w:id="28" w:name="_ENREF_1"/>
      <w:r w:rsidR="007C6CD6" w:rsidRPr="0012117C">
        <w:rPr>
          <w:rFonts w:ascii="Times New Roman" w:hAnsi="Times New Roman"/>
          <w:noProof/>
          <w:sz w:val="20"/>
          <w:szCs w:val="20"/>
        </w:rPr>
        <w:t xml:space="preserve">Achard, S., and Bullmore, E.T. (2007). Efficiency and cost of economical brain functional networks. </w:t>
      </w:r>
      <w:r w:rsidR="007C6CD6" w:rsidRPr="0012117C">
        <w:rPr>
          <w:rFonts w:ascii="Times New Roman" w:hAnsi="Times New Roman"/>
          <w:i/>
          <w:noProof/>
          <w:sz w:val="20"/>
          <w:szCs w:val="20"/>
        </w:rPr>
        <w:t>Plos Computational Biology</w:t>
      </w:r>
      <w:r w:rsidR="007C6CD6" w:rsidRPr="0012117C">
        <w:rPr>
          <w:rFonts w:ascii="Times New Roman" w:hAnsi="Times New Roman"/>
          <w:noProof/>
          <w:sz w:val="20"/>
          <w:szCs w:val="20"/>
        </w:rPr>
        <w:t xml:space="preserve"> 3(2)</w:t>
      </w:r>
      <w:r w:rsidR="007C6CD6"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="007C6CD6" w:rsidRPr="0012117C">
        <w:rPr>
          <w:rFonts w:ascii="Times New Roman" w:hAnsi="Times New Roman"/>
          <w:noProof/>
          <w:sz w:val="20"/>
          <w:szCs w:val="20"/>
        </w:rPr>
        <w:t xml:space="preserve"> 174-183.</w:t>
      </w:r>
      <w:bookmarkEnd w:id="28"/>
    </w:p>
    <w:p w14:paraId="3210AB42" w14:textId="77777777" w:rsidR="007C6CD6" w:rsidRPr="0012117C" w:rsidRDefault="007C6CD6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bookmarkStart w:id="29" w:name="_ENREF_2"/>
      <w:r w:rsidRPr="0012117C">
        <w:rPr>
          <w:rFonts w:ascii="Times New Roman" w:hAnsi="Times New Roman"/>
          <w:noProof/>
          <w:sz w:val="20"/>
          <w:szCs w:val="20"/>
        </w:rPr>
        <w:t xml:space="preserve">Latora, V., and Marchiori, M. (2001). Efficient behavior of small-world networks. </w:t>
      </w:r>
      <w:r w:rsidRPr="0012117C">
        <w:rPr>
          <w:rFonts w:ascii="Times New Roman" w:hAnsi="Times New Roman"/>
          <w:i/>
          <w:noProof/>
          <w:sz w:val="20"/>
          <w:szCs w:val="20"/>
        </w:rPr>
        <w:t>Phys Rev Lett</w:t>
      </w:r>
      <w:r w:rsidRPr="0012117C">
        <w:rPr>
          <w:rFonts w:ascii="Times New Roman" w:hAnsi="Times New Roman"/>
          <w:noProof/>
          <w:sz w:val="20"/>
          <w:szCs w:val="20"/>
        </w:rPr>
        <w:t xml:space="preserve"> 87(19)</w:t>
      </w:r>
      <w:r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Pr="0012117C">
        <w:rPr>
          <w:rFonts w:ascii="Times New Roman" w:hAnsi="Times New Roman"/>
          <w:noProof/>
          <w:sz w:val="20"/>
          <w:szCs w:val="20"/>
        </w:rPr>
        <w:t xml:space="preserve"> 198701.</w:t>
      </w:r>
      <w:bookmarkEnd w:id="29"/>
    </w:p>
    <w:p w14:paraId="0913AFEE" w14:textId="77777777" w:rsidR="007C6CD6" w:rsidRPr="0012117C" w:rsidRDefault="007C6CD6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bookmarkStart w:id="30" w:name="_ENREF_3"/>
      <w:r w:rsidRPr="0012117C">
        <w:rPr>
          <w:rFonts w:ascii="Times New Roman" w:hAnsi="Times New Roman"/>
          <w:noProof/>
          <w:sz w:val="20"/>
          <w:szCs w:val="20"/>
        </w:rPr>
        <w:t xml:space="preserve">Newman, M.E. (2003). Mixing patterns in networks. </w:t>
      </w:r>
      <w:r w:rsidRPr="0012117C">
        <w:rPr>
          <w:rFonts w:ascii="Times New Roman" w:hAnsi="Times New Roman"/>
          <w:i/>
          <w:noProof/>
          <w:sz w:val="20"/>
          <w:szCs w:val="20"/>
        </w:rPr>
        <w:t>Phys Rev E Stat Nonlin Soft Matter Phys</w:t>
      </w:r>
      <w:r w:rsidRPr="0012117C">
        <w:rPr>
          <w:rFonts w:ascii="Times New Roman" w:hAnsi="Times New Roman"/>
          <w:noProof/>
          <w:sz w:val="20"/>
          <w:szCs w:val="20"/>
        </w:rPr>
        <w:t xml:space="preserve"> 67(2 Pt 2)</w:t>
      </w:r>
      <w:r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Pr="0012117C">
        <w:rPr>
          <w:rFonts w:ascii="Times New Roman" w:hAnsi="Times New Roman"/>
          <w:noProof/>
          <w:sz w:val="20"/>
          <w:szCs w:val="20"/>
        </w:rPr>
        <w:t xml:space="preserve"> 026126.</w:t>
      </w:r>
      <w:bookmarkEnd w:id="30"/>
    </w:p>
    <w:p w14:paraId="64DBA5FA" w14:textId="77777777" w:rsidR="007C6CD6" w:rsidRPr="0012117C" w:rsidRDefault="007C6CD6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bookmarkStart w:id="31" w:name="_ENREF_4"/>
      <w:r w:rsidRPr="0012117C">
        <w:rPr>
          <w:rFonts w:ascii="Times New Roman" w:hAnsi="Times New Roman"/>
          <w:noProof/>
          <w:sz w:val="20"/>
          <w:szCs w:val="20"/>
        </w:rPr>
        <w:t xml:space="preserve">Rubinov, M., and Sporns, O. (2010). Complex network measures of brain connectivity: Uses and interpretations. </w:t>
      </w:r>
      <w:r w:rsidRPr="0012117C">
        <w:rPr>
          <w:rFonts w:ascii="Times New Roman" w:hAnsi="Times New Roman"/>
          <w:i/>
          <w:noProof/>
          <w:sz w:val="20"/>
          <w:szCs w:val="20"/>
        </w:rPr>
        <w:t>Neuroimage</w:t>
      </w:r>
      <w:r w:rsidRPr="0012117C">
        <w:rPr>
          <w:rFonts w:ascii="Times New Roman" w:hAnsi="Times New Roman"/>
          <w:noProof/>
          <w:sz w:val="20"/>
          <w:szCs w:val="20"/>
        </w:rPr>
        <w:t xml:space="preserve"> 52(3)</w:t>
      </w:r>
      <w:r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Pr="0012117C">
        <w:rPr>
          <w:rFonts w:ascii="Times New Roman" w:hAnsi="Times New Roman"/>
          <w:noProof/>
          <w:sz w:val="20"/>
          <w:szCs w:val="20"/>
        </w:rPr>
        <w:t xml:space="preserve"> 1059-1069.</w:t>
      </w:r>
      <w:bookmarkEnd w:id="31"/>
    </w:p>
    <w:p w14:paraId="14146683" w14:textId="77777777" w:rsidR="007C6CD6" w:rsidRPr="0012117C" w:rsidRDefault="007C6CD6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bookmarkStart w:id="32" w:name="_ENREF_5"/>
      <w:r w:rsidRPr="0012117C">
        <w:rPr>
          <w:rFonts w:ascii="Times New Roman" w:hAnsi="Times New Roman"/>
          <w:noProof/>
          <w:sz w:val="20"/>
          <w:szCs w:val="20"/>
        </w:rPr>
        <w:t xml:space="preserve">Watts, D.J., and Strogatz, S.H. (1998). Collective dynamics of 'small-world' networks. </w:t>
      </w:r>
      <w:r w:rsidRPr="0012117C">
        <w:rPr>
          <w:rFonts w:ascii="Times New Roman" w:hAnsi="Times New Roman"/>
          <w:i/>
          <w:noProof/>
          <w:sz w:val="20"/>
          <w:szCs w:val="20"/>
        </w:rPr>
        <w:t>Nature</w:t>
      </w:r>
      <w:r w:rsidRPr="0012117C">
        <w:rPr>
          <w:rFonts w:ascii="Times New Roman" w:hAnsi="Times New Roman"/>
          <w:noProof/>
          <w:sz w:val="20"/>
          <w:szCs w:val="20"/>
        </w:rPr>
        <w:t xml:space="preserve"> 393(6684)</w:t>
      </w:r>
      <w:r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Pr="0012117C">
        <w:rPr>
          <w:rFonts w:ascii="Times New Roman" w:hAnsi="Times New Roman"/>
          <w:noProof/>
          <w:sz w:val="20"/>
          <w:szCs w:val="20"/>
        </w:rPr>
        <w:t xml:space="preserve"> 440-442.</w:t>
      </w:r>
      <w:bookmarkEnd w:id="32"/>
    </w:p>
    <w:p w14:paraId="1B3AAF13" w14:textId="67E72935" w:rsidR="009059BC" w:rsidRPr="0012117C" w:rsidRDefault="007C6CD6" w:rsidP="00495E57">
      <w:pPr>
        <w:pStyle w:val="EndNoteBibliography"/>
        <w:spacing w:line="360" w:lineRule="auto"/>
        <w:ind w:left="720" w:hanging="720"/>
        <w:rPr>
          <w:rFonts w:ascii="Times New Roman" w:hAnsi="Times New Roman"/>
          <w:noProof/>
          <w:sz w:val="20"/>
          <w:szCs w:val="20"/>
        </w:rPr>
      </w:pPr>
      <w:bookmarkStart w:id="33" w:name="_ENREF_6"/>
      <w:r w:rsidRPr="0012117C">
        <w:rPr>
          <w:rFonts w:ascii="Times New Roman" w:hAnsi="Times New Roman"/>
          <w:noProof/>
          <w:sz w:val="20"/>
          <w:szCs w:val="20"/>
        </w:rPr>
        <w:t xml:space="preserve">Zhang, J., Wang, J., Wu, Q., Kuang, W., Huang, X., He, Y., et al. (2011). Disrupted Brain Connectivity Networks in Drug-Naive, First-Episode Major Depressive Disorder. </w:t>
      </w:r>
      <w:r w:rsidRPr="0012117C">
        <w:rPr>
          <w:rFonts w:ascii="Times New Roman" w:hAnsi="Times New Roman"/>
          <w:i/>
          <w:noProof/>
          <w:sz w:val="20"/>
          <w:szCs w:val="20"/>
        </w:rPr>
        <w:t>Biological Psychiatry</w:t>
      </w:r>
      <w:r w:rsidRPr="0012117C">
        <w:rPr>
          <w:rFonts w:ascii="Times New Roman" w:hAnsi="Times New Roman"/>
          <w:noProof/>
          <w:sz w:val="20"/>
          <w:szCs w:val="20"/>
        </w:rPr>
        <w:t xml:space="preserve"> 70(4)</w:t>
      </w:r>
      <w:r w:rsidRPr="0012117C">
        <w:rPr>
          <w:rFonts w:ascii="Times New Roman" w:hAnsi="Times New Roman"/>
          <w:b/>
          <w:noProof/>
          <w:sz w:val="20"/>
          <w:szCs w:val="20"/>
        </w:rPr>
        <w:t>,</w:t>
      </w:r>
      <w:r w:rsidRPr="0012117C">
        <w:rPr>
          <w:rFonts w:ascii="Times New Roman" w:hAnsi="Times New Roman"/>
          <w:noProof/>
          <w:sz w:val="20"/>
          <w:szCs w:val="20"/>
        </w:rPr>
        <w:t xml:space="preserve"> 334-342.</w:t>
      </w:r>
      <w:bookmarkEnd w:id="33"/>
    </w:p>
    <w:p w14:paraId="0961A350" w14:textId="3103263C" w:rsidR="00116AEC" w:rsidRPr="0012117C" w:rsidRDefault="00DB3CB9" w:rsidP="00495E57">
      <w:pPr>
        <w:widowControl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0"/>
          <w:szCs w:val="20"/>
        </w:rPr>
        <w:sectPr w:rsidR="00116AEC" w:rsidRPr="0012117C" w:rsidSect="009C6DDC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12117C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65542D19" w14:textId="68435AC0" w:rsidR="009C6DDC" w:rsidRPr="0012117C" w:rsidRDefault="009C6DDC" w:rsidP="00495E57">
      <w:pPr>
        <w:widowControl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</w:p>
    <w:sectPr w:rsidR="009C6DDC" w:rsidRPr="0012117C" w:rsidSect="009059BC">
      <w:type w:val="continuous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E9D4" w14:textId="77777777" w:rsidR="00C37891" w:rsidRDefault="00C37891" w:rsidP="000B544A">
      <w:r>
        <w:separator/>
      </w:r>
    </w:p>
  </w:endnote>
  <w:endnote w:type="continuationSeparator" w:id="0">
    <w:p w14:paraId="4CD25478" w14:textId="77777777" w:rsidR="00C37891" w:rsidRDefault="00C37891" w:rsidP="000B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EA62" w14:textId="77777777" w:rsidR="00E3621B" w:rsidRDefault="00E3621B" w:rsidP="005C60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98B5A3" w14:textId="77777777" w:rsidR="00E3621B" w:rsidRDefault="00E362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BBE0" w14:textId="77777777" w:rsidR="00E3621B" w:rsidRDefault="00E3621B" w:rsidP="005C60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978802A" w14:textId="77777777" w:rsidR="00E3621B" w:rsidRDefault="00E362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B975" w14:textId="77777777" w:rsidR="00C37891" w:rsidRDefault="00C37891" w:rsidP="000B544A">
      <w:r>
        <w:separator/>
      </w:r>
    </w:p>
  </w:footnote>
  <w:footnote w:type="continuationSeparator" w:id="0">
    <w:p w14:paraId="69BCE0C7" w14:textId="77777777" w:rsidR="00C37891" w:rsidRDefault="00C37891" w:rsidP="000B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3EDC"/>
    <w:multiLevelType w:val="hybridMultilevel"/>
    <w:tmpl w:val="A626B388"/>
    <w:lvl w:ilvl="0" w:tplc="1F74F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-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B3CB9"/>
    <w:rsid w:val="000005C9"/>
    <w:rsid w:val="000063E3"/>
    <w:rsid w:val="000068C4"/>
    <w:rsid w:val="000107D1"/>
    <w:rsid w:val="00014895"/>
    <w:rsid w:val="000223E1"/>
    <w:rsid w:val="00025230"/>
    <w:rsid w:val="00027AB4"/>
    <w:rsid w:val="00030D76"/>
    <w:rsid w:val="0003141E"/>
    <w:rsid w:val="00046A05"/>
    <w:rsid w:val="00047B50"/>
    <w:rsid w:val="00054B6D"/>
    <w:rsid w:val="00055FCA"/>
    <w:rsid w:val="000601A3"/>
    <w:rsid w:val="00061C7F"/>
    <w:rsid w:val="0006289E"/>
    <w:rsid w:val="0006416E"/>
    <w:rsid w:val="000657E8"/>
    <w:rsid w:val="00066589"/>
    <w:rsid w:val="00072B69"/>
    <w:rsid w:val="000743AC"/>
    <w:rsid w:val="0008014E"/>
    <w:rsid w:val="0008196C"/>
    <w:rsid w:val="00081A2D"/>
    <w:rsid w:val="00081FD5"/>
    <w:rsid w:val="0008354B"/>
    <w:rsid w:val="00084BBB"/>
    <w:rsid w:val="00085D21"/>
    <w:rsid w:val="00087A58"/>
    <w:rsid w:val="00087C7F"/>
    <w:rsid w:val="000909B4"/>
    <w:rsid w:val="0009422B"/>
    <w:rsid w:val="000A0219"/>
    <w:rsid w:val="000B114E"/>
    <w:rsid w:val="000B544A"/>
    <w:rsid w:val="000B6631"/>
    <w:rsid w:val="000B758F"/>
    <w:rsid w:val="000B7C79"/>
    <w:rsid w:val="000C1967"/>
    <w:rsid w:val="000C2DF8"/>
    <w:rsid w:val="000C4A71"/>
    <w:rsid w:val="000C5D3C"/>
    <w:rsid w:val="000C69DC"/>
    <w:rsid w:val="000C6B4E"/>
    <w:rsid w:val="000D18E6"/>
    <w:rsid w:val="000D7232"/>
    <w:rsid w:val="000E194E"/>
    <w:rsid w:val="000E570F"/>
    <w:rsid w:val="000F1FDB"/>
    <w:rsid w:val="000F6DFB"/>
    <w:rsid w:val="001004D0"/>
    <w:rsid w:val="001047D8"/>
    <w:rsid w:val="001049A7"/>
    <w:rsid w:val="00105FF5"/>
    <w:rsid w:val="00110465"/>
    <w:rsid w:val="001128F7"/>
    <w:rsid w:val="00116AEC"/>
    <w:rsid w:val="0012117C"/>
    <w:rsid w:val="00121A1B"/>
    <w:rsid w:val="00122E9E"/>
    <w:rsid w:val="001249AB"/>
    <w:rsid w:val="00126798"/>
    <w:rsid w:val="00126812"/>
    <w:rsid w:val="00137DB2"/>
    <w:rsid w:val="00147F3C"/>
    <w:rsid w:val="00157B4B"/>
    <w:rsid w:val="00161380"/>
    <w:rsid w:val="00163609"/>
    <w:rsid w:val="00163AFF"/>
    <w:rsid w:val="00166149"/>
    <w:rsid w:val="00166700"/>
    <w:rsid w:val="001740F8"/>
    <w:rsid w:val="0018757E"/>
    <w:rsid w:val="00191B5F"/>
    <w:rsid w:val="001931F9"/>
    <w:rsid w:val="00195F27"/>
    <w:rsid w:val="001A4304"/>
    <w:rsid w:val="001A69D8"/>
    <w:rsid w:val="001B1DF2"/>
    <w:rsid w:val="001B218D"/>
    <w:rsid w:val="001B2670"/>
    <w:rsid w:val="001B31CD"/>
    <w:rsid w:val="001D3EBD"/>
    <w:rsid w:val="001D6893"/>
    <w:rsid w:val="001E1500"/>
    <w:rsid w:val="001E48A3"/>
    <w:rsid w:val="001E63C9"/>
    <w:rsid w:val="001F49C0"/>
    <w:rsid w:val="00201CAD"/>
    <w:rsid w:val="0021473E"/>
    <w:rsid w:val="0021560F"/>
    <w:rsid w:val="002158BD"/>
    <w:rsid w:val="00215963"/>
    <w:rsid w:val="002205EE"/>
    <w:rsid w:val="00221D08"/>
    <w:rsid w:val="00222679"/>
    <w:rsid w:val="002229FD"/>
    <w:rsid w:val="002239B6"/>
    <w:rsid w:val="0023062E"/>
    <w:rsid w:val="00233005"/>
    <w:rsid w:val="00233B7F"/>
    <w:rsid w:val="00242E9A"/>
    <w:rsid w:val="0024320B"/>
    <w:rsid w:val="002510ED"/>
    <w:rsid w:val="0025226F"/>
    <w:rsid w:val="00254ACF"/>
    <w:rsid w:val="002555BE"/>
    <w:rsid w:val="00261E56"/>
    <w:rsid w:val="00262503"/>
    <w:rsid w:val="00263B24"/>
    <w:rsid w:val="00263E3C"/>
    <w:rsid w:val="00264751"/>
    <w:rsid w:val="00270666"/>
    <w:rsid w:val="00272930"/>
    <w:rsid w:val="0027652A"/>
    <w:rsid w:val="002816A4"/>
    <w:rsid w:val="00281E8E"/>
    <w:rsid w:val="00283734"/>
    <w:rsid w:val="00285203"/>
    <w:rsid w:val="00287CB0"/>
    <w:rsid w:val="00291C6D"/>
    <w:rsid w:val="002966D5"/>
    <w:rsid w:val="002973CD"/>
    <w:rsid w:val="0029750F"/>
    <w:rsid w:val="002A304F"/>
    <w:rsid w:val="002A3B7D"/>
    <w:rsid w:val="002C3960"/>
    <w:rsid w:val="002C488A"/>
    <w:rsid w:val="002C7F4E"/>
    <w:rsid w:val="002D49DA"/>
    <w:rsid w:val="002F100C"/>
    <w:rsid w:val="002F2521"/>
    <w:rsid w:val="002F3A24"/>
    <w:rsid w:val="002F45A3"/>
    <w:rsid w:val="003003A0"/>
    <w:rsid w:val="00301A0A"/>
    <w:rsid w:val="00303CB8"/>
    <w:rsid w:val="00305292"/>
    <w:rsid w:val="003138F8"/>
    <w:rsid w:val="0031418F"/>
    <w:rsid w:val="00315F29"/>
    <w:rsid w:val="00331770"/>
    <w:rsid w:val="00333489"/>
    <w:rsid w:val="00333635"/>
    <w:rsid w:val="0033548E"/>
    <w:rsid w:val="00335760"/>
    <w:rsid w:val="00336C39"/>
    <w:rsid w:val="003379BD"/>
    <w:rsid w:val="00341466"/>
    <w:rsid w:val="00344BAC"/>
    <w:rsid w:val="00350DB7"/>
    <w:rsid w:val="0035189F"/>
    <w:rsid w:val="00360A37"/>
    <w:rsid w:val="00361170"/>
    <w:rsid w:val="00364A87"/>
    <w:rsid w:val="00364AF8"/>
    <w:rsid w:val="00367B90"/>
    <w:rsid w:val="003725DD"/>
    <w:rsid w:val="00373F07"/>
    <w:rsid w:val="00374A36"/>
    <w:rsid w:val="0038186E"/>
    <w:rsid w:val="00385456"/>
    <w:rsid w:val="0038642F"/>
    <w:rsid w:val="00394933"/>
    <w:rsid w:val="0039494C"/>
    <w:rsid w:val="003A07F4"/>
    <w:rsid w:val="003A31BC"/>
    <w:rsid w:val="003A4043"/>
    <w:rsid w:val="003A7814"/>
    <w:rsid w:val="003B0DDB"/>
    <w:rsid w:val="003C1EAF"/>
    <w:rsid w:val="003C2907"/>
    <w:rsid w:val="003D241A"/>
    <w:rsid w:val="003D59B9"/>
    <w:rsid w:val="003E1448"/>
    <w:rsid w:val="003E146D"/>
    <w:rsid w:val="003E2988"/>
    <w:rsid w:val="003E4219"/>
    <w:rsid w:val="003E51BC"/>
    <w:rsid w:val="003E5D17"/>
    <w:rsid w:val="003E69B6"/>
    <w:rsid w:val="003F17C1"/>
    <w:rsid w:val="003F3339"/>
    <w:rsid w:val="003F3CC1"/>
    <w:rsid w:val="003F5C50"/>
    <w:rsid w:val="00406D87"/>
    <w:rsid w:val="00412327"/>
    <w:rsid w:val="00416EF4"/>
    <w:rsid w:val="004202E3"/>
    <w:rsid w:val="00421936"/>
    <w:rsid w:val="00422F7D"/>
    <w:rsid w:val="0043274F"/>
    <w:rsid w:val="004328C9"/>
    <w:rsid w:val="00432E8D"/>
    <w:rsid w:val="00444699"/>
    <w:rsid w:val="00445935"/>
    <w:rsid w:val="004468B7"/>
    <w:rsid w:val="00453390"/>
    <w:rsid w:val="00454797"/>
    <w:rsid w:val="00454B1A"/>
    <w:rsid w:val="0046199D"/>
    <w:rsid w:val="00464F36"/>
    <w:rsid w:val="0047580C"/>
    <w:rsid w:val="004762C5"/>
    <w:rsid w:val="00477C80"/>
    <w:rsid w:val="0048049D"/>
    <w:rsid w:val="004820B5"/>
    <w:rsid w:val="00485197"/>
    <w:rsid w:val="00485C71"/>
    <w:rsid w:val="00491A91"/>
    <w:rsid w:val="004922B8"/>
    <w:rsid w:val="00493DB7"/>
    <w:rsid w:val="00494C3F"/>
    <w:rsid w:val="00495526"/>
    <w:rsid w:val="00495DC3"/>
    <w:rsid w:val="00495E57"/>
    <w:rsid w:val="00496737"/>
    <w:rsid w:val="004A0439"/>
    <w:rsid w:val="004A20C1"/>
    <w:rsid w:val="004A2C9F"/>
    <w:rsid w:val="004A59BC"/>
    <w:rsid w:val="004B13CC"/>
    <w:rsid w:val="004B1738"/>
    <w:rsid w:val="004B1A5D"/>
    <w:rsid w:val="004B3ACF"/>
    <w:rsid w:val="004B3E82"/>
    <w:rsid w:val="004B41EF"/>
    <w:rsid w:val="004C6A50"/>
    <w:rsid w:val="004D07A5"/>
    <w:rsid w:val="004D4F1F"/>
    <w:rsid w:val="004D5A92"/>
    <w:rsid w:val="004D6B86"/>
    <w:rsid w:val="004E1EE3"/>
    <w:rsid w:val="004E7CFF"/>
    <w:rsid w:val="004F3C01"/>
    <w:rsid w:val="004F4716"/>
    <w:rsid w:val="004F6789"/>
    <w:rsid w:val="00500267"/>
    <w:rsid w:val="00501887"/>
    <w:rsid w:val="005053AD"/>
    <w:rsid w:val="00507D1B"/>
    <w:rsid w:val="00511587"/>
    <w:rsid w:val="005124CD"/>
    <w:rsid w:val="00517F57"/>
    <w:rsid w:val="005202CD"/>
    <w:rsid w:val="005221A9"/>
    <w:rsid w:val="00523174"/>
    <w:rsid w:val="00540394"/>
    <w:rsid w:val="0055200D"/>
    <w:rsid w:val="005570F7"/>
    <w:rsid w:val="0056086D"/>
    <w:rsid w:val="00560E22"/>
    <w:rsid w:val="005651AD"/>
    <w:rsid w:val="00566DCA"/>
    <w:rsid w:val="00573592"/>
    <w:rsid w:val="00574ABE"/>
    <w:rsid w:val="005805D7"/>
    <w:rsid w:val="00582156"/>
    <w:rsid w:val="0059171D"/>
    <w:rsid w:val="005960E3"/>
    <w:rsid w:val="005A00AD"/>
    <w:rsid w:val="005A5A4F"/>
    <w:rsid w:val="005A718C"/>
    <w:rsid w:val="005A7CD2"/>
    <w:rsid w:val="005A7F22"/>
    <w:rsid w:val="005B23BF"/>
    <w:rsid w:val="005C31B8"/>
    <w:rsid w:val="005C60EC"/>
    <w:rsid w:val="005C6377"/>
    <w:rsid w:val="005C6C64"/>
    <w:rsid w:val="005D10B5"/>
    <w:rsid w:val="005D1B2A"/>
    <w:rsid w:val="005D4DD7"/>
    <w:rsid w:val="005E0147"/>
    <w:rsid w:val="005E2828"/>
    <w:rsid w:val="005E437C"/>
    <w:rsid w:val="005E4AF4"/>
    <w:rsid w:val="005E6241"/>
    <w:rsid w:val="005E6A73"/>
    <w:rsid w:val="005F00B9"/>
    <w:rsid w:val="005F119C"/>
    <w:rsid w:val="0060064E"/>
    <w:rsid w:val="0060111E"/>
    <w:rsid w:val="00610C05"/>
    <w:rsid w:val="00613FB3"/>
    <w:rsid w:val="0061573D"/>
    <w:rsid w:val="00620085"/>
    <w:rsid w:val="00620535"/>
    <w:rsid w:val="00620D41"/>
    <w:rsid w:val="00622DB5"/>
    <w:rsid w:val="00635AA5"/>
    <w:rsid w:val="00636B71"/>
    <w:rsid w:val="006376D4"/>
    <w:rsid w:val="00637A08"/>
    <w:rsid w:val="00643E46"/>
    <w:rsid w:val="00644DB1"/>
    <w:rsid w:val="006545E6"/>
    <w:rsid w:val="00660176"/>
    <w:rsid w:val="006608EF"/>
    <w:rsid w:val="00660FB2"/>
    <w:rsid w:val="0066134F"/>
    <w:rsid w:val="00666EED"/>
    <w:rsid w:val="00672DBA"/>
    <w:rsid w:val="00681620"/>
    <w:rsid w:val="00684AA0"/>
    <w:rsid w:val="00684EEC"/>
    <w:rsid w:val="006862D7"/>
    <w:rsid w:val="00686781"/>
    <w:rsid w:val="00692022"/>
    <w:rsid w:val="00693801"/>
    <w:rsid w:val="00695C56"/>
    <w:rsid w:val="006976D5"/>
    <w:rsid w:val="00697ABD"/>
    <w:rsid w:val="006A3713"/>
    <w:rsid w:val="006A383B"/>
    <w:rsid w:val="006A731D"/>
    <w:rsid w:val="006A758F"/>
    <w:rsid w:val="006B4886"/>
    <w:rsid w:val="006B64D7"/>
    <w:rsid w:val="006B6F64"/>
    <w:rsid w:val="006C2B2A"/>
    <w:rsid w:val="006C7096"/>
    <w:rsid w:val="006D07A9"/>
    <w:rsid w:val="006D3232"/>
    <w:rsid w:val="006D474B"/>
    <w:rsid w:val="006E3372"/>
    <w:rsid w:val="006E40B8"/>
    <w:rsid w:val="006E4584"/>
    <w:rsid w:val="006E4958"/>
    <w:rsid w:val="006F1841"/>
    <w:rsid w:val="006F1DCE"/>
    <w:rsid w:val="006F217C"/>
    <w:rsid w:val="006F2345"/>
    <w:rsid w:val="006F3ADA"/>
    <w:rsid w:val="0070114B"/>
    <w:rsid w:val="0070429D"/>
    <w:rsid w:val="00707CA4"/>
    <w:rsid w:val="007113CE"/>
    <w:rsid w:val="00717CD9"/>
    <w:rsid w:val="00720970"/>
    <w:rsid w:val="007215B4"/>
    <w:rsid w:val="00723C03"/>
    <w:rsid w:val="00725400"/>
    <w:rsid w:val="0073357C"/>
    <w:rsid w:val="007350A9"/>
    <w:rsid w:val="007354E5"/>
    <w:rsid w:val="0075257E"/>
    <w:rsid w:val="00756647"/>
    <w:rsid w:val="00772BEC"/>
    <w:rsid w:val="00785DBA"/>
    <w:rsid w:val="00787D22"/>
    <w:rsid w:val="00796831"/>
    <w:rsid w:val="00796ECC"/>
    <w:rsid w:val="007A2EB7"/>
    <w:rsid w:val="007A5385"/>
    <w:rsid w:val="007A56AE"/>
    <w:rsid w:val="007B1E32"/>
    <w:rsid w:val="007C470C"/>
    <w:rsid w:val="007C6687"/>
    <w:rsid w:val="007C6CD6"/>
    <w:rsid w:val="007C7771"/>
    <w:rsid w:val="007D687E"/>
    <w:rsid w:val="007E2CFF"/>
    <w:rsid w:val="007E630E"/>
    <w:rsid w:val="007F098B"/>
    <w:rsid w:val="007F5490"/>
    <w:rsid w:val="007F7554"/>
    <w:rsid w:val="00800195"/>
    <w:rsid w:val="0081217E"/>
    <w:rsid w:val="008133AC"/>
    <w:rsid w:val="00814703"/>
    <w:rsid w:val="00821AC5"/>
    <w:rsid w:val="00827A25"/>
    <w:rsid w:val="00830857"/>
    <w:rsid w:val="008341A1"/>
    <w:rsid w:val="00835002"/>
    <w:rsid w:val="00841FAF"/>
    <w:rsid w:val="00844076"/>
    <w:rsid w:val="00845AF2"/>
    <w:rsid w:val="008464BD"/>
    <w:rsid w:val="00846841"/>
    <w:rsid w:val="008471FF"/>
    <w:rsid w:val="0085473F"/>
    <w:rsid w:val="0085602B"/>
    <w:rsid w:val="0085650D"/>
    <w:rsid w:val="0086140A"/>
    <w:rsid w:val="00864F86"/>
    <w:rsid w:val="008663E3"/>
    <w:rsid w:val="00873EC6"/>
    <w:rsid w:val="0087572D"/>
    <w:rsid w:val="008800FA"/>
    <w:rsid w:val="00881DE5"/>
    <w:rsid w:val="0088549A"/>
    <w:rsid w:val="00890E53"/>
    <w:rsid w:val="008A0EA3"/>
    <w:rsid w:val="008A1755"/>
    <w:rsid w:val="008A35AD"/>
    <w:rsid w:val="008A7AEA"/>
    <w:rsid w:val="008B0B7B"/>
    <w:rsid w:val="008B1E10"/>
    <w:rsid w:val="008B3CB5"/>
    <w:rsid w:val="008B6215"/>
    <w:rsid w:val="008C166A"/>
    <w:rsid w:val="008C1BA7"/>
    <w:rsid w:val="008D3727"/>
    <w:rsid w:val="008D4EB8"/>
    <w:rsid w:val="008D730F"/>
    <w:rsid w:val="008E2B2C"/>
    <w:rsid w:val="008F1220"/>
    <w:rsid w:val="008F31CE"/>
    <w:rsid w:val="008F35FF"/>
    <w:rsid w:val="00900A43"/>
    <w:rsid w:val="00902714"/>
    <w:rsid w:val="009041EE"/>
    <w:rsid w:val="009059BC"/>
    <w:rsid w:val="009064F8"/>
    <w:rsid w:val="00912A5D"/>
    <w:rsid w:val="009135E9"/>
    <w:rsid w:val="00913A80"/>
    <w:rsid w:val="009204D8"/>
    <w:rsid w:val="00920F2E"/>
    <w:rsid w:val="009304A6"/>
    <w:rsid w:val="0093434A"/>
    <w:rsid w:val="00934C85"/>
    <w:rsid w:val="0094082F"/>
    <w:rsid w:val="00940EA0"/>
    <w:rsid w:val="009416F9"/>
    <w:rsid w:val="009422FA"/>
    <w:rsid w:val="00944058"/>
    <w:rsid w:val="00944164"/>
    <w:rsid w:val="00945502"/>
    <w:rsid w:val="0095260A"/>
    <w:rsid w:val="00953852"/>
    <w:rsid w:val="009556F3"/>
    <w:rsid w:val="00956896"/>
    <w:rsid w:val="00957B68"/>
    <w:rsid w:val="00957C93"/>
    <w:rsid w:val="00961895"/>
    <w:rsid w:val="00962B6E"/>
    <w:rsid w:val="00964B18"/>
    <w:rsid w:val="00966FB7"/>
    <w:rsid w:val="00970096"/>
    <w:rsid w:val="00970ADC"/>
    <w:rsid w:val="00970C4D"/>
    <w:rsid w:val="00972E7F"/>
    <w:rsid w:val="00974EE0"/>
    <w:rsid w:val="00976595"/>
    <w:rsid w:val="00976E3A"/>
    <w:rsid w:val="00977599"/>
    <w:rsid w:val="00991A70"/>
    <w:rsid w:val="00992F49"/>
    <w:rsid w:val="009A49F4"/>
    <w:rsid w:val="009A5BB1"/>
    <w:rsid w:val="009B0C0D"/>
    <w:rsid w:val="009B1677"/>
    <w:rsid w:val="009B305C"/>
    <w:rsid w:val="009B31CE"/>
    <w:rsid w:val="009B703D"/>
    <w:rsid w:val="009C1369"/>
    <w:rsid w:val="009C6DDC"/>
    <w:rsid w:val="009C7EBF"/>
    <w:rsid w:val="009D1ABD"/>
    <w:rsid w:val="009D50A7"/>
    <w:rsid w:val="009D56DB"/>
    <w:rsid w:val="009D6F4D"/>
    <w:rsid w:val="009D7780"/>
    <w:rsid w:val="009E09BB"/>
    <w:rsid w:val="009E2F4F"/>
    <w:rsid w:val="009F6289"/>
    <w:rsid w:val="00A01102"/>
    <w:rsid w:val="00A06863"/>
    <w:rsid w:val="00A10458"/>
    <w:rsid w:val="00A11B24"/>
    <w:rsid w:val="00A14A69"/>
    <w:rsid w:val="00A20657"/>
    <w:rsid w:val="00A2217E"/>
    <w:rsid w:val="00A2565B"/>
    <w:rsid w:val="00A25E10"/>
    <w:rsid w:val="00A260BC"/>
    <w:rsid w:val="00A30458"/>
    <w:rsid w:val="00A30574"/>
    <w:rsid w:val="00A31AFB"/>
    <w:rsid w:val="00A33D6C"/>
    <w:rsid w:val="00A3502E"/>
    <w:rsid w:val="00A4200F"/>
    <w:rsid w:val="00A47BF5"/>
    <w:rsid w:val="00A56612"/>
    <w:rsid w:val="00A62FCE"/>
    <w:rsid w:val="00A631F9"/>
    <w:rsid w:val="00A67B0F"/>
    <w:rsid w:val="00A67C63"/>
    <w:rsid w:val="00A72849"/>
    <w:rsid w:val="00A80BCD"/>
    <w:rsid w:val="00A81C29"/>
    <w:rsid w:val="00A82DB4"/>
    <w:rsid w:val="00A831C5"/>
    <w:rsid w:val="00A83912"/>
    <w:rsid w:val="00A8419A"/>
    <w:rsid w:val="00A8783E"/>
    <w:rsid w:val="00A9190B"/>
    <w:rsid w:val="00A95C0D"/>
    <w:rsid w:val="00AA7B50"/>
    <w:rsid w:val="00AB1C78"/>
    <w:rsid w:val="00AB2BE2"/>
    <w:rsid w:val="00AB6DA0"/>
    <w:rsid w:val="00AC36BB"/>
    <w:rsid w:val="00AC4E02"/>
    <w:rsid w:val="00AC57A8"/>
    <w:rsid w:val="00AD1BF9"/>
    <w:rsid w:val="00AD4063"/>
    <w:rsid w:val="00AD41EA"/>
    <w:rsid w:val="00AE04F8"/>
    <w:rsid w:val="00AE2781"/>
    <w:rsid w:val="00AE2A6C"/>
    <w:rsid w:val="00AE3B79"/>
    <w:rsid w:val="00AE43E6"/>
    <w:rsid w:val="00AE5892"/>
    <w:rsid w:val="00AE58D2"/>
    <w:rsid w:val="00AE5E4B"/>
    <w:rsid w:val="00AE7E67"/>
    <w:rsid w:val="00AF006A"/>
    <w:rsid w:val="00AF6FE3"/>
    <w:rsid w:val="00B02E67"/>
    <w:rsid w:val="00B057D7"/>
    <w:rsid w:val="00B06C60"/>
    <w:rsid w:val="00B10812"/>
    <w:rsid w:val="00B12333"/>
    <w:rsid w:val="00B14677"/>
    <w:rsid w:val="00B21D3B"/>
    <w:rsid w:val="00B26199"/>
    <w:rsid w:val="00B328F0"/>
    <w:rsid w:val="00B33CBE"/>
    <w:rsid w:val="00B35C02"/>
    <w:rsid w:val="00B40B63"/>
    <w:rsid w:val="00B433D4"/>
    <w:rsid w:val="00B43CF1"/>
    <w:rsid w:val="00B45CA4"/>
    <w:rsid w:val="00B47720"/>
    <w:rsid w:val="00B64005"/>
    <w:rsid w:val="00B67530"/>
    <w:rsid w:val="00B73AD7"/>
    <w:rsid w:val="00B76318"/>
    <w:rsid w:val="00B773B9"/>
    <w:rsid w:val="00B87200"/>
    <w:rsid w:val="00B95F28"/>
    <w:rsid w:val="00B964F4"/>
    <w:rsid w:val="00BA0567"/>
    <w:rsid w:val="00BA2E88"/>
    <w:rsid w:val="00BA383B"/>
    <w:rsid w:val="00BA6977"/>
    <w:rsid w:val="00BB42AD"/>
    <w:rsid w:val="00BB4417"/>
    <w:rsid w:val="00BB59FA"/>
    <w:rsid w:val="00BB5A81"/>
    <w:rsid w:val="00BB7A4B"/>
    <w:rsid w:val="00BC05E1"/>
    <w:rsid w:val="00BC2F91"/>
    <w:rsid w:val="00BD1DCF"/>
    <w:rsid w:val="00BD3DE1"/>
    <w:rsid w:val="00BE3480"/>
    <w:rsid w:val="00BF23B8"/>
    <w:rsid w:val="00C00118"/>
    <w:rsid w:val="00C05EF1"/>
    <w:rsid w:val="00C06ECA"/>
    <w:rsid w:val="00C154B3"/>
    <w:rsid w:val="00C161E9"/>
    <w:rsid w:val="00C1743E"/>
    <w:rsid w:val="00C1745E"/>
    <w:rsid w:val="00C20BC1"/>
    <w:rsid w:val="00C2117F"/>
    <w:rsid w:val="00C213DB"/>
    <w:rsid w:val="00C216F9"/>
    <w:rsid w:val="00C223E6"/>
    <w:rsid w:val="00C228A9"/>
    <w:rsid w:val="00C25DE0"/>
    <w:rsid w:val="00C30222"/>
    <w:rsid w:val="00C33C3E"/>
    <w:rsid w:val="00C340EC"/>
    <w:rsid w:val="00C3603B"/>
    <w:rsid w:val="00C37891"/>
    <w:rsid w:val="00C4236C"/>
    <w:rsid w:val="00C43243"/>
    <w:rsid w:val="00C4359B"/>
    <w:rsid w:val="00C44487"/>
    <w:rsid w:val="00C55612"/>
    <w:rsid w:val="00C574AF"/>
    <w:rsid w:val="00C6347A"/>
    <w:rsid w:val="00C649F4"/>
    <w:rsid w:val="00C65950"/>
    <w:rsid w:val="00C7051A"/>
    <w:rsid w:val="00C7054A"/>
    <w:rsid w:val="00C72F97"/>
    <w:rsid w:val="00C75B93"/>
    <w:rsid w:val="00C836E6"/>
    <w:rsid w:val="00C83779"/>
    <w:rsid w:val="00C85CA0"/>
    <w:rsid w:val="00C87FB2"/>
    <w:rsid w:val="00C90EF9"/>
    <w:rsid w:val="00C953E2"/>
    <w:rsid w:val="00C9544E"/>
    <w:rsid w:val="00CA37B2"/>
    <w:rsid w:val="00CA4B33"/>
    <w:rsid w:val="00CA6688"/>
    <w:rsid w:val="00CA692C"/>
    <w:rsid w:val="00CB24C5"/>
    <w:rsid w:val="00CB61D6"/>
    <w:rsid w:val="00CB6CF5"/>
    <w:rsid w:val="00CB7D6D"/>
    <w:rsid w:val="00CC08D2"/>
    <w:rsid w:val="00CC4736"/>
    <w:rsid w:val="00CC7405"/>
    <w:rsid w:val="00CD0E06"/>
    <w:rsid w:val="00CD4D3E"/>
    <w:rsid w:val="00CE1647"/>
    <w:rsid w:val="00CE2E4C"/>
    <w:rsid w:val="00CE5567"/>
    <w:rsid w:val="00CE6FA0"/>
    <w:rsid w:val="00CF029E"/>
    <w:rsid w:val="00CF1770"/>
    <w:rsid w:val="00CF4A84"/>
    <w:rsid w:val="00D07BB5"/>
    <w:rsid w:val="00D1166B"/>
    <w:rsid w:val="00D16726"/>
    <w:rsid w:val="00D20525"/>
    <w:rsid w:val="00D21BD3"/>
    <w:rsid w:val="00D25865"/>
    <w:rsid w:val="00D30598"/>
    <w:rsid w:val="00D30972"/>
    <w:rsid w:val="00D32725"/>
    <w:rsid w:val="00D34AB0"/>
    <w:rsid w:val="00D351EE"/>
    <w:rsid w:val="00D3572F"/>
    <w:rsid w:val="00D36DC4"/>
    <w:rsid w:val="00D409E8"/>
    <w:rsid w:val="00D409F7"/>
    <w:rsid w:val="00D41588"/>
    <w:rsid w:val="00D42E54"/>
    <w:rsid w:val="00D43F87"/>
    <w:rsid w:val="00D4777C"/>
    <w:rsid w:val="00D60FAE"/>
    <w:rsid w:val="00D6140B"/>
    <w:rsid w:val="00D6279E"/>
    <w:rsid w:val="00D63E6C"/>
    <w:rsid w:val="00D651F0"/>
    <w:rsid w:val="00D66B30"/>
    <w:rsid w:val="00D679D5"/>
    <w:rsid w:val="00D758F1"/>
    <w:rsid w:val="00D853E0"/>
    <w:rsid w:val="00D95B08"/>
    <w:rsid w:val="00DA2DE3"/>
    <w:rsid w:val="00DA4098"/>
    <w:rsid w:val="00DA52BE"/>
    <w:rsid w:val="00DA5492"/>
    <w:rsid w:val="00DB0E93"/>
    <w:rsid w:val="00DB1116"/>
    <w:rsid w:val="00DB27CC"/>
    <w:rsid w:val="00DB3CB9"/>
    <w:rsid w:val="00DB4872"/>
    <w:rsid w:val="00DC1803"/>
    <w:rsid w:val="00DC65FC"/>
    <w:rsid w:val="00DC7987"/>
    <w:rsid w:val="00DD6C1E"/>
    <w:rsid w:val="00DE0433"/>
    <w:rsid w:val="00DE3097"/>
    <w:rsid w:val="00DE5CCB"/>
    <w:rsid w:val="00DE7CF7"/>
    <w:rsid w:val="00DF2708"/>
    <w:rsid w:val="00DF52A5"/>
    <w:rsid w:val="00DF7F0A"/>
    <w:rsid w:val="00E0346A"/>
    <w:rsid w:val="00E12336"/>
    <w:rsid w:val="00E13B90"/>
    <w:rsid w:val="00E17F9E"/>
    <w:rsid w:val="00E21F25"/>
    <w:rsid w:val="00E22CE0"/>
    <w:rsid w:val="00E27800"/>
    <w:rsid w:val="00E33E99"/>
    <w:rsid w:val="00E3621B"/>
    <w:rsid w:val="00E5522E"/>
    <w:rsid w:val="00E617A2"/>
    <w:rsid w:val="00E64B5E"/>
    <w:rsid w:val="00E66DE2"/>
    <w:rsid w:val="00E73B8A"/>
    <w:rsid w:val="00E807BB"/>
    <w:rsid w:val="00E824CD"/>
    <w:rsid w:val="00E84320"/>
    <w:rsid w:val="00E84750"/>
    <w:rsid w:val="00E85E59"/>
    <w:rsid w:val="00E861EB"/>
    <w:rsid w:val="00E873CE"/>
    <w:rsid w:val="00E91A3F"/>
    <w:rsid w:val="00E96F6D"/>
    <w:rsid w:val="00E978F2"/>
    <w:rsid w:val="00EA058E"/>
    <w:rsid w:val="00EA2AF2"/>
    <w:rsid w:val="00EA76DF"/>
    <w:rsid w:val="00EA790F"/>
    <w:rsid w:val="00EB1277"/>
    <w:rsid w:val="00EB210A"/>
    <w:rsid w:val="00EB3BBE"/>
    <w:rsid w:val="00EB6B4D"/>
    <w:rsid w:val="00EC1137"/>
    <w:rsid w:val="00EC1FD6"/>
    <w:rsid w:val="00EC41EE"/>
    <w:rsid w:val="00EC47ED"/>
    <w:rsid w:val="00EC7798"/>
    <w:rsid w:val="00EC77E5"/>
    <w:rsid w:val="00EC7A65"/>
    <w:rsid w:val="00ED0402"/>
    <w:rsid w:val="00ED521F"/>
    <w:rsid w:val="00EE0508"/>
    <w:rsid w:val="00EE1C0D"/>
    <w:rsid w:val="00EE6078"/>
    <w:rsid w:val="00EF4369"/>
    <w:rsid w:val="00EF540F"/>
    <w:rsid w:val="00EF5503"/>
    <w:rsid w:val="00EF7005"/>
    <w:rsid w:val="00F003E0"/>
    <w:rsid w:val="00F0088A"/>
    <w:rsid w:val="00F00F98"/>
    <w:rsid w:val="00F01570"/>
    <w:rsid w:val="00F03E2F"/>
    <w:rsid w:val="00F0475E"/>
    <w:rsid w:val="00F0576B"/>
    <w:rsid w:val="00F0750A"/>
    <w:rsid w:val="00F128E0"/>
    <w:rsid w:val="00F16A64"/>
    <w:rsid w:val="00F203B2"/>
    <w:rsid w:val="00F22AAB"/>
    <w:rsid w:val="00F322E6"/>
    <w:rsid w:val="00F33A62"/>
    <w:rsid w:val="00F40B7D"/>
    <w:rsid w:val="00F410F8"/>
    <w:rsid w:val="00F44017"/>
    <w:rsid w:val="00F44230"/>
    <w:rsid w:val="00F45647"/>
    <w:rsid w:val="00F626CA"/>
    <w:rsid w:val="00F64392"/>
    <w:rsid w:val="00F66585"/>
    <w:rsid w:val="00F75A6F"/>
    <w:rsid w:val="00F82C2D"/>
    <w:rsid w:val="00F84CCA"/>
    <w:rsid w:val="00F87632"/>
    <w:rsid w:val="00F91AD6"/>
    <w:rsid w:val="00F93DE6"/>
    <w:rsid w:val="00F97137"/>
    <w:rsid w:val="00F9720A"/>
    <w:rsid w:val="00FA190D"/>
    <w:rsid w:val="00FA62A5"/>
    <w:rsid w:val="00FA6C00"/>
    <w:rsid w:val="00FB4331"/>
    <w:rsid w:val="00FB4409"/>
    <w:rsid w:val="00FC1B0A"/>
    <w:rsid w:val="00FC3852"/>
    <w:rsid w:val="00FC5072"/>
    <w:rsid w:val="00FC66B6"/>
    <w:rsid w:val="00FD331C"/>
    <w:rsid w:val="00FD4690"/>
    <w:rsid w:val="00FE07E0"/>
    <w:rsid w:val="00FF0771"/>
    <w:rsid w:val="00FF0B59"/>
    <w:rsid w:val="00FF60BD"/>
    <w:rsid w:val="00FF6BA5"/>
    <w:rsid w:val="00FF715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7BC68"/>
  <w14:defaultImageDpi w14:val="300"/>
  <w15:docId w15:val="{A4052D38-BAF8-8749-A5A2-E76C2D5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FE3"/>
    <w:rPr>
      <w:rFonts w:ascii="Heiti SC Light" w:eastAsia="Heiti SC Light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F6FE3"/>
    <w:rPr>
      <w:rFonts w:ascii="Heiti SC Light" w:eastAsia="Heiti SC Light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59171D"/>
    <w:rPr>
      <w:rFonts w:ascii="Cambria" w:eastAsia="宋体" w:hAnsi="Cambria" w:cs="Times New Roman"/>
    </w:rPr>
  </w:style>
  <w:style w:type="paragraph" w:styleId="a6">
    <w:name w:val="footer"/>
    <w:basedOn w:val="a"/>
    <w:link w:val="a7"/>
    <w:uiPriority w:val="99"/>
    <w:unhideWhenUsed/>
    <w:rsid w:val="000B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544A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0B544A"/>
  </w:style>
  <w:style w:type="character" w:styleId="a9">
    <w:name w:val="FollowedHyperlink"/>
    <w:basedOn w:val="a0"/>
    <w:uiPriority w:val="99"/>
    <w:semiHidden/>
    <w:unhideWhenUsed/>
    <w:rsid w:val="00116AEC"/>
    <w:rPr>
      <w:color w:val="800080"/>
      <w:u w:val="single"/>
    </w:rPr>
  </w:style>
  <w:style w:type="paragraph" w:customStyle="1" w:styleId="font5">
    <w:name w:val="font5"/>
    <w:basedOn w:val="a"/>
    <w:rsid w:val="00116AEC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xl64">
    <w:name w:val="xl64"/>
    <w:basedOn w:val="a"/>
    <w:rsid w:val="00116AEC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DD0806"/>
      <w:kern w:val="0"/>
      <w:sz w:val="20"/>
      <w:szCs w:val="20"/>
    </w:rPr>
  </w:style>
  <w:style w:type="paragraph" w:customStyle="1" w:styleId="xl65">
    <w:name w:val="xl65"/>
    <w:basedOn w:val="a"/>
    <w:rsid w:val="00116AEC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116AEC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DD0806"/>
      <w:kern w:val="0"/>
      <w:sz w:val="20"/>
      <w:szCs w:val="20"/>
    </w:rPr>
  </w:style>
  <w:style w:type="paragraph" w:customStyle="1" w:styleId="xl69">
    <w:name w:val="xl69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DD0806"/>
      <w:kern w:val="0"/>
      <w:sz w:val="20"/>
      <w:szCs w:val="20"/>
    </w:rPr>
  </w:style>
  <w:style w:type="paragraph" w:customStyle="1" w:styleId="xl71">
    <w:name w:val="xl71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D4"/>
      <w:kern w:val="0"/>
      <w:sz w:val="20"/>
      <w:szCs w:val="20"/>
    </w:rPr>
  </w:style>
  <w:style w:type="paragraph" w:customStyle="1" w:styleId="xl72">
    <w:name w:val="xl72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F20884"/>
      <w:kern w:val="0"/>
      <w:sz w:val="20"/>
      <w:szCs w:val="20"/>
    </w:rPr>
  </w:style>
  <w:style w:type="paragraph" w:customStyle="1" w:styleId="xl73">
    <w:name w:val="xl73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1FB714"/>
      <w:kern w:val="0"/>
      <w:sz w:val="20"/>
      <w:szCs w:val="20"/>
    </w:rPr>
  </w:style>
  <w:style w:type="paragraph" w:customStyle="1" w:styleId="xl74">
    <w:name w:val="xl74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FF9900"/>
      <w:kern w:val="0"/>
      <w:sz w:val="20"/>
      <w:szCs w:val="20"/>
    </w:rPr>
  </w:style>
  <w:style w:type="paragraph" w:customStyle="1" w:styleId="xl75">
    <w:name w:val="xl75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00ABEA"/>
      <w:kern w:val="0"/>
      <w:sz w:val="20"/>
      <w:szCs w:val="20"/>
    </w:rPr>
  </w:style>
  <w:style w:type="paragraph" w:customStyle="1" w:styleId="xl76">
    <w:name w:val="xl76"/>
    <w:basedOn w:val="a"/>
    <w:rsid w:val="00116AEC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7C6CD6"/>
    <w:pPr>
      <w:jc w:val="center"/>
    </w:pPr>
    <w:rPr>
      <w:rFonts w:ascii="Cambria" w:hAnsi="Cambria"/>
    </w:rPr>
  </w:style>
  <w:style w:type="character" w:customStyle="1" w:styleId="EndNoteBibliographyTitle0">
    <w:name w:val="EndNote Bibliography Title 字符"/>
    <w:basedOn w:val="a0"/>
    <w:link w:val="EndNoteBibliographyTitle"/>
    <w:rsid w:val="007C6CD6"/>
    <w:rPr>
      <w:rFonts w:ascii="Cambria" w:hAnsi="Cambria"/>
    </w:rPr>
  </w:style>
  <w:style w:type="character" w:styleId="aa">
    <w:name w:val="Unresolved Mention"/>
    <w:basedOn w:val="a0"/>
    <w:uiPriority w:val="99"/>
    <w:semiHidden/>
    <w:unhideWhenUsed/>
    <w:rsid w:val="007C6CD6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a0"/>
    <w:link w:val="EndNoteBibliography"/>
    <w:rsid w:val="00A56612"/>
    <w:rPr>
      <w:rFonts w:ascii="Cambria" w:eastAsia="宋体" w:hAnsi="Cambria" w:cs="Times New Roman"/>
    </w:rPr>
  </w:style>
  <w:style w:type="paragraph" w:styleId="ab">
    <w:name w:val="List Paragraph"/>
    <w:basedOn w:val="a"/>
    <w:uiPriority w:val="34"/>
    <w:qFormat/>
    <w:rsid w:val="00AE5E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hyb</cp:lastModifiedBy>
  <cp:revision>451</cp:revision>
  <dcterms:created xsi:type="dcterms:W3CDTF">2021-04-21T02:01:00Z</dcterms:created>
  <dcterms:modified xsi:type="dcterms:W3CDTF">2021-11-30T09:28:00Z</dcterms:modified>
</cp:coreProperties>
</file>