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923088" w14:textId="2B4C8751" w:rsidR="00F92892" w:rsidRPr="005E144B" w:rsidRDefault="00F92892" w:rsidP="00F92892">
      <w:pPr>
        <w:pStyle w:val="Heading1"/>
        <w:rPr>
          <w:rFonts w:ascii="Arial" w:hAnsi="Arial" w:cs="Arial"/>
          <w:sz w:val="22"/>
        </w:rPr>
      </w:pPr>
      <w:r w:rsidRPr="005E144B">
        <w:rPr>
          <w:rFonts w:ascii="Arial" w:hAnsi="Arial" w:cs="Arial"/>
          <w:shd w:val="clear" w:color="auto" w:fill="FFFFFF"/>
        </w:rPr>
        <w:t>Supplementary materials</w:t>
      </w:r>
    </w:p>
    <w:p w14:paraId="17258E65" w14:textId="2396F20D" w:rsidR="004423F4" w:rsidRPr="005E144B" w:rsidRDefault="004423F4" w:rsidP="0064338C">
      <w:pPr>
        <w:pStyle w:val="Heading2"/>
        <w:adjustRightInd w:val="0"/>
        <w:snapToGrid w:val="0"/>
        <w:spacing w:beforeLines="50" w:before="156" w:afterLines="50" w:after="156" w:line="288" w:lineRule="auto"/>
        <w:rPr>
          <w:rFonts w:ascii="Arial" w:hAnsi="Arial" w:cs="Arial"/>
        </w:rPr>
      </w:pPr>
      <w:r w:rsidRPr="005E144B">
        <w:rPr>
          <w:rFonts w:ascii="Arial" w:hAnsi="Arial" w:cs="Arial"/>
        </w:rPr>
        <w:t xml:space="preserve">Figure legends </w:t>
      </w:r>
      <w:r w:rsidRPr="005E144B">
        <w:rPr>
          <w:rFonts w:ascii="Arial" w:hAnsi="Arial" w:cs="Arial" w:hint="eastAsia"/>
        </w:rPr>
        <w:t>for</w:t>
      </w:r>
      <w:r w:rsidRPr="005E144B">
        <w:rPr>
          <w:rFonts w:ascii="Arial" w:hAnsi="Arial" w:cs="Arial"/>
        </w:rPr>
        <w:t xml:space="preserve"> </w:t>
      </w:r>
      <w:r w:rsidR="0064338C" w:rsidRPr="005E144B">
        <w:rPr>
          <w:rFonts w:ascii="Arial" w:hAnsi="Arial" w:cs="Arial"/>
        </w:rPr>
        <w:t>supplemental figures</w:t>
      </w:r>
    </w:p>
    <w:p w14:paraId="605C8D63" w14:textId="77777777" w:rsidR="004423F4" w:rsidRPr="005E144B" w:rsidRDefault="004423F4" w:rsidP="004423F4">
      <w:pPr>
        <w:adjustRightInd w:val="0"/>
        <w:snapToGrid w:val="0"/>
        <w:spacing w:beforeLines="50" w:before="156" w:afterLines="50" w:after="156" w:line="288" w:lineRule="auto"/>
        <w:rPr>
          <w:rFonts w:ascii="Arial" w:hAnsi="Arial" w:cs="Arial"/>
          <w:sz w:val="22"/>
        </w:rPr>
      </w:pPr>
      <w:r w:rsidRPr="005E144B">
        <w:rPr>
          <w:rFonts w:ascii="Arial" w:hAnsi="Arial" w:cs="Arial"/>
          <w:b/>
          <w:bCs/>
          <w:sz w:val="22"/>
        </w:rPr>
        <w:t>Figure S1. Basic characteristics of the integrated dataset and selected markers of cell subtypes.</w:t>
      </w:r>
    </w:p>
    <w:p w14:paraId="59A90739" w14:textId="77777777" w:rsidR="004423F4" w:rsidRPr="005E144B" w:rsidRDefault="004423F4" w:rsidP="004423F4">
      <w:pPr>
        <w:adjustRightInd w:val="0"/>
        <w:snapToGrid w:val="0"/>
        <w:spacing w:beforeLines="50" w:before="156" w:afterLines="50" w:after="156" w:line="288" w:lineRule="auto"/>
        <w:rPr>
          <w:rFonts w:ascii="Arial" w:hAnsi="Arial" w:cs="Arial"/>
          <w:sz w:val="22"/>
        </w:rPr>
      </w:pPr>
      <w:r w:rsidRPr="005E144B">
        <w:rPr>
          <w:rFonts w:ascii="Arial" w:hAnsi="Arial" w:cs="Arial"/>
          <w:sz w:val="22"/>
        </w:rPr>
        <w:t xml:space="preserve">(A-B) Heatmaps of marker genes (bottom row) for multiple cell subpopulations. The left column and upper row present the cell subtypes identified based on combinations of marker genes. </w:t>
      </w:r>
    </w:p>
    <w:p w14:paraId="44870400" w14:textId="77777777" w:rsidR="004423F4" w:rsidRPr="005E144B" w:rsidRDefault="004423F4" w:rsidP="004423F4">
      <w:pPr>
        <w:adjustRightInd w:val="0"/>
        <w:snapToGrid w:val="0"/>
        <w:spacing w:beforeLines="50" w:before="156" w:afterLines="50" w:after="156" w:line="288" w:lineRule="auto"/>
        <w:rPr>
          <w:rFonts w:ascii="Arial" w:hAnsi="Arial" w:cs="Arial"/>
          <w:sz w:val="22"/>
        </w:rPr>
      </w:pPr>
      <w:r w:rsidRPr="005E144B">
        <w:rPr>
          <w:rFonts w:ascii="Arial" w:hAnsi="Arial" w:cs="Arial"/>
          <w:sz w:val="22"/>
        </w:rPr>
        <w:t>(C) Boxplots depicting percentages of all cell types in PBMC cells, colored by group-specific color. T test with healthy, *p &lt; 0.05, **p &lt; 0.01, ***p &lt; 0.001, ****p &lt; 0.0001.</w:t>
      </w:r>
    </w:p>
    <w:p w14:paraId="6F8870CE" w14:textId="4232B25D" w:rsidR="004423F4" w:rsidRPr="005E144B" w:rsidRDefault="004423F4" w:rsidP="001837D9">
      <w:pPr>
        <w:adjustRightInd w:val="0"/>
        <w:snapToGrid w:val="0"/>
        <w:spacing w:beforeLines="50" w:before="156" w:afterLines="50" w:after="156" w:line="288" w:lineRule="auto"/>
        <w:rPr>
          <w:rFonts w:ascii="Arial" w:hAnsi="Arial" w:cs="Arial"/>
          <w:sz w:val="22"/>
        </w:rPr>
      </w:pPr>
    </w:p>
    <w:p w14:paraId="2243FA6E" w14:textId="77777777" w:rsidR="0064338C" w:rsidRPr="005E144B" w:rsidRDefault="0064338C" w:rsidP="0064338C">
      <w:pPr>
        <w:adjustRightInd w:val="0"/>
        <w:snapToGrid w:val="0"/>
        <w:spacing w:beforeLines="50" w:before="156" w:afterLines="50" w:after="156" w:line="288" w:lineRule="auto"/>
        <w:rPr>
          <w:rFonts w:ascii="Arial" w:hAnsi="Arial" w:cs="Arial"/>
          <w:sz w:val="22"/>
        </w:rPr>
      </w:pPr>
      <w:r w:rsidRPr="005E144B">
        <w:rPr>
          <w:rFonts w:ascii="Arial" w:hAnsi="Arial" w:cs="Arial"/>
          <w:b/>
          <w:bCs/>
          <w:sz w:val="22"/>
        </w:rPr>
        <w:t>Figure S2. The cytokine score, ISG score and multivariate correlation analysis of subtypes.</w:t>
      </w:r>
    </w:p>
    <w:p w14:paraId="24EB0DF4" w14:textId="21E67DD1" w:rsidR="0064338C" w:rsidRPr="005E144B" w:rsidRDefault="0064338C" w:rsidP="0064338C">
      <w:pPr>
        <w:adjustRightInd w:val="0"/>
        <w:snapToGrid w:val="0"/>
        <w:spacing w:beforeLines="50" w:before="156" w:afterLines="50" w:after="156" w:line="288" w:lineRule="auto"/>
        <w:rPr>
          <w:rFonts w:ascii="Arial" w:hAnsi="Arial" w:cs="Arial"/>
          <w:sz w:val="22"/>
        </w:rPr>
      </w:pPr>
      <w:r w:rsidRPr="005E144B">
        <w:rPr>
          <w:rFonts w:ascii="Arial" w:hAnsi="Arial" w:cs="Arial"/>
          <w:sz w:val="22"/>
        </w:rPr>
        <w:t>(A) Heatmap for q values of ANOVA. Sample type, fresh or frozen; sample time, days after symptom onset. The range of PBMC samples included in the calculation is expanded to sample time</w:t>
      </w:r>
      <w:r w:rsidR="004B4AA3" w:rsidRPr="005E144B">
        <w:rPr>
          <w:rFonts w:ascii="Arial" w:hAnsi="Arial" w:cs="Arial"/>
          <w:sz w:val="22"/>
        </w:rPr>
        <w:t xml:space="preserve"> 21-90 days (days after symptom onset)</w:t>
      </w:r>
      <w:r w:rsidRPr="005E144B">
        <w:rPr>
          <w:rFonts w:ascii="Arial" w:hAnsi="Arial" w:cs="Arial"/>
          <w:sz w:val="22"/>
        </w:rPr>
        <w:t xml:space="preserve"> (Table S1).</w:t>
      </w:r>
    </w:p>
    <w:p w14:paraId="688301C3" w14:textId="22758076" w:rsidR="0064338C" w:rsidRPr="005E144B" w:rsidRDefault="0064338C" w:rsidP="0064338C">
      <w:pPr>
        <w:adjustRightInd w:val="0"/>
        <w:snapToGrid w:val="0"/>
        <w:spacing w:beforeLines="50" w:before="156" w:afterLines="50" w:after="156" w:line="288" w:lineRule="auto"/>
        <w:rPr>
          <w:rFonts w:ascii="Arial" w:hAnsi="Arial" w:cs="Arial"/>
          <w:sz w:val="22"/>
        </w:rPr>
      </w:pPr>
      <w:r w:rsidRPr="005E144B">
        <w:rPr>
          <w:rFonts w:ascii="Arial" w:hAnsi="Arial" w:cs="Arial"/>
          <w:sz w:val="22"/>
        </w:rPr>
        <w:t xml:space="preserve">(B) </w:t>
      </w:r>
      <w:r w:rsidR="004B4AA3" w:rsidRPr="005E144B">
        <w:rPr>
          <w:rFonts w:ascii="Arial" w:hAnsi="Arial" w:cs="Arial"/>
          <w:sz w:val="22"/>
        </w:rPr>
        <w:t>UMAPs</w:t>
      </w:r>
      <w:r w:rsidRPr="005E144B">
        <w:rPr>
          <w:rFonts w:ascii="Arial" w:hAnsi="Arial" w:cs="Arial"/>
          <w:sz w:val="22"/>
        </w:rPr>
        <w:t xml:space="preserve"> of PBMC cells colored by cytokine score (top panel) and ISG score (bottom panel). </w:t>
      </w:r>
    </w:p>
    <w:p w14:paraId="04E7718E" w14:textId="6769A1B7" w:rsidR="0064338C" w:rsidRPr="005E144B" w:rsidRDefault="0064338C" w:rsidP="0064338C">
      <w:pPr>
        <w:adjustRightInd w:val="0"/>
        <w:snapToGrid w:val="0"/>
        <w:spacing w:beforeLines="50" w:before="156" w:afterLines="50" w:after="156" w:line="288" w:lineRule="auto"/>
        <w:rPr>
          <w:rFonts w:ascii="Arial" w:hAnsi="Arial" w:cs="Arial"/>
          <w:sz w:val="22"/>
        </w:rPr>
      </w:pPr>
      <w:r w:rsidRPr="005E144B">
        <w:rPr>
          <w:rFonts w:ascii="Arial" w:hAnsi="Arial" w:cs="Arial"/>
          <w:sz w:val="22"/>
        </w:rPr>
        <w:t xml:space="preserve">(C) </w:t>
      </w:r>
      <w:r w:rsidR="004B4AA3" w:rsidRPr="005E144B">
        <w:rPr>
          <w:rFonts w:ascii="Arial" w:hAnsi="Arial" w:cs="Arial"/>
          <w:sz w:val="22"/>
        </w:rPr>
        <w:t xml:space="preserve">Box plots show the </w:t>
      </w:r>
      <w:r w:rsidRPr="005E144B">
        <w:rPr>
          <w:rFonts w:ascii="Arial" w:hAnsi="Arial" w:cs="Arial"/>
          <w:sz w:val="22"/>
        </w:rPr>
        <w:t xml:space="preserve">cytokine score (top panel) and ISG score ​(bottom panel) of subtypes from healthy controls (n = 19), mild/moderate </w:t>
      </w:r>
      <w:r w:rsidR="004B4AA3" w:rsidRPr="005E144B">
        <w:rPr>
          <w:rFonts w:ascii="Arial" w:hAnsi="Arial" w:cs="Arial"/>
          <w:sz w:val="22"/>
        </w:rPr>
        <w:t xml:space="preserve">recovered </w:t>
      </w:r>
      <w:r w:rsidRPr="005E144B">
        <w:rPr>
          <w:rFonts w:ascii="Arial" w:hAnsi="Arial" w:cs="Arial"/>
          <w:sz w:val="22"/>
        </w:rPr>
        <w:t xml:space="preserve">(n=16), severe/critical </w:t>
      </w:r>
      <w:r w:rsidR="004B4AA3" w:rsidRPr="005E144B">
        <w:rPr>
          <w:rFonts w:ascii="Arial" w:hAnsi="Arial" w:cs="Arial"/>
          <w:sz w:val="22"/>
        </w:rPr>
        <w:t xml:space="preserve">recovered </w:t>
      </w:r>
      <w:r w:rsidRPr="005E144B">
        <w:rPr>
          <w:rFonts w:ascii="Arial" w:hAnsi="Arial" w:cs="Arial"/>
          <w:sz w:val="22"/>
        </w:rPr>
        <w:t>(n=6) patients.</w:t>
      </w:r>
      <w:r w:rsidR="004B4AA3" w:rsidRPr="005E144B">
        <w:rPr>
          <w:rFonts w:ascii="Arial" w:hAnsi="Arial" w:cs="Arial"/>
          <w:sz w:val="22"/>
        </w:rPr>
        <w:t xml:space="preserve"> Significance was evaluated with T tests (and nonparametric tests), for each subtype versus healthy controls, *p &lt; 0.05, **p &lt; 0.01, ***p &lt; 0.001, ****p &lt; 0.0001.</w:t>
      </w:r>
    </w:p>
    <w:p w14:paraId="3DFC14A6" w14:textId="22BB537E" w:rsidR="0064338C" w:rsidRPr="005E144B" w:rsidRDefault="0064338C" w:rsidP="0064338C">
      <w:pPr>
        <w:adjustRightInd w:val="0"/>
        <w:snapToGrid w:val="0"/>
        <w:spacing w:beforeLines="50" w:before="156" w:afterLines="50" w:after="156" w:line="288" w:lineRule="auto"/>
        <w:rPr>
          <w:rFonts w:ascii="Arial" w:hAnsi="Arial" w:cs="Arial"/>
          <w:sz w:val="22"/>
        </w:rPr>
      </w:pPr>
      <w:r w:rsidRPr="005E144B">
        <w:rPr>
          <w:rFonts w:ascii="Arial" w:hAnsi="Arial" w:cs="Arial"/>
          <w:sz w:val="22"/>
        </w:rPr>
        <w:t xml:space="preserve">(D) Dot plot depicting enriched signaling pathways in different serious groups in CD14 Mono (NFKBIA). </w:t>
      </w:r>
      <w:r w:rsidR="004B4AA3" w:rsidRPr="005E144B">
        <w:rPr>
          <w:rFonts w:ascii="Arial" w:hAnsi="Arial" w:cs="Arial" w:hint="eastAsia"/>
          <w:sz w:val="22"/>
        </w:rPr>
        <w:t xml:space="preserve">Mono, Monocyte; </w:t>
      </w:r>
      <w:r w:rsidR="004B4AA3" w:rsidRPr="005E144B">
        <w:rPr>
          <w:rFonts w:ascii="Arial" w:hAnsi="Arial" w:cs="Arial"/>
          <w:sz w:val="22"/>
        </w:rPr>
        <w:t>HC, healthy controls; MR, mild/moderate recovered; SR, severe/critical recovered.</w:t>
      </w:r>
      <w:bookmarkStart w:id="0" w:name="_Hlk85726387"/>
      <w:r w:rsidR="004B4AA3" w:rsidRPr="005E144B">
        <w:rPr>
          <w:rFonts w:ascii="Arial" w:hAnsi="Arial" w:cs="Arial"/>
          <w:sz w:val="22"/>
        </w:rPr>
        <w:t xml:space="preserve"> The number in parentheses represents the number of genes with significant differences.</w:t>
      </w:r>
      <w:bookmarkEnd w:id="0"/>
    </w:p>
    <w:p w14:paraId="2DF16F34" w14:textId="0AB109C3" w:rsidR="0064338C" w:rsidRPr="005E144B" w:rsidRDefault="0064338C" w:rsidP="001837D9">
      <w:pPr>
        <w:adjustRightInd w:val="0"/>
        <w:snapToGrid w:val="0"/>
        <w:spacing w:beforeLines="50" w:before="156" w:afterLines="50" w:after="156" w:line="288" w:lineRule="auto"/>
        <w:rPr>
          <w:rFonts w:ascii="Arial" w:hAnsi="Arial" w:cs="Arial"/>
          <w:sz w:val="22"/>
        </w:rPr>
      </w:pPr>
    </w:p>
    <w:p w14:paraId="577AA32A" w14:textId="77777777" w:rsidR="0064338C" w:rsidRPr="005E144B" w:rsidRDefault="0064338C" w:rsidP="0064338C">
      <w:pPr>
        <w:adjustRightInd w:val="0"/>
        <w:snapToGrid w:val="0"/>
        <w:spacing w:beforeLines="50" w:before="156" w:afterLines="50" w:after="156" w:line="288" w:lineRule="auto"/>
        <w:rPr>
          <w:rFonts w:ascii="Arial" w:hAnsi="Arial" w:cs="Arial"/>
          <w:sz w:val="22"/>
        </w:rPr>
      </w:pPr>
      <w:r w:rsidRPr="005E144B">
        <w:rPr>
          <w:rFonts w:ascii="Arial" w:hAnsi="Arial" w:cs="Arial"/>
          <w:b/>
          <w:bCs/>
          <w:sz w:val="22"/>
        </w:rPr>
        <w:t>Figure S3. Characteristics of the T and NK cells immune response in recovered COVID-19 patients.</w:t>
      </w:r>
    </w:p>
    <w:p w14:paraId="16D26817" w14:textId="77777777" w:rsidR="0064338C" w:rsidRPr="005E144B" w:rsidRDefault="0064338C" w:rsidP="0064338C">
      <w:pPr>
        <w:adjustRightInd w:val="0"/>
        <w:snapToGrid w:val="0"/>
        <w:spacing w:beforeLines="50" w:before="156" w:afterLines="50" w:after="156" w:line="288" w:lineRule="auto"/>
        <w:rPr>
          <w:rFonts w:ascii="Arial" w:hAnsi="Arial" w:cs="Arial"/>
          <w:sz w:val="22"/>
        </w:rPr>
      </w:pPr>
      <w:r w:rsidRPr="005E144B">
        <w:rPr>
          <w:rFonts w:ascii="Arial" w:hAnsi="Arial" w:cs="Arial"/>
          <w:sz w:val="22"/>
        </w:rPr>
        <w:t xml:space="preserve">(A) Boxplots depicting percentages of T cell subtypes in PBMC cells, colored by group-specific color. </w:t>
      </w:r>
    </w:p>
    <w:p w14:paraId="20EFE810" w14:textId="779AE38A" w:rsidR="0064338C" w:rsidRPr="005E144B" w:rsidRDefault="0064338C" w:rsidP="0064338C">
      <w:pPr>
        <w:adjustRightInd w:val="0"/>
        <w:snapToGrid w:val="0"/>
        <w:spacing w:beforeLines="50" w:before="156" w:afterLines="50" w:after="156" w:line="288" w:lineRule="auto"/>
        <w:rPr>
          <w:rFonts w:ascii="Arial" w:hAnsi="Arial" w:cs="Arial"/>
          <w:sz w:val="22"/>
        </w:rPr>
      </w:pPr>
      <w:r w:rsidRPr="005E144B">
        <w:rPr>
          <w:rFonts w:ascii="Arial" w:hAnsi="Arial" w:cs="Arial"/>
          <w:sz w:val="22"/>
        </w:rPr>
        <w:t xml:space="preserve">(B-C) </w:t>
      </w:r>
      <w:r w:rsidR="004B4AA3" w:rsidRPr="005E144B">
        <w:rPr>
          <w:rFonts w:ascii="Arial" w:hAnsi="Arial" w:cs="Arial"/>
          <w:sz w:val="22"/>
        </w:rPr>
        <w:t>The correlation analysis charts show the correlation between patient age and cell subtype proportions</w:t>
      </w:r>
      <w:r w:rsidRPr="005E144B">
        <w:rPr>
          <w:rFonts w:ascii="Arial" w:hAnsi="Arial" w:cs="Arial"/>
          <w:sz w:val="22"/>
        </w:rPr>
        <w:t xml:space="preserve"> (Spearman’s correlation).</w:t>
      </w:r>
    </w:p>
    <w:p w14:paraId="2EA68003" w14:textId="14F5AAA6" w:rsidR="0064338C" w:rsidRPr="005E144B" w:rsidRDefault="0064338C" w:rsidP="0064338C">
      <w:pPr>
        <w:adjustRightInd w:val="0"/>
        <w:snapToGrid w:val="0"/>
        <w:spacing w:beforeLines="50" w:before="156" w:afterLines="50" w:after="156" w:line="288" w:lineRule="auto"/>
        <w:rPr>
          <w:rFonts w:ascii="Arial" w:hAnsi="Arial" w:cs="Arial"/>
          <w:sz w:val="22"/>
        </w:rPr>
      </w:pPr>
      <w:r w:rsidRPr="005E144B">
        <w:rPr>
          <w:rFonts w:ascii="Arial" w:hAnsi="Arial" w:cs="Arial"/>
          <w:sz w:val="22"/>
        </w:rPr>
        <w:t xml:space="preserve">(D) Boxplots of the gene expression of CD8m T(GZMH), CD8m T(GZMK) and CD8m </w:t>
      </w:r>
      <w:r w:rsidRPr="005E144B">
        <w:rPr>
          <w:rFonts w:ascii="Arial" w:hAnsi="Arial" w:cs="Arial"/>
          <w:sz w:val="22"/>
        </w:rPr>
        <w:lastRenderedPageBreak/>
        <w:t xml:space="preserve">T(IL7R) cluster from healthy controls (n = 19), mild/moderate </w:t>
      </w:r>
      <w:r w:rsidR="004B4AA3" w:rsidRPr="005E144B">
        <w:rPr>
          <w:rFonts w:ascii="Arial" w:hAnsi="Arial" w:cs="Arial"/>
          <w:sz w:val="22"/>
        </w:rPr>
        <w:t xml:space="preserve">recovered </w:t>
      </w:r>
      <w:r w:rsidRPr="005E144B">
        <w:rPr>
          <w:rFonts w:ascii="Arial" w:hAnsi="Arial" w:cs="Arial"/>
          <w:sz w:val="22"/>
        </w:rPr>
        <w:t xml:space="preserve">(n=16), severe/critical </w:t>
      </w:r>
      <w:r w:rsidR="004B4AA3" w:rsidRPr="005E144B">
        <w:rPr>
          <w:rFonts w:ascii="Arial" w:hAnsi="Arial" w:cs="Arial"/>
          <w:sz w:val="22"/>
        </w:rPr>
        <w:t xml:space="preserve">recovered </w:t>
      </w:r>
      <w:r w:rsidRPr="005E144B">
        <w:rPr>
          <w:rFonts w:ascii="Arial" w:hAnsi="Arial" w:cs="Arial"/>
          <w:sz w:val="22"/>
        </w:rPr>
        <w:t>(n=6) patients. T tests (and nonparametric tests).</w:t>
      </w:r>
    </w:p>
    <w:p w14:paraId="4489B088" w14:textId="77777777" w:rsidR="0064338C" w:rsidRPr="005E144B" w:rsidRDefault="0064338C" w:rsidP="0064338C">
      <w:pPr>
        <w:adjustRightInd w:val="0"/>
        <w:snapToGrid w:val="0"/>
        <w:spacing w:beforeLines="50" w:before="156" w:afterLines="50" w:after="156" w:line="288" w:lineRule="auto"/>
        <w:rPr>
          <w:rFonts w:ascii="Arial" w:hAnsi="Arial" w:cs="Arial"/>
          <w:sz w:val="22"/>
        </w:rPr>
      </w:pPr>
      <w:r w:rsidRPr="005E144B">
        <w:rPr>
          <w:rFonts w:ascii="Arial" w:hAnsi="Arial" w:cs="Arial"/>
          <w:sz w:val="22"/>
        </w:rPr>
        <w:t>T tests (and nonparametric tests), *p &lt; 0.05, **p &lt; 0.01, ***p &lt; 0.001, ****p &lt; 0.0001.</w:t>
      </w:r>
    </w:p>
    <w:p w14:paraId="4F5AA208" w14:textId="77777777" w:rsidR="0064338C" w:rsidRPr="005E144B" w:rsidRDefault="0064338C" w:rsidP="0064338C">
      <w:pPr>
        <w:adjustRightInd w:val="0"/>
        <w:snapToGrid w:val="0"/>
        <w:spacing w:beforeLines="50" w:before="156" w:afterLines="50" w:after="156" w:line="288" w:lineRule="auto"/>
        <w:rPr>
          <w:rFonts w:ascii="Arial" w:hAnsi="Arial" w:cs="Arial"/>
          <w:sz w:val="22"/>
        </w:rPr>
      </w:pPr>
      <w:r w:rsidRPr="005E144B">
        <w:rPr>
          <w:rFonts w:ascii="Arial" w:hAnsi="Arial" w:cs="Arial"/>
          <w:b/>
          <w:bCs/>
          <w:sz w:val="22"/>
        </w:rPr>
        <w:t>Figure S4. Effects of gender on BCR/TCR diversity, and the features of TCR and BCR repertoires.</w:t>
      </w:r>
    </w:p>
    <w:p w14:paraId="6306ED7D" w14:textId="317E6AD4" w:rsidR="0064338C" w:rsidRPr="005E144B" w:rsidRDefault="0064338C" w:rsidP="0064338C">
      <w:pPr>
        <w:adjustRightInd w:val="0"/>
        <w:snapToGrid w:val="0"/>
        <w:spacing w:beforeLines="50" w:before="156" w:afterLines="50" w:after="156" w:line="288" w:lineRule="auto"/>
        <w:rPr>
          <w:rFonts w:ascii="Arial" w:hAnsi="Arial" w:cs="Arial"/>
          <w:sz w:val="22"/>
        </w:rPr>
      </w:pPr>
      <w:r w:rsidRPr="005E144B">
        <w:rPr>
          <w:rFonts w:ascii="Arial" w:hAnsi="Arial" w:cs="Arial"/>
          <w:sz w:val="22"/>
        </w:rPr>
        <w:t xml:space="preserve">(A) </w:t>
      </w:r>
      <w:r w:rsidR="004B4AA3" w:rsidRPr="005E144B">
        <w:rPr>
          <w:rFonts w:ascii="Arial" w:hAnsi="Arial" w:cs="Arial"/>
          <w:sz w:val="22"/>
        </w:rPr>
        <w:t xml:space="preserve">Box plots show characterization </w:t>
      </w:r>
      <w:r w:rsidRPr="005E144B">
        <w:rPr>
          <w:rFonts w:ascii="Arial" w:hAnsi="Arial" w:cs="Arial"/>
          <w:sz w:val="22"/>
        </w:rPr>
        <w:t>and comparison of TCR clonal expansion of CD8m(GZMH) and CD8m(GZMK) among severe/critical recovered (SR)</w:t>
      </w:r>
      <w:r w:rsidR="004B4AA3" w:rsidRPr="005E144B">
        <w:rPr>
          <w:rFonts w:ascii="Arial" w:hAnsi="Arial" w:cs="Arial"/>
          <w:sz w:val="22"/>
        </w:rPr>
        <w:t xml:space="preserve"> patients</w:t>
      </w:r>
      <w:r w:rsidRPr="005E144B">
        <w:rPr>
          <w:rFonts w:ascii="Arial" w:hAnsi="Arial" w:cs="Arial"/>
          <w:sz w:val="22"/>
        </w:rPr>
        <w:t>, mild/moderate recovered (MR)</w:t>
      </w:r>
      <w:r w:rsidR="004B4AA3" w:rsidRPr="005E144B">
        <w:rPr>
          <w:rFonts w:ascii="Arial" w:hAnsi="Arial" w:cs="Arial"/>
          <w:sz w:val="22"/>
        </w:rPr>
        <w:t xml:space="preserve"> patients</w:t>
      </w:r>
      <w:r w:rsidRPr="005E144B">
        <w:rPr>
          <w:rFonts w:ascii="Arial" w:hAnsi="Arial" w:cs="Arial"/>
          <w:sz w:val="22"/>
        </w:rPr>
        <w:t>, and healthy controls (HC), by quantifying the percentage of expanded clones.</w:t>
      </w:r>
    </w:p>
    <w:p w14:paraId="1BD1B36C" w14:textId="59D51C5C" w:rsidR="0064338C" w:rsidRPr="005E144B" w:rsidRDefault="0064338C" w:rsidP="0064338C">
      <w:pPr>
        <w:adjustRightInd w:val="0"/>
        <w:snapToGrid w:val="0"/>
        <w:spacing w:beforeLines="50" w:before="156" w:afterLines="50" w:after="156" w:line="288" w:lineRule="auto"/>
        <w:rPr>
          <w:rFonts w:ascii="Arial" w:hAnsi="Arial" w:cs="Arial"/>
          <w:sz w:val="22"/>
        </w:rPr>
      </w:pPr>
      <w:r w:rsidRPr="005E144B">
        <w:rPr>
          <w:rFonts w:ascii="Arial" w:hAnsi="Arial" w:cs="Arial"/>
          <w:sz w:val="22"/>
        </w:rPr>
        <w:t xml:space="preserve">(B) </w:t>
      </w:r>
      <w:r w:rsidR="004B4AA3" w:rsidRPr="005E144B">
        <w:rPr>
          <w:rFonts w:ascii="Arial" w:hAnsi="Arial" w:cs="Arial"/>
          <w:sz w:val="22"/>
        </w:rPr>
        <w:t xml:space="preserve">Box plots show effects </w:t>
      </w:r>
      <w:r w:rsidRPr="005E144B">
        <w:rPr>
          <w:rFonts w:ascii="Arial" w:hAnsi="Arial" w:cs="Arial"/>
          <w:sz w:val="22"/>
        </w:rPr>
        <w:t>of gender on BCR/TCR diversity.</w:t>
      </w:r>
    </w:p>
    <w:p w14:paraId="56DCF5FF" w14:textId="5FADCAFD" w:rsidR="0064338C" w:rsidRPr="005E144B" w:rsidRDefault="0064338C" w:rsidP="0064338C">
      <w:pPr>
        <w:adjustRightInd w:val="0"/>
        <w:snapToGrid w:val="0"/>
        <w:spacing w:beforeLines="50" w:before="156" w:afterLines="50" w:after="156" w:line="288" w:lineRule="auto"/>
        <w:rPr>
          <w:rFonts w:ascii="Arial" w:hAnsi="Arial" w:cs="Arial"/>
          <w:sz w:val="22"/>
        </w:rPr>
      </w:pPr>
      <w:r w:rsidRPr="005E144B">
        <w:rPr>
          <w:rFonts w:ascii="Arial" w:hAnsi="Arial" w:cs="Arial"/>
          <w:sz w:val="22"/>
        </w:rPr>
        <w:t xml:space="preserve">(C) </w:t>
      </w:r>
      <w:r w:rsidR="004B4AA3" w:rsidRPr="005E144B">
        <w:rPr>
          <w:rFonts w:ascii="Arial" w:hAnsi="Arial" w:cs="Arial"/>
          <w:sz w:val="22"/>
        </w:rPr>
        <w:t xml:space="preserve">Box plots show each </w:t>
      </w:r>
      <w:r w:rsidRPr="005E144B">
        <w:rPr>
          <w:rFonts w:ascii="Arial" w:hAnsi="Arial" w:cs="Arial"/>
          <w:sz w:val="22"/>
        </w:rPr>
        <w:t xml:space="preserve">V gene segment usage rate in each severity group. </w:t>
      </w:r>
    </w:p>
    <w:p w14:paraId="75D62794" w14:textId="77777777" w:rsidR="0064338C" w:rsidRPr="005E144B" w:rsidRDefault="0064338C" w:rsidP="0064338C">
      <w:pPr>
        <w:adjustRightInd w:val="0"/>
        <w:snapToGrid w:val="0"/>
        <w:spacing w:beforeLines="50" w:before="156" w:afterLines="50" w:after="156" w:line="288" w:lineRule="auto"/>
        <w:rPr>
          <w:rFonts w:ascii="Arial" w:hAnsi="Arial" w:cs="Arial"/>
          <w:sz w:val="22"/>
        </w:rPr>
      </w:pPr>
      <w:r w:rsidRPr="005E144B">
        <w:rPr>
          <w:rFonts w:ascii="Arial" w:hAnsi="Arial" w:cs="Arial"/>
          <w:sz w:val="22"/>
        </w:rPr>
        <w:t xml:space="preserve">(D) HCDR3 amino acid sequence length usage distribution bar graph. </w:t>
      </w:r>
    </w:p>
    <w:p w14:paraId="05E2A9C1" w14:textId="7870B91D" w:rsidR="0064338C" w:rsidRPr="005E144B" w:rsidRDefault="0064338C" w:rsidP="001837D9">
      <w:pPr>
        <w:adjustRightInd w:val="0"/>
        <w:snapToGrid w:val="0"/>
        <w:spacing w:beforeLines="50" w:before="156" w:afterLines="50" w:after="156" w:line="288" w:lineRule="auto"/>
        <w:rPr>
          <w:rFonts w:ascii="Arial" w:hAnsi="Arial" w:cs="Arial"/>
          <w:sz w:val="22"/>
        </w:rPr>
      </w:pPr>
      <w:r w:rsidRPr="005E144B">
        <w:rPr>
          <w:rFonts w:ascii="Arial" w:hAnsi="Arial" w:cs="Arial"/>
          <w:sz w:val="22"/>
        </w:rPr>
        <w:t>T tests (and nonparametric tests), *p &lt; 0.05, **p &lt; 0.01, ***p &lt; 0.001, ****p &lt; 0.0001.</w:t>
      </w:r>
    </w:p>
    <w:p w14:paraId="177A7B75" w14:textId="769480E3" w:rsidR="00084C0A" w:rsidRPr="005E144B" w:rsidRDefault="00084C0A" w:rsidP="001837D9">
      <w:pPr>
        <w:adjustRightInd w:val="0"/>
        <w:snapToGrid w:val="0"/>
        <w:spacing w:beforeLines="50" w:before="156" w:afterLines="50" w:after="156" w:line="288" w:lineRule="auto"/>
        <w:rPr>
          <w:rFonts w:ascii="Arial" w:hAnsi="Arial" w:cs="Arial"/>
          <w:sz w:val="22"/>
        </w:rPr>
      </w:pPr>
    </w:p>
    <w:p w14:paraId="3A216A38" w14:textId="2EF4B399" w:rsidR="00084C0A" w:rsidRPr="005E144B" w:rsidRDefault="00084C0A" w:rsidP="001837D9">
      <w:pPr>
        <w:adjustRightInd w:val="0"/>
        <w:snapToGrid w:val="0"/>
        <w:spacing w:beforeLines="50" w:before="156" w:afterLines="50" w:after="156" w:line="288" w:lineRule="auto"/>
        <w:rPr>
          <w:rFonts w:ascii="Arial" w:hAnsi="Arial" w:cs="Arial"/>
          <w:sz w:val="22"/>
        </w:rPr>
      </w:pPr>
    </w:p>
    <w:p w14:paraId="7C9AB278" w14:textId="55BDA725" w:rsidR="00084C0A" w:rsidRPr="005E144B" w:rsidRDefault="00084C0A" w:rsidP="001837D9">
      <w:pPr>
        <w:adjustRightInd w:val="0"/>
        <w:snapToGrid w:val="0"/>
        <w:spacing w:beforeLines="50" w:before="156" w:afterLines="50" w:after="156" w:line="288" w:lineRule="auto"/>
        <w:rPr>
          <w:rFonts w:ascii="Arial" w:hAnsi="Arial" w:cs="Arial"/>
          <w:sz w:val="22"/>
        </w:rPr>
      </w:pPr>
    </w:p>
    <w:p w14:paraId="67C21287" w14:textId="1B4DA7F3" w:rsidR="00084C0A" w:rsidRPr="005E144B" w:rsidRDefault="00084C0A" w:rsidP="001837D9">
      <w:pPr>
        <w:adjustRightInd w:val="0"/>
        <w:snapToGrid w:val="0"/>
        <w:spacing w:beforeLines="50" w:before="156" w:afterLines="50" w:after="156" w:line="288" w:lineRule="auto"/>
        <w:rPr>
          <w:rFonts w:ascii="Arial" w:hAnsi="Arial" w:cs="Arial"/>
          <w:sz w:val="22"/>
        </w:rPr>
      </w:pPr>
    </w:p>
    <w:p w14:paraId="0D30E621" w14:textId="27F93317" w:rsidR="00084C0A" w:rsidRPr="005E144B" w:rsidRDefault="00084C0A" w:rsidP="001837D9">
      <w:pPr>
        <w:adjustRightInd w:val="0"/>
        <w:snapToGrid w:val="0"/>
        <w:spacing w:beforeLines="50" w:before="156" w:afterLines="50" w:after="156" w:line="288" w:lineRule="auto"/>
        <w:rPr>
          <w:rFonts w:ascii="Arial" w:hAnsi="Arial" w:cs="Arial"/>
          <w:sz w:val="22"/>
        </w:rPr>
      </w:pPr>
    </w:p>
    <w:p w14:paraId="1E29CE8D" w14:textId="44E5BEDB" w:rsidR="00084C0A" w:rsidRPr="005E144B" w:rsidRDefault="00084C0A" w:rsidP="001837D9">
      <w:pPr>
        <w:adjustRightInd w:val="0"/>
        <w:snapToGrid w:val="0"/>
        <w:spacing w:beforeLines="50" w:before="156" w:afterLines="50" w:after="156" w:line="288" w:lineRule="auto"/>
        <w:rPr>
          <w:rFonts w:ascii="Arial" w:hAnsi="Arial" w:cs="Arial"/>
          <w:sz w:val="22"/>
        </w:rPr>
      </w:pPr>
    </w:p>
    <w:p w14:paraId="3CD7A3E9" w14:textId="37B7FF02" w:rsidR="00084C0A" w:rsidRPr="005E144B" w:rsidRDefault="00084C0A" w:rsidP="001837D9">
      <w:pPr>
        <w:adjustRightInd w:val="0"/>
        <w:snapToGrid w:val="0"/>
        <w:spacing w:beforeLines="50" w:before="156" w:afterLines="50" w:after="156" w:line="288" w:lineRule="auto"/>
        <w:rPr>
          <w:rFonts w:ascii="Arial" w:hAnsi="Arial" w:cs="Arial"/>
          <w:sz w:val="22"/>
        </w:rPr>
      </w:pPr>
    </w:p>
    <w:p w14:paraId="28BEAFA4" w14:textId="3664FE18" w:rsidR="00084C0A" w:rsidRPr="005E144B" w:rsidRDefault="00084C0A" w:rsidP="001837D9">
      <w:pPr>
        <w:adjustRightInd w:val="0"/>
        <w:snapToGrid w:val="0"/>
        <w:spacing w:beforeLines="50" w:before="156" w:afterLines="50" w:after="156" w:line="288" w:lineRule="auto"/>
        <w:rPr>
          <w:rFonts w:ascii="Arial" w:hAnsi="Arial" w:cs="Arial"/>
          <w:sz w:val="22"/>
        </w:rPr>
      </w:pPr>
    </w:p>
    <w:p w14:paraId="5B74BE8D" w14:textId="28BF0D47" w:rsidR="00084C0A" w:rsidRPr="005E144B" w:rsidRDefault="00084C0A" w:rsidP="001837D9">
      <w:pPr>
        <w:adjustRightInd w:val="0"/>
        <w:snapToGrid w:val="0"/>
        <w:spacing w:beforeLines="50" w:before="156" w:afterLines="50" w:after="156" w:line="288" w:lineRule="auto"/>
        <w:rPr>
          <w:rFonts w:ascii="Arial" w:hAnsi="Arial" w:cs="Arial"/>
          <w:sz w:val="22"/>
        </w:rPr>
      </w:pPr>
    </w:p>
    <w:p w14:paraId="446D1F67" w14:textId="295A9E9E" w:rsidR="00084C0A" w:rsidRPr="005E144B" w:rsidRDefault="00084C0A" w:rsidP="001837D9">
      <w:pPr>
        <w:adjustRightInd w:val="0"/>
        <w:snapToGrid w:val="0"/>
        <w:spacing w:beforeLines="50" w:before="156" w:afterLines="50" w:after="156" w:line="288" w:lineRule="auto"/>
        <w:rPr>
          <w:rFonts w:ascii="Arial" w:hAnsi="Arial" w:cs="Arial"/>
          <w:sz w:val="22"/>
        </w:rPr>
      </w:pPr>
    </w:p>
    <w:p w14:paraId="1483D1F7" w14:textId="201ABDE9" w:rsidR="00084C0A" w:rsidRPr="005E144B" w:rsidRDefault="00084C0A" w:rsidP="001837D9">
      <w:pPr>
        <w:adjustRightInd w:val="0"/>
        <w:snapToGrid w:val="0"/>
        <w:spacing w:beforeLines="50" w:before="156" w:afterLines="50" w:after="156" w:line="288" w:lineRule="auto"/>
        <w:rPr>
          <w:rFonts w:ascii="Arial" w:hAnsi="Arial" w:cs="Arial"/>
          <w:sz w:val="22"/>
        </w:rPr>
      </w:pPr>
    </w:p>
    <w:p w14:paraId="3CF44A91" w14:textId="02DD7BFD" w:rsidR="00084C0A" w:rsidRPr="005E144B" w:rsidRDefault="00084C0A" w:rsidP="001837D9">
      <w:pPr>
        <w:adjustRightInd w:val="0"/>
        <w:snapToGrid w:val="0"/>
        <w:spacing w:beforeLines="50" w:before="156" w:afterLines="50" w:after="156" w:line="288" w:lineRule="auto"/>
        <w:rPr>
          <w:rFonts w:ascii="Arial" w:hAnsi="Arial" w:cs="Arial"/>
          <w:sz w:val="22"/>
        </w:rPr>
      </w:pPr>
    </w:p>
    <w:p w14:paraId="05EA4E30" w14:textId="08C6408A" w:rsidR="00084C0A" w:rsidRPr="005E144B" w:rsidRDefault="00084C0A" w:rsidP="001837D9">
      <w:pPr>
        <w:adjustRightInd w:val="0"/>
        <w:snapToGrid w:val="0"/>
        <w:spacing w:beforeLines="50" w:before="156" w:afterLines="50" w:after="156" w:line="288" w:lineRule="auto"/>
        <w:rPr>
          <w:rFonts w:ascii="Arial" w:hAnsi="Arial" w:cs="Arial"/>
          <w:sz w:val="22"/>
        </w:rPr>
      </w:pPr>
    </w:p>
    <w:p w14:paraId="38A6A1F9" w14:textId="6BA0B2B6" w:rsidR="00084C0A" w:rsidRPr="005E144B" w:rsidRDefault="00084C0A" w:rsidP="001837D9">
      <w:pPr>
        <w:adjustRightInd w:val="0"/>
        <w:snapToGrid w:val="0"/>
        <w:spacing w:beforeLines="50" w:before="156" w:afterLines="50" w:after="156" w:line="288" w:lineRule="auto"/>
        <w:rPr>
          <w:rFonts w:ascii="Arial" w:hAnsi="Arial" w:cs="Arial"/>
          <w:sz w:val="22"/>
        </w:rPr>
      </w:pPr>
    </w:p>
    <w:p w14:paraId="0EF4E096" w14:textId="6358A6B1" w:rsidR="00084C0A" w:rsidRPr="005E144B" w:rsidRDefault="00084C0A" w:rsidP="001837D9">
      <w:pPr>
        <w:adjustRightInd w:val="0"/>
        <w:snapToGrid w:val="0"/>
        <w:spacing w:beforeLines="50" w:before="156" w:afterLines="50" w:after="156" w:line="288" w:lineRule="auto"/>
        <w:rPr>
          <w:rFonts w:ascii="Arial" w:hAnsi="Arial" w:cs="Arial"/>
          <w:sz w:val="22"/>
        </w:rPr>
      </w:pPr>
    </w:p>
    <w:p w14:paraId="5AFFCA16" w14:textId="21F89C83" w:rsidR="00084C0A" w:rsidRPr="005E144B" w:rsidRDefault="00084C0A" w:rsidP="001837D9">
      <w:pPr>
        <w:adjustRightInd w:val="0"/>
        <w:snapToGrid w:val="0"/>
        <w:spacing w:beforeLines="50" w:before="156" w:afterLines="50" w:after="156" w:line="288" w:lineRule="auto"/>
        <w:rPr>
          <w:rFonts w:ascii="Arial" w:hAnsi="Arial" w:cs="Arial"/>
          <w:sz w:val="22"/>
        </w:rPr>
      </w:pPr>
    </w:p>
    <w:p w14:paraId="5999245B" w14:textId="63149DEF" w:rsidR="00084C0A" w:rsidRPr="005E144B" w:rsidRDefault="00084C0A" w:rsidP="001837D9">
      <w:pPr>
        <w:adjustRightInd w:val="0"/>
        <w:snapToGrid w:val="0"/>
        <w:spacing w:beforeLines="50" w:before="156" w:afterLines="50" w:after="156" w:line="288" w:lineRule="auto"/>
        <w:rPr>
          <w:rFonts w:ascii="Arial" w:hAnsi="Arial" w:cs="Arial"/>
          <w:sz w:val="22"/>
        </w:rPr>
      </w:pPr>
    </w:p>
    <w:p w14:paraId="28FBC2BA" w14:textId="5D6A186F" w:rsidR="00084C0A" w:rsidRPr="005E144B" w:rsidRDefault="00084C0A" w:rsidP="001837D9">
      <w:pPr>
        <w:adjustRightInd w:val="0"/>
        <w:snapToGrid w:val="0"/>
        <w:spacing w:beforeLines="50" w:before="156" w:afterLines="50" w:after="156" w:line="288" w:lineRule="auto"/>
        <w:rPr>
          <w:rFonts w:ascii="Arial" w:hAnsi="Arial" w:cs="Arial"/>
          <w:sz w:val="22"/>
        </w:rPr>
      </w:pPr>
    </w:p>
    <w:p w14:paraId="3BDC224F" w14:textId="2BAE6A26" w:rsidR="00084C0A" w:rsidRPr="005E144B" w:rsidRDefault="00084C0A" w:rsidP="001837D9">
      <w:pPr>
        <w:adjustRightInd w:val="0"/>
        <w:snapToGrid w:val="0"/>
        <w:spacing w:beforeLines="50" w:before="156" w:afterLines="50" w:after="156" w:line="288" w:lineRule="auto"/>
        <w:rPr>
          <w:rFonts w:ascii="Arial" w:hAnsi="Arial" w:cs="Arial"/>
          <w:sz w:val="22"/>
        </w:rPr>
      </w:pPr>
      <w:r w:rsidRPr="005E144B">
        <w:rPr>
          <w:rFonts w:ascii="Arial" w:hAnsi="Arial" w:cs="Arial"/>
          <w:sz w:val="22"/>
        </w:rPr>
        <w:t>Figure S1.TIF</w:t>
      </w:r>
    </w:p>
    <w:p w14:paraId="159B51D2" w14:textId="656905BC" w:rsidR="00084C0A" w:rsidRPr="005E144B" w:rsidRDefault="00084C0A" w:rsidP="001837D9">
      <w:pPr>
        <w:adjustRightInd w:val="0"/>
        <w:snapToGrid w:val="0"/>
        <w:spacing w:beforeLines="50" w:before="156" w:afterLines="50" w:after="156" w:line="288" w:lineRule="auto"/>
        <w:rPr>
          <w:rFonts w:ascii="Arial" w:hAnsi="Arial" w:cs="Arial"/>
          <w:sz w:val="22"/>
        </w:rPr>
      </w:pPr>
      <w:r w:rsidRPr="005E144B">
        <w:rPr>
          <w:noProof/>
        </w:rPr>
        <w:lastRenderedPageBreak/>
        <w:drawing>
          <wp:inline distT="0" distB="0" distL="0" distR="0" wp14:anchorId="2C8C71E8" wp14:editId="397C74AA">
            <wp:extent cx="5274310" cy="6434455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3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81B2B" w14:textId="72870B2D" w:rsidR="00084C0A" w:rsidRPr="005E144B" w:rsidRDefault="00084C0A" w:rsidP="001837D9">
      <w:pPr>
        <w:adjustRightInd w:val="0"/>
        <w:snapToGrid w:val="0"/>
        <w:spacing w:beforeLines="50" w:before="156" w:afterLines="50" w:after="156" w:line="288" w:lineRule="auto"/>
        <w:rPr>
          <w:rFonts w:ascii="Arial" w:hAnsi="Arial" w:cs="Arial"/>
          <w:sz w:val="22"/>
        </w:rPr>
      </w:pPr>
    </w:p>
    <w:p w14:paraId="41C4A3ED" w14:textId="28F43F3C" w:rsidR="00084C0A" w:rsidRPr="005E144B" w:rsidRDefault="00084C0A" w:rsidP="001837D9">
      <w:pPr>
        <w:adjustRightInd w:val="0"/>
        <w:snapToGrid w:val="0"/>
        <w:spacing w:beforeLines="50" w:before="156" w:afterLines="50" w:after="156" w:line="288" w:lineRule="auto"/>
        <w:rPr>
          <w:rFonts w:ascii="Arial" w:hAnsi="Arial" w:cs="Arial"/>
          <w:sz w:val="22"/>
        </w:rPr>
      </w:pPr>
    </w:p>
    <w:p w14:paraId="3D2AA774" w14:textId="2866F1FF" w:rsidR="00084C0A" w:rsidRPr="005E144B" w:rsidRDefault="00084C0A" w:rsidP="001837D9">
      <w:pPr>
        <w:adjustRightInd w:val="0"/>
        <w:snapToGrid w:val="0"/>
        <w:spacing w:beforeLines="50" w:before="156" w:afterLines="50" w:after="156" w:line="288" w:lineRule="auto"/>
        <w:rPr>
          <w:rFonts w:ascii="Arial" w:hAnsi="Arial" w:cs="Arial"/>
          <w:sz w:val="22"/>
        </w:rPr>
      </w:pPr>
    </w:p>
    <w:p w14:paraId="105E89D9" w14:textId="15DB04E1" w:rsidR="00084C0A" w:rsidRPr="005E144B" w:rsidRDefault="00084C0A" w:rsidP="001837D9">
      <w:pPr>
        <w:adjustRightInd w:val="0"/>
        <w:snapToGrid w:val="0"/>
        <w:spacing w:beforeLines="50" w:before="156" w:afterLines="50" w:after="156" w:line="288" w:lineRule="auto"/>
        <w:rPr>
          <w:rFonts w:ascii="Arial" w:hAnsi="Arial" w:cs="Arial"/>
          <w:sz w:val="22"/>
        </w:rPr>
      </w:pPr>
    </w:p>
    <w:p w14:paraId="3628E0B1" w14:textId="5940C4A2" w:rsidR="00084C0A" w:rsidRPr="005E144B" w:rsidRDefault="00084C0A" w:rsidP="001837D9">
      <w:pPr>
        <w:adjustRightInd w:val="0"/>
        <w:snapToGrid w:val="0"/>
        <w:spacing w:beforeLines="50" w:before="156" w:afterLines="50" w:after="156" w:line="288" w:lineRule="auto"/>
        <w:rPr>
          <w:rFonts w:ascii="Arial" w:hAnsi="Arial" w:cs="Arial"/>
          <w:sz w:val="22"/>
        </w:rPr>
      </w:pPr>
    </w:p>
    <w:p w14:paraId="0FB2223B" w14:textId="5AD6F4E6" w:rsidR="00084C0A" w:rsidRPr="005E144B" w:rsidRDefault="00084C0A" w:rsidP="00084C0A">
      <w:pPr>
        <w:adjustRightInd w:val="0"/>
        <w:snapToGrid w:val="0"/>
        <w:spacing w:beforeLines="50" w:before="156" w:afterLines="50" w:after="156" w:line="288" w:lineRule="auto"/>
        <w:rPr>
          <w:rFonts w:ascii="Arial" w:hAnsi="Arial" w:cs="Arial"/>
          <w:sz w:val="22"/>
        </w:rPr>
      </w:pPr>
      <w:r w:rsidRPr="005E144B">
        <w:rPr>
          <w:rFonts w:ascii="Arial" w:hAnsi="Arial" w:cs="Arial"/>
          <w:sz w:val="22"/>
        </w:rPr>
        <w:t>Figure S2.TIF</w:t>
      </w:r>
    </w:p>
    <w:p w14:paraId="24C46EFE" w14:textId="429759C5" w:rsidR="00084C0A" w:rsidRPr="005E144B" w:rsidRDefault="00084C0A" w:rsidP="001837D9">
      <w:pPr>
        <w:adjustRightInd w:val="0"/>
        <w:snapToGrid w:val="0"/>
        <w:spacing w:beforeLines="50" w:before="156" w:afterLines="50" w:after="156" w:line="288" w:lineRule="auto"/>
        <w:rPr>
          <w:rFonts w:ascii="Arial" w:hAnsi="Arial" w:cs="Arial"/>
          <w:sz w:val="22"/>
        </w:rPr>
      </w:pPr>
    </w:p>
    <w:p w14:paraId="5EB8BE4F" w14:textId="0B1A94B1" w:rsidR="004B4AA3" w:rsidRPr="005E144B" w:rsidRDefault="004B4AA3" w:rsidP="001837D9">
      <w:pPr>
        <w:adjustRightInd w:val="0"/>
        <w:snapToGrid w:val="0"/>
        <w:spacing w:beforeLines="50" w:before="156" w:afterLines="50" w:after="156" w:line="288" w:lineRule="auto"/>
        <w:rPr>
          <w:rFonts w:ascii="Arial" w:hAnsi="Arial" w:cs="Arial"/>
          <w:sz w:val="22"/>
        </w:rPr>
      </w:pPr>
      <w:r w:rsidRPr="005E144B">
        <w:rPr>
          <w:noProof/>
        </w:rPr>
        <w:lastRenderedPageBreak/>
        <w:drawing>
          <wp:inline distT="0" distB="0" distL="0" distR="0" wp14:anchorId="1A5EE980" wp14:editId="6799C26E">
            <wp:extent cx="5274310" cy="6525895"/>
            <wp:effectExtent l="0" t="0" r="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2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15C05" w14:textId="5F964993" w:rsidR="00084C0A" w:rsidRPr="005E144B" w:rsidRDefault="00084C0A" w:rsidP="001837D9">
      <w:pPr>
        <w:adjustRightInd w:val="0"/>
        <w:snapToGrid w:val="0"/>
        <w:spacing w:beforeLines="50" w:before="156" w:afterLines="50" w:after="156" w:line="288" w:lineRule="auto"/>
        <w:rPr>
          <w:rFonts w:ascii="Arial" w:hAnsi="Arial" w:cs="Arial"/>
          <w:sz w:val="22"/>
        </w:rPr>
      </w:pPr>
    </w:p>
    <w:p w14:paraId="23918111" w14:textId="20113BE6" w:rsidR="00084C0A" w:rsidRPr="005E144B" w:rsidRDefault="00084C0A" w:rsidP="001837D9">
      <w:pPr>
        <w:adjustRightInd w:val="0"/>
        <w:snapToGrid w:val="0"/>
        <w:spacing w:beforeLines="50" w:before="156" w:afterLines="50" w:after="156" w:line="288" w:lineRule="auto"/>
        <w:rPr>
          <w:rFonts w:ascii="Arial" w:hAnsi="Arial" w:cs="Arial"/>
          <w:sz w:val="22"/>
        </w:rPr>
      </w:pPr>
    </w:p>
    <w:p w14:paraId="5033AE69" w14:textId="69B6D366" w:rsidR="00084C0A" w:rsidRPr="005E144B" w:rsidRDefault="00084C0A" w:rsidP="001837D9">
      <w:pPr>
        <w:adjustRightInd w:val="0"/>
        <w:snapToGrid w:val="0"/>
        <w:spacing w:beforeLines="50" w:before="156" w:afterLines="50" w:after="156" w:line="288" w:lineRule="auto"/>
        <w:rPr>
          <w:rFonts w:ascii="Arial" w:hAnsi="Arial" w:cs="Arial"/>
          <w:sz w:val="22"/>
        </w:rPr>
      </w:pPr>
    </w:p>
    <w:p w14:paraId="25D8E76B" w14:textId="10C4E60F" w:rsidR="00084C0A" w:rsidRPr="005E144B" w:rsidRDefault="00084C0A" w:rsidP="001837D9">
      <w:pPr>
        <w:adjustRightInd w:val="0"/>
        <w:snapToGrid w:val="0"/>
        <w:spacing w:beforeLines="50" w:before="156" w:afterLines="50" w:after="156" w:line="288" w:lineRule="auto"/>
        <w:rPr>
          <w:rFonts w:ascii="Arial" w:hAnsi="Arial" w:cs="Arial"/>
          <w:sz w:val="22"/>
        </w:rPr>
      </w:pPr>
    </w:p>
    <w:p w14:paraId="11B154CA" w14:textId="77777777" w:rsidR="004B4AA3" w:rsidRPr="005E144B" w:rsidRDefault="004B4AA3" w:rsidP="001837D9">
      <w:pPr>
        <w:adjustRightInd w:val="0"/>
        <w:snapToGrid w:val="0"/>
        <w:spacing w:beforeLines="50" w:before="156" w:afterLines="50" w:after="156" w:line="288" w:lineRule="auto"/>
        <w:rPr>
          <w:rFonts w:ascii="Arial" w:hAnsi="Arial" w:cs="Arial"/>
          <w:sz w:val="22"/>
        </w:rPr>
      </w:pPr>
    </w:p>
    <w:p w14:paraId="285684F7" w14:textId="6761C2E3" w:rsidR="00084C0A" w:rsidRPr="005E144B" w:rsidRDefault="00084C0A" w:rsidP="00084C0A">
      <w:pPr>
        <w:adjustRightInd w:val="0"/>
        <w:snapToGrid w:val="0"/>
        <w:spacing w:beforeLines="50" w:before="156" w:afterLines="50" w:after="156" w:line="288" w:lineRule="auto"/>
        <w:rPr>
          <w:rFonts w:ascii="Arial" w:hAnsi="Arial" w:cs="Arial"/>
          <w:sz w:val="22"/>
        </w:rPr>
      </w:pPr>
      <w:r w:rsidRPr="005E144B">
        <w:rPr>
          <w:rFonts w:ascii="Arial" w:hAnsi="Arial" w:cs="Arial"/>
          <w:sz w:val="22"/>
        </w:rPr>
        <w:t>Figure S3.TIF</w:t>
      </w:r>
    </w:p>
    <w:p w14:paraId="6D531B98" w14:textId="435BB288" w:rsidR="00084C0A" w:rsidRPr="005E144B" w:rsidRDefault="00084C0A" w:rsidP="001837D9">
      <w:pPr>
        <w:adjustRightInd w:val="0"/>
        <w:snapToGrid w:val="0"/>
        <w:spacing w:beforeLines="50" w:before="156" w:afterLines="50" w:after="156" w:line="288" w:lineRule="auto"/>
        <w:rPr>
          <w:rFonts w:ascii="Arial" w:hAnsi="Arial" w:cs="Arial"/>
          <w:sz w:val="22"/>
        </w:rPr>
      </w:pPr>
    </w:p>
    <w:p w14:paraId="1F5870ED" w14:textId="305BC288" w:rsidR="00084C0A" w:rsidRPr="005E144B" w:rsidRDefault="004B4AA3" w:rsidP="001837D9">
      <w:pPr>
        <w:adjustRightInd w:val="0"/>
        <w:snapToGrid w:val="0"/>
        <w:spacing w:beforeLines="50" w:before="156" w:afterLines="50" w:after="156" w:line="288" w:lineRule="auto"/>
        <w:rPr>
          <w:rFonts w:ascii="Arial" w:hAnsi="Arial" w:cs="Arial"/>
          <w:sz w:val="22"/>
        </w:rPr>
      </w:pPr>
      <w:r w:rsidRPr="005E144B">
        <w:rPr>
          <w:noProof/>
        </w:rPr>
        <w:lastRenderedPageBreak/>
        <w:drawing>
          <wp:inline distT="0" distB="0" distL="0" distR="0" wp14:anchorId="52B085AC" wp14:editId="4F393917">
            <wp:extent cx="5274310" cy="722058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2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8F2D0" w14:textId="5AAD2507" w:rsidR="004B4AA3" w:rsidRPr="005E144B" w:rsidRDefault="004B4AA3" w:rsidP="001837D9">
      <w:pPr>
        <w:adjustRightInd w:val="0"/>
        <w:snapToGrid w:val="0"/>
        <w:spacing w:beforeLines="50" w:before="156" w:afterLines="50" w:after="156" w:line="288" w:lineRule="auto"/>
        <w:rPr>
          <w:rFonts w:ascii="Arial" w:hAnsi="Arial" w:cs="Arial"/>
          <w:sz w:val="22"/>
        </w:rPr>
      </w:pPr>
    </w:p>
    <w:p w14:paraId="3F726206" w14:textId="222749E9" w:rsidR="0030583D" w:rsidRPr="005E144B" w:rsidRDefault="0030583D" w:rsidP="001837D9">
      <w:pPr>
        <w:adjustRightInd w:val="0"/>
        <w:snapToGrid w:val="0"/>
        <w:spacing w:beforeLines="50" w:before="156" w:afterLines="50" w:after="156" w:line="288" w:lineRule="auto"/>
        <w:rPr>
          <w:rFonts w:ascii="Arial" w:hAnsi="Arial" w:cs="Arial"/>
          <w:sz w:val="22"/>
        </w:rPr>
      </w:pPr>
    </w:p>
    <w:p w14:paraId="584B3F4B" w14:textId="77777777" w:rsidR="0030583D" w:rsidRPr="005E144B" w:rsidRDefault="0030583D" w:rsidP="001837D9">
      <w:pPr>
        <w:adjustRightInd w:val="0"/>
        <w:snapToGrid w:val="0"/>
        <w:spacing w:beforeLines="50" w:before="156" w:afterLines="50" w:after="156" w:line="288" w:lineRule="auto"/>
        <w:rPr>
          <w:rFonts w:ascii="Arial" w:hAnsi="Arial" w:cs="Arial"/>
          <w:sz w:val="22"/>
        </w:rPr>
      </w:pPr>
    </w:p>
    <w:p w14:paraId="75F106EF" w14:textId="3E05FD8A" w:rsidR="00084C0A" w:rsidRPr="005E144B" w:rsidRDefault="00084C0A" w:rsidP="00084C0A">
      <w:pPr>
        <w:adjustRightInd w:val="0"/>
        <w:snapToGrid w:val="0"/>
        <w:spacing w:beforeLines="50" w:before="156" w:afterLines="50" w:after="156" w:line="288" w:lineRule="auto"/>
        <w:rPr>
          <w:rFonts w:ascii="Arial" w:hAnsi="Arial" w:cs="Arial"/>
          <w:sz w:val="22"/>
        </w:rPr>
      </w:pPr>
      <w:r w:rsidRPr="005E144B">
        <w:rPr>
          <w:rFonts w:ascii="Arial" w:hAnsi="Arial" w:cs="Arial"/>
          <w:sz w:val="22"/>
        </w:rPr>
        <w:t>Figure S4.TIF</w:t>
      </w:r>
    </w:p>
    <w:p w14:paraId="7E1BE877" w14:textId="21AA5B5A" w:rsidR="00084C0A" w:rsidRPr="005E144B" w:rsidRDefault="00084C0A" w:rsidP="001837D9">
      <w:pPr>
        <w:adjustRightInd w:val="0"/>
        <w:snapToGrid w:val="0"/>
        <w:spacing w:beforeLines="50" w:before="156" w:afterLines="50" w:after="156" w:line="288" w:lineRule="auto"/>
        <w:rPr>
          <w:rFonts w:ascii="Arial" w:hAnsi="Arial" w:cs="Arial"/>
          <w:sz w:val="22"/>
        </w:rPr>
      </w:pPr>
      <w:r w:rsidRPr="005E144B">
        <w:rPr>
          <w:noProof/>
        </w:rPr>
        <w:lastRenderedPageBreak/>
        <w:drawing>
          <wp:inline distT="0" distB="0" distL="0" distR="0" wp14:anchorId="5C9B169A" wp14:editId="1570C10A">
            <wp:extent cx="5274310" cy="8035290"/>
            <wp:effectExtent l="0" t="0" r="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3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4C0A" w:rsidRPr="005E144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2229A4" w14:textId="77777777" w:rsidR="00867383" w:rsidRDefault="00867383" w:rsidP="00454A1B">
      <w:r>
        <w:separator/>
      </w:r>
    </w:p>
  </w:endnote>
  <w:endnote w:type="continuationSeparator" w:id="0">
    <w:p w14:paraId="1D264523" w14:textId="77777777" w:rsidR="00867383" w:rsidRDefault="00867383" w:rsidP="00454A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DE3A01" w14:textId="77777777" w:rsidR="00867383" w:rsidRDefault="00867383" w:rsidP="00454A1B">
      <w:r>
        <w:separator/>
      </w:r>
    </w:p>
  </w:footnote>
  <w:footnote w:type="continuationSeparator" w:id="0">
    <w:p w14:paraId="45632ED7" w14:textId="77777777" w:rsidR="00867383" w:rsidRDefault="00867383" w:rsidP="00454A1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x0wspfwtrs2rd6edpay59v28sef5zd9vzd9a&quot;&gt;COVID-19&lt;record-ids&gt;&lt;item&gt;4&lt;/item&gt;&lt;item&gt;7&lt;/item&gt;&lt;item&gt;8&lt;/item&gt;&lt;item&gt;17&lt;/item&gt;&lt;item&gt;48&lt;/item&gt;&lt;item&gt;63&lt;/item&gt;&lt;item&gt;75&lt;/item&gt;&lt;item&gt;76&lt;/item&gt;&lt;item&gt;77&lt;/item&gt;&lt;item&gt;80&lt;/item&gt;&lt;item&gt;84&lt;/item&gt;&lt;item&gt;103&lt;/item&gt;&lt;item&gt;106&lt;/item&gt;&lt;item&gt;113&lt;/item&gt;&lt;item&gt;118&lt;/item&gt;&lt;item&gt;122&lt;/item&gt;&lt;item&gt;123&lt;/item&gt;&lt;item&gt;124&lt;/item&gt;&lt;item&gt;125&lt;/item&gt;&lt;item&gt;127&lt;/item&gt;&lt;item&gt;135&lt;/item&gt;&lt;item&gt;150&lt;/item&gt;&lt;item&gt;151&lt;/item&gt;&lt;item&gt;152&lt;/item&gt;&lt;item&gt;154&lt;/item&gt;&lt;item&gt;155&lt;/item&gt;&lt;item&gt;157&lt;/item&gt;&lt;item&gt;158&lt;/item&gt;&lt;item&gt;162&lt;/item&gt;&lt;item&gt;165&lt;/item&gt;&lt;item&gt;170&lt;/item&gt;&lt;item&gt;172&lt;/item&gt;&lt;item&gt;173&lt;/item&gt;&lt;item&gt;174&lt;/item&gt;&lt;/record-ids&gt;&lt;/item&gt;&lt;/Libraries&gt;"/>
  </w:docVars>
  <w:rsids>
    <w:rsidRoot w:val="00C6047F"/>
    <w:rsid w:val="0002278D"/>
    <w:rsid w:val="000242B1"/>
    <w:rsid w:val="00040B0B"/>
    <w:rsid w:val="0004607F"/>
    <w:rsid w:val="000743B8"/>
    <w:rsid w:val="000800A9"/>
    <w:rsid w:val="00084C0A"/>
    <w:rsid w:val="000E4432"/>
    <w:rsid w:val="000F2A8D"/>
    <w:rsid w:val="00134526"/>
    <w:rsid w:val="00145507"/>
    <w:rsid w:val="001837D9"/>
    <w:rsid w:val="001B2297"/>
    <w:rsid w:val="001D655F"/>
    <w:rsid w:val="00204472"/>
    <w:rsid w:val="00207A42"/>
    <w:rsid w:val="00225906"/>
    <w:rsid w:val="00272D45"/>
    <w:rsid w:val="00295191"/>
    <w:rsid w:val="002A16FA"/>
    <w:rsid w:val="002C7257"/>
    <w:rsid w:val="002F62C7"/>
    <w:rsid w:val="002F77DD"/>
    <w:rsid w:val="0030583D"/>
    <w:rsid w:val="00317FA5"/>
    <w:rsid w:val="00361F09"/>
    <w:rsid w:val="0037411F"/>
    <w:rsid w:val="00381477"/>
    <w:rsid w:val="003A42B3"/>
    <w:rsid w:val="003D5221"/>
    <w:rsid w:val="003E3318"/>
    <w:rsid w:val="003F4A29"/>
    <w:rsid w:val="00434AFB"/>
    <w:rsid w:val="00436C97"/>
    <w:rsid w:val="004423F4"/>
    <w:rsid w:val="00446DDC"/>
    <w:rsid w:val="00454A1B"/>
    <w:rsid w:val="00456A6B"/>
    <w:rsid w:val="00473501"/>
    <w:rsid w:val="004758A8"/>
    <w:rsid w:val="00477091"/>
    <w:rsid w:val="00487DB1"/>
    <w:rsid w:val="00492C70"/>
    <w:rsid w:val="004A10F9"/>
    <w:rsid w:val="004B4AA3"/>
    <w:rsid w:val="004D0435"/>
    <w:rsid w:val="004D6322"/>
    <w:rsid w:val="00515232"/>
    <w:rsid w:val="00545465"/>
    <w:rsid w:val="0054577C"/>
    <w:rsid w:val="005C669D"/>
    <w:rsid w:val="005D480F"/>
    <w:rsid w:val="005E144B"/>
    <w:rsid w:val="005E1680"/>
    <w:rsid w:val="005F0CDD"/>
    <w:rsid w:val="005F50AB"/>
    <w:rsid w:val="006015C8"/>
    <w:rsid w:val="00612458"/>
    <w:rsid w:val="006168D1"/>
    <w:rsid w:val="00620EC6"/>
    <w:rsid w:val="0064338C"/>
    <w:rsid w:val="006A11B1"/>
    <w:rsid w:val="006A734B"/>
    <w:rsid w:val="006B51EB"/>
    <w:rsid w:val="006C3502"/>
    <w:rsid w:val="006D6BD6"/>
    <w:rsid w:val="006E3A9B"/>
    <w:rsid w:val="006F7C78"/>
    <w:rsid w:val="00770C6B"/>
    <w:rsid w:val="00792A2A"/>
    <w:rsid w:val="007A4531"/>
    <w:rsid w:val="007B695F"/>
    <w:rsid w:val="007F236F"/>
    <w:rsid w:val="008024E0"/>
    <w:rsid w:val="0085333B"/>
    <w:rsid w:val="00867383"/>
    <w:rsid w:val="00871C2B"/>
    <w:rsid w:val="00881920"/>
    <w:rsid w:val="0090275D"/>
    <w:rsid w:val="00932C62"/>
    <w:rsid w:val="00935217"/>
    <w:rsid w:val="0096020A"/>
    <w:rsid w:val="00965AC9"/>
    <w:rsid w:val="00965B27"/>
    <w:rsid w:val="009677E8"/>
    <w:rsid w:val="00972F85"/>
    <w:rsid w:val="009A2A22"/>
    <w:rsid w:val="009D4866"/>
    <w:rsid w:val="009F7B4A"/>
    <w:rsid w:val="00A47B5F"/>
    <w:rsid w:val="00A51CE5"/>
    <w:rsid w:val="00A561ED"/>
    <w:rsid w:val="00A74835"/>
    <w:rsid w:val="00A804A3"/>
    <w:rsid w:val="00AB30F8"/>
    <w:rsid w:val="00AE7305"/>
    <w:rsid w:val="00B00D62"/>
    <w:rsid w:val="00B070B8"/>
    <w:rsid w:val="00B55A23"/>
    <w:rsid w:val="00B57DD2"/>
    <w:rsid w:val="00B620EE"/>
    <w:rsid w:val="00B62A3C"/>
    <w:rsid w:val="00B65EEC"/>
    <w:rsid w:val="00B94A1D"/>
    <w:rsid w:val="00BA0ECF"/>
    <w:rsid w:val="00BD2793"/>
    <w:rsid w:val="00BD5C06"/>
    <w:rsid w:val="00C6047F"/>
    <w:rsid w:val="00CB27B0"/>
    <w:rsid w:val="00CE16D9"/>
    <w:rsid w:val="00CE1BF3"/>
    <w:rsid w:val="00CF4229"/>
    <w:rsid w:val="00D13468"/>
    <w:rsid w:val="00D23C0D"/>
    <w:rsid w:val="00D45A15"/>
    <w:rsid w:val="00D53FCC"/>
    <w:rsid w:val="00D846A7"/>
    <w:rsid w:val="00D91BFE"/>
    <w:rsid w:val="00DB64D1"/>
    <w:rsid w:val="00DE45C9"/>
    <w:rsid w:val="00DF0DD5"/>
    <w:rsid w:val="00E05DAE"/>
    <w:rsid w:val="00E263C3"/>
    <w:rsid w:val="00E73EE9"/>
    <w:rsid w:val="00E802E5"/>
    <w:rsid w:val="00E844E5"/>
    <w:rsid w:val="00E903B4"/>
    <w:rsid w:val="00EB3312"/>
    <w:rsid w:val="00EC23DE"/>
    <w:rsid w:val="00EC32FE"/>
    <w:rsid w:val="00F003CF"/>
    <w:rsid w:val="00F4050F"/>
    <w:rsid w:val="00F5361A"/>
    <w:rsid w:val="00F71B90"/>
    <w:rsid w:val="00F72BD7"/>
    <w:rsid w:val="00F82C6E"/>
    <w:rsid w:val="00F92892"/>
    <w:rsid w:val="00FA439F"/>
    <w:rsid w:val="00FC59A7"/>
    <w:rsid w:val="00FE2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A52780"/>
  <w15:chartTrackingRefBased/>
  <w15:docId w15:val="{7E7C9E17-226B-409D-AFDC-81BDD7F39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454A1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65EE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263C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4A1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454A1B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54A1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54A1B"/>
    <w:rPr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454A1B"/>
    <w:rPr>
      <w:b/>
      <w:bCs/>
      <w:kern w:val="44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B65EEC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E263C3"/>
    <w:rPr>
      <w:b/>
      <w:bCs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14550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45507"/>
    <w:rPr>
      <w:color w:val="605E5C"/>
      <w:shd w:val="clear" w:color="auto" w:fill="E1DFDD"/>
    </w:rPr>
  </w:style>
  <w:style w:type="paragraph" w:customStyle="1" w:styleId="EndNoteBibliographyTitle">
    <w:name w:val="EndNote Bibliography Title"/>
    <w:basedOn w:val="Normal"/>
    <w:link w:val="EndNoteBibliographyTitle0"/>
    <w:rsid w:val="00145507"/>
    <w:pPr>
      <w:jc w:val="center"/>
    </w:pPr>
    <w:rPr>
      <w:rFonts w:ascii="DengXian" w:eastAsia="DengXian" w:hAnsi="DengXian"/>
      <w:noProof/>
      <w:sz w:val="20"/>
    </w:rPr>
  </w:style>
  <w:style w:type="character" w:customStyle="1" w:styleId="EndNoteBibliographyTitle0">
    <w:name w:val="EndNote Bibliography Title 字符"/>
    <w:basedOn w:val="DefaultParagraphFont"/>
    <w:link w:val="EndNoteBibliographyTitle"/>
    <w:rsid w:val="00145507"/>
    <w:rPr>
      <w:rFonts w:ascii="DengXian" w:eastAsia="DengXian" w:hAnsi="DengXian"/>
      <w:noProof/>
      <w:sz w:val="20"/>
    </w:rPr>
  </w:style>
  <w:style w:type="paragraph" w:customStyle="1" w:styleId="EndNoteBibliography">
    <w:name w:val="EndNote Bibliography"/>
    <w:basedOn w:val="Normal"/>
    <w:link w:val="EndNoteBibliography0"/>
    <w:rsid w:val="00145507"/>
    <w:rPr>
      <w:rFonts w:ascii="DengXian" w:eastAsia="DengXian" w:hAnsi="DengXian"/>
      <w:noProof/>
      <w:sz w:val="20"/>
    </w:rPr>
  </w:style>
  <w:style w:type="character" w:customStyle="1" w:styleId="EndNoteBibliography0">
    <w:name w:val="EndNote Bibliography 字符"/>
    <w:basedOn w:val="DefaultParagraphFont"/>
    <w:link w:val="EndNoteBibliography"/>
    <w:rsid w:val="00145507"/>
    <w:rPr>
      <w:rFonts w:ascii="DengXian" w:eastAsia="DengXian" w:hAnsi="DengXian"/>
      <w:noProof/>
      <w:sz w:val="20"/>
    </w:rPr>
  </w:style>
  <w:style w:type="paragraph" w:styleId="NormalWeb">
    <w:name w:val="Normal (Web)"/>
    <w:basedOn w:val="Normal"/>
    <w:uiPriority w:val="99"/>
    <w:semiHidden/>
    <w:unhideWhenUsed/>
    <w:rsid w:val="00EB3312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E05DAE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05DAE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05DA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05D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05DAE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5DAE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5DA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02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3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3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2456</TotalTime>
  <Pages>6</Pages>
  <Words>447</Words>
  <Characters>2548</Characters>
  <Application>Microsoft Office Word</Application>
  <DocSecurity>0</DocSecurity>
  <Lines>21</Lines>
  <Paragraphs>5</Paragraphs>
  <ScaleCrop>false</ScaleCrop>
  <Company/>
  <LinksUpToDate>false</LinksUpToDate>
  <CharactersWithSpaces>2990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 xu</dc:creator>
  <cp:keywords/>
  <dc:description/>
  <cp:lastModifiedBy>Eleanor Masterman</cp:lastModifiedBy>
  <cp:revision>77</cp:revision>
  <cp:lastPrinted>2021-10-23T04:30:00Z</cp:lastPrinted>
  <dcterms:created xsi:type="dcterms:W3CDTF">2021-09-15T11:44:00Z</dcterms:created>
  <dcterms:modified xsi:type="dcterms:W3CDTF">2021-12-03T09:55:00Z</dcterms:modified>
</cp:coreProperties>
</file>