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1549D3" w:rsidRDefault="00654E8F" w:rsidP="0001436A">
      <w:pPr>
        <w:pStyle w:val="SupplementaryMaterial"/>
        <w:rPr>
          <w:b w:val="0"/>
        </w:rPr>
      </w:pPr>
      <w:bookmarkStart w:id="0" w:name="_GoBack"/>
      <w:bookmarkEnd w:id="0"/>
      <w:r w:rsidRPr="001549D3">
        <w:t>Supplementary Material</w:t>
      </w:r>
    </w:p>
    <w:p w:rsidR="00994A3D" w:rsidRDefault="00654E8F" w:rsidP="0001436A">
      <w:pPr>
        <w:pStyle w:val="Heading1"/>
      </w:pPr>
      <w:r w:rsidRPr="00994A3D">
        <w:t>Supplementary Tables</w:t>
      </w:r>
    </w:p>
    <w:p w:rsidR="00296202" w:rsidRDefault="00296202" w:rsidP="00296202">
      <w:pPr>
        <w:rPr>
          <w:szCs w:val="24"/>
        </w:rPr>
      </w:pPr>
      <w:r>
        <w:rPr>
          <w:szCs w:val="24"/>
        </w:rPr>
        <w:t xml:space="preserve">Table </w:t>
      </w:r>
      <w:r w:rsidR="003F696B">
        <w:rPr>
          <w:szCs w:val="24"/>
        </w:rPr>
        <w:t>S</w:t>
      </w:r>
      <w:r>
        <w:rPr>
          <w:szCs w:val="24"/>
        </w:rPr>
        <w:t>1. Additional inclusion/exclusion criteria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0"/>
        <w:gridCol w:w="1478"/>
        <w:gridCol w:w="963"/>
        <w:gridCol w:w="1836"/>
        <w:gridCol w:w="1452"/>
        <w:gridCol w:w="962"/>
        <w:gridCol w:w="2786"/>
        <w:gridCol w:w="2993"/>
      </w:tblGrid>
      <w:tr w:rsidR="00296202" w:rsidRPr="0039568D" w:rsidTr="00723D45">
        <w:trPr>
          <w:trHeight w:val="495"/>
          <w:jc w:val="center"/>
        </w:trPr>
        <w:tc>
          <w:tcPr>
            <w:tcW w:w="475" w:type="pct"/>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Author Year</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Country</w:t>
            </w:r>
          </w:p>
        </w:tc>
        <w:tc>
          <w:tcPr>
            <w:tcW w:w="53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CVD</w:t>
            </w:r>
          </w:p>
        </w:tc>
        <w:tc>
          <w:tcPr>
            <w:tcW w:w="349"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Diabetes</w:t>
            </w:r>
          </w:p>
        </w:tc>
        <w:tc>
          <w:tcPr>
            <w:tcW w:w="66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Renal Disease</w:t>
            </w:r>
          </w:p>
        </w:tc>
        <w:tc>
          <w:tcPr>
            <w:tcW w:w="527"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Obesity</w:t>
            </w:r>
          </w:p>
        </w:tc>
        <w:tc>
          <w:tcPr>
            <w:tcW w:w="349"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Previous PE</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Other Exclusion Criteria</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Other Inclusion Criteria</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Pineles 2007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premature rupture of membranes, multiple gestation, histologic chorioamnionitis, stillbirth, or fetal anomalies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Zhu 2009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delivered by elective cesarean delivery in the absence of labor</w:t>
            </w:r>
          </w:p>
        </w:tc>
      </w:tr>
      <w:tr w:rsidR="00296202" w:rsidRPr="0039568D" w:rsidTr="00723D45">
        <w:trPr>
          <w:trHeight w:val="1076"/>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Zhang 2010</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c</w:t>
            </w:r>
            <w:r w:rsidRPr="0039568D">
              <w:rPr>
                <w:rFonts w:eastAsia="Times New Roman"/>
                <w:color w:val="000000"/>
                <w:sz w:val="16"/>
                <w:szCs w:val="16"/>
              </w:rPr>
              <w:t>ollagen vascular disease,</w:t>
            </w:r>
            <w:r>
              <w:rPr>
                <w:rFonts w:eastAsia="Times New Roman"/>
                <w:color w:val="000000"/>
                <w:sz w:val="16"/>
                <w:szCs w:val="16"/>
              </w:rPr>
              <w:t xml:space="preserve"> </w:t>
            </w:r>
            <w:r w:rsidRPr="0039568D">
              <w:rPr>
                <w:rFonts w:eastAsia="Times New Roman"/>
                <w:color w:val="000000"/>
                <w:sz w:val="16"/>
                <w:szCs w:val="16"/>
              </w:rPr>
              <w:t>premature rupture of membrane, and</w:t>
            </w:r>
            <w:r>
              <w:rPr>
                <w:rFonts w:eastAsia="Times New Roman"/>
                <w:color w:val="000000"/>
                <w:sz w:val="16"/>
                <w:szCs w:val="16"/>
              </w:rPr>
              <w:t xml:space="preserve"> </w:t>
            </w:r>
            <w:r w:rsidRPr="0039568D">
              <w:rPr>
                <w:rFonts w:eastAsia="Times New Roman"/>
                <w:color w:val="000000"/>
                <w:sz w:val="16"/>
                <w:szCs w:val="16"/>
              </w:rPr>
              <w:t>other pregnancy complications such as fetal anomalies or chromosomal abnormalities</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section, normal platelet</w:t>
            </w:r>
            <w:r>
              <w:rPr>
                <w:rFonts w:eastAsia="Times New Roman"/>
                <w:color w:val="000000"/>
                <w:sz w:val="16"/>
                <w:szCs w:val="16"/>
              </w:rPr>
              <w:t xml:space="preserve"> </w:t>
            </w:r>
            <w:r w:rsidRPr="0039568D">
              <w:rPr>
                <w:rFonts w:eastAsia="Times New Roman"/>
                <w:color w:val="000000"/>
                <w:sz w:val="16"/>
                <w:szCs w:val="16"/>
              </w:rPr>
              <w:t>counts, normal liver functions and normal fetal weight</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Enquobahrie 2011</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nonsingleton pregnancies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Gunel 2011</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Turkey</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color w:val="000000"/>
                <w:sz w:val="16"/>
                <w:szCs w:val="16"/>
              </w:rPr>
              <w:t>an invasive procedure.</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Pregnant women who carried fetuses from 26 to 40 weeks of gestation and none undergone an invasive procedure</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Mayor-Lynn 2011</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preterm premature ruptured membranes without labor, multiple gestations, and fetal demise in utero or fetal anomalies</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Yang 2011</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any other maternal complications, birthweight of &lt;10%</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delivered by elective cesarean delivery in the absence of labor</w:t>
            </w:r>
          </w:p>
        </w:tc>
      </w:tr>
      <w:tr w:rsidR="00296202" w:rsidRPr="0039568D" w:rsidTr="00723D45">
        <w:trPr>
          <w:trHeight w:val="416"/>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Bai 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during pregnancy developed renal disease, transient hypertension in pregnancy, gestational diabetes, spontaneous abortion, intrauterine fetal death, fetal chromosomal or congenital</w:t>
            </w:r>
            <w:r w:rsidRPr="0039568D">
              <w:rPr>
                <w:rFonts w:eastAsia="Times New Roman"/>
                <w:color w:val="000000"/>
                <w:sz w:val="16"/>
                <w:szCs w:val="16"/>
              </w:rPr>
              <w:br/>
              <w:t>abnormalities or pregnancies conceived by fertility treatment</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 xml:space="preserve">Hromadnikova </w:t>
            </w:r>
            <w:r w:rsidRPr="0039568D">
              <w:rPr>
                <w:rFonts w:eastAsia="Times New Roman"/>
                <w:color w:val="000000"/>
                <w:sz w:val="16"/>
                <w:szCs w:val="16"/>
              </w:rPr>
              <w:lastRenderedPageBreak/>
              <w:t>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 xml:space="preserve">not </w:t>
            </w:r>
            <w:r w:rsidRPr="0039568D">
              <w:rPr>
                <w:rFonts w:eastAsia="Times New Roman"/>
                <w:color w:val="000000"/>
                <w:sz w:val="16"/>
                <w:szCs w:val="16"/>
              </w:rPr>
              <w:lastRenderedPageBreak/>
              <w:t>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 xml:space="preserve">not </w:t>
            </w:r>
            <w:r w:rsidRPr="0039568D">
              <w:rPr>
                <w:rFonts w:eastAsia="Times New Roman"/>
                <w:color w:val="000000"/>
                <w:sz w:val="16"/>
                <w:szCs w:val="16"/>
              </w:rPr>
              <w:lastRenderedPageBreak/>
              <w:t>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white women</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Lazar 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Hungary</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pregnancies</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Muralimanoharan 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delivery at term by</w:t>
            </w:r>
            <w:r>
              <w:rPr>
                <w:rFonts w:eastAsia="Times New Roman"/>
                <w:color w:val="000000"/>
                <w:sz w:val="16"/>
                <w:szCs w:val="16"/>
              </w:rPr>
              <w:t xml:space="preserve"> </w:t>
            </w:r>
            <w:r w:rsidRPr="0039568D">
              <w:rPr>
                <w:rFonts w:eastAsia="Times New Roman"/>
                <w:color w:val="000000"/>
                <w:sz w:val="16"/>
                <w:szCs w:val="16"/>
              </w:rPr>
              <w:t>cesarean section (with no labor)</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Wang 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signs of infection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Wang 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multiple pregnancies such as twins, fetal structural or genetic anomalies, and the presence of hemolysis, elevated liver enzymes, the HELLP syndrome, hepatic disease, or other infectious disease were criteria for exclusion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Wu 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between 37-40 gw, Han ethnicity</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Zhang 2012</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Chinese women</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vertAlign w:val="superscript"/>
              </w:rPr>
            </w:pPr>
            <w:r w:rsidRPr="0039568D">
              <w:rPr>
                <w:rFonts w:eastAsia="Times New Roman"/>
                <w:color w:val="000000"/>
                <w:sz w:val="16"/>
                <w:szCs w:val="16"/>
              </w:rPr>
              <w:t>Anton 2013</w:t>
            </w:r>
            <w:r w:rsidRPr="0039568D">
              <w:rPr>
                <w:rFonts w:eastAsia="Times New Roman"/>
                <w:color w:val="000000"/>
                <w:sz w:val="16"/>
                <w:szCs w:val="16"/>
                <w:vertAlign w:val="superscript"/>
              </w:rPr>
              <w:t>*</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Pregnant women, with singleton</w:t>
            </w:r>
            <w:r>
              <w:rPr>
                <w:rFonts w:eastAsia="Times New Roman"/>
                <w:color w:val="000000"/>
                <w:sz w:val="16"/>
                <w:szCs w:val="16"/>
              </w:rPr>
              <w:t xml:space="preserve"> </w:t>
            </w:r>
            <w:r w:rsidRPr="0039568D">
              <w:rPr>
                <w:rFonts w:eastAsia="Times New Roman"/>
                <w:color w:val="000000"/>
                <w:sz w:val="16"/>
                <w:szCs w:val="16"/>
              </w:rPr>
              <w:t>gestations, presenting for fetal aneuploidy screening</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Betoni 2013</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patients under 18 years of age, multifetal pregnancy, inability or refusal to provide written informed consent, gestational hypertension, eclampsia, and HELLP syndrome</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45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Fu, 2013</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women who developed renal disease,</w:t>
            </w:r>
            <w:r>
              <w:rPr>
                <w:rFonts w:eastAsia="Times New Roman"/>
                <w:color w:val="000000"/>
                <w:sz w:val="16"/>
                <w:szCs w:val="16"/>
              </w:rPr>
              <w:t xml:space="preserve"> </w:t>
            </w:r>
            <w:r w:rsidRPr="0039568D">
              <w:rPr>
                <w:rFonts w:eastAsia="Times New Roman"/>
                <w:color w:val="000000"/>
                <w:sz w:val="16"/>
                <w:szCs w:val="16"/>
              </w:rPr>
              <w:t>transient hypertension in pregnancy,</w:t>
            </w:r>
            <w:r>
              <w:rPr>
                <w:rFonts w:eastAsia="Times New Roman"/>
                <w:color w:val="000000"/>
                <w:sz w:val="16"/>
                <w:szCs w:val="16"/>
              </w:rPr>
              <w:t xml:space="preserve"> </w:t>
            </w:r>
            <w:r w:rsidRPr="0039568D">
              <w:rPr>
                <w:rFonts w:eastAsia="Times New Roman"/>
                <w:color w:val="000000"/>
                <w:sz w:val="16"/>
                <w:szCs w:val="16"/>
              </w:rPr>
              <w:t>gestational diabetes, spontaneous abortion, intrauterine fetal death, fetal chromosomal or congenital abnormalities or pregnancies conceived by fertility treatment</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unifetal gestation</w:t>
            </w:r>
          </w:p>
        </w:tc>
      </w:tr>
      <w:tr w:rsidR="00296202" w:rsidRPr="0039568D" w:rsidTr="00723D45">
        <w:trPr>
          <w:trHeight w:val="1455"/>
          <w:jc w:val="center"/>
        </w:trPr>
        <w:tc>
          <w:tcPr>
            <w:tcW w:w="475" w:type="pct"/>
            <w:vAlign w:val="bottom"/>
          </w:tcPr>
          <w:p w:rsidR="00296202" w:rsidRPr="0039568D" w:rsidRDefault="00296202" w:rsidP="00723D45">
            <w:pPr>
              <w:spacing w:after="0"/>
              <w:jc w:val="center"/>
              <w:rPr>
                <w:rFonts w:eastAsia="Times New Roman"/>
                <w:color w:val="000000"/>
                <w:sz w:val="16"/>
                <w:szCs w:val="16"/>
              </w:rPr>
            </w:pP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women who developed renal disease,</w:t>
            </w:r>
            <w:r>
              <w:rPr>
                <w:rFonts w:eastAsia="Times New Roman"/>
                <w:color w:val="000000"/>
                <w:sz w:val="16"/>
                <w:szCs w:val="16"/>
              </w:rPr>
              <w:t xml:space="preserve"> </w:t>
            </w:r>
            <w:r w:rsidRPr="0039568D">
              <w:rPr>
                <w:rFonts w:eastAsia="Times New Roman"/>
                <w:color w:val="000000"/>
                <w:sz w:val="16"/>
                <w:szCs w:val="16"/>
              </w:rPr>
              <w:t>transient hypertension in pregnancy,</w:t>
            </w:r>
            <w:r>
              <w:rPr>
                <w:rFonts w:eastAsia="Times New Roman"/>
                <w:color w:val="000000"/>
                <w:sz w:val="16"/>
                <w:szCs w:val="16"/>
              </w:rPr>
              <w:t xml:space="preserve"> </w:t>
            </w:r>
            <w:r w:rsidRPr="0039568D">
              <w:rPr>
                <w:rFonts w:eastAsia="Times New Roman"/>
                <w:color w:val="000000"/>
                <w:sz w:val="16"/>
                <w:szCs w:val="16"/>
              </w:rPr>
              <w:t>gestational diabetes, spontaneous abortion, intrauterine fetal death, fetal chromosomal or congenital abnormalities or pregnancies conceived by fertility treatment</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unifetal gestation</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Guo 2013</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multiple gestations, fetuses with</w:t>
            </w:r>
            <w:r w:rsidRPr="0039568D">
              <w:rPr>
                <w:rFonts w:eastAsia="Times New Roman"/>
                <w:color w:val="000000"/>
                <w:sz w:val="16"/>
                <w:szCs w:val="16"/>
              </w:rPr>
              <w:br/>
              <w:t>documented congenital anomalies, fetuses with documented chromosomal abnormalities, and fetuses with prolonged premature rupture of the membranes (greater than 4 weeks) from ref 6</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18 and older from ref 6</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Hromadnikova 2013</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Caucasian women</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Yan 2013</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rupture of membranes, other significant preexisting metabolic disorders, prenatal maternal infection, fetal anomaly, and multifetal gestation</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in the 3</w:t>
            </w:r>
            <w:r w:rsidRPr="00123466">
              <w:rPr>
                <w:rFonts w:eastAsia="Times New Roman"/>
                <w:color w:val="000000"/>
                <w:sz w:val="16"/>
                <w:szCs w:val="16"/>
                <w:vertAlign w:val="superscript"/>
              </w:rPr>
              <w:t>rd</w:t>
            </w:r>
            <w:r w:rsidRPr="0039568D">
              <w:rPr>
                <w:rFonts w:eastAsia="Times New Roman"/>
                <w:color w:val="000000"/>
                <w:sz w:val="16"/>
                <w:szCs w:val="16"/>
              </w:rPr>
              <w:t xml:space="preserve"> trimester of pregnancy,</w:t>
            </w:r>
            <w:r>
              <w:rPr>
                <w:rFonts w:eastAsia="Times New Roman"/>
                <w:color w:val="000000"/>
                <w:sz w:val="16"/>
                <w:szCs w:val="16"/>
              </w:rPr>
              <w:t xml:space="preserve"> </w:t>
            </w:r>
            <w:r w:rsidRPr="0039568D">
              <w:rPr>
                <w:rFonts w:eastAsia="Times New Roman"/>
                <w:color w:val="000000"/>
                <w:sz w:val="16"/>
                <w:szCs w:val="16"/>
              </w:rPr>
              <w:t>all underwent cesarean section</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Campos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Brasil</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none of the women were in labour, nor with superimposed preeclampsia, twin or multiple pregnancies or any</w:t>
            </w:r>
            <w:r>
              <w:rPr>
                <w:rFonts w:eastAsia="Times New Roman"/>
                <w:color w:val="000000"/>
                <w:sz w:val="16"/>
                <w:szCs w:val="16"/>
              </w:rPr>
              <w:t xml:space="preserve"> </w:t>
            </w:r>
            <w:r w:rsidRPr="0039568D">
              <w:rPr>
                <w:rFonts w:eastAsia="Times New Roman"/>
                <w:color w:val="000000"/>
                <w:sz w:val="16"/>
                <w:szCs w:val="16"/>
              </w:rPr>
              <w:t>evidence of previous medical illness</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Caucasian women</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Doridot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France</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after Cesarean section</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Hong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collagen vascular disease and other</w:t>
            </w:r>
            <w:r>
              <w:rPr>
                <w:rFonts w:eastAsia="Times New Roman"/>
                <w:color w:val="000000"/>
                <w:sz w:val="16"/>
                <w:szCs w:val="16"/>
              </w:rPr>
              <w:t xml:space="preserve"> </w:t>
            </w:r>
            <w:r w:rsidRPr="0039568D">
              <w:rPr>
                <w:rFonts w:eastAsia="Times New Roman"/>
                <w:color w:val="000000"/>
                <w:sz w:val="16"/>
                <w:szCs w:val="16"/>
              </w:rPr>
              <w:t>pregnancy complications (such as fetal</w:t>
            </w:r>
            <w:r>
              <w:rPr>
                <w:rFonts w:eastAsia="Times New Roman"/>
                <w:color w:val="000000"/>
                <w:sz w:val="16"/>
                <w:szCs w:val="16"/>
              </w:rPr>
              <w:t xml:space="preserve"> </w:t>
            </w:r>
            <w:r w:rsidRPr="0039568D">
              <w:rPr>
                <w:rFonts w:eastAsia="Times New Roman"/>
                <w:color w:val="000000"/>
                <w:sz w:val="16"/>
                <w:szCs w:val="16"/>
              </w:rPr>
              <w:t>anomalies or chromosomal bnormalities)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after Cesarean section</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Li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had renal disease, spontaneous abortion,</w:t>
            </w:r>
            <w:r>
              <w:rPr>
                <w:rFonts w:eastAsia="Times New Roman"/>
                <w:color w:val="000000"/>
                <w:sz w:val="16"/>
                <w:szCs w:val="16"/>
              </w:rPr>
              <w:t xml:space="preserve"> </w:t>
            </w:r>
            <w:r w:rsidRPr="0039568D">
              <w:rPr>
                <w:rFonts w:eastAsia="Times New Roman"/>
                <w:color w:val="000000"/>
                <w:sz w:val="16"/>
                <w:szCs w:val="16"/>
              </w:rPr>
              <w:t>gestational diabetes, fetal chromosomal or congenital abnormalities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45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Luo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developed renal disease, transient hypertension during pregnancy, multiple pregnancy, gestational diabetes, spontaneous abortion, intrauterine fetal death, fetal</w:t>
            </w:r>
            <w:r>
              <w:rPr>
                <w:rFonts w:eastAsia="Times New Roman"/>
                <w:color w:val="000000"/>
                <w:sz w:val="16"/>
                <w:szCs w:val="16"/>
              </w:rPr>
              <w:t xml:space="preserve"> </w:t>
            </w:r>
            <w:r w:rsidRPr="0039568D">
              <w:rPr>
                <w:rFonts w:eastAsia="Times New Roman"/>
                <w:color w:val="000000"/>
                <w:sz w:val="16"/>
                <w:szCs w:val="16"/>
              </w:rPr>
              <w:t>chromosomal or congenital abnormalities or pregnancies conceived by fertility treatment</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Luque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Spain</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pregnancies with aneuploidies, major</w:t>
            </w:r>
            <w:r>
              <w:rPr>
                <w:rFonts w:eastAsia="Times New Roman"/>
                <w:color w:val="000000"/>
                <w:sz w:val="16"/>
                <w:szCs w:val="16"/>
              </w:rPr>
              <w:t xml:space="preserve"> </w:t>
            </w:r>
            <w:r w:rsidRPr="0039568D">
              <w:rPr>
                <w:rFonts w:eastAsia="Times New Roman"/>
                <w:color w:val="000000"/>
                <w:sz w:val="16"/>
                <w:szCs w:val="16"/>
              </w:rPr>
              <w:t>fetal abnormalities, and those ending in termination, miscarriage or fetal death before 24 weeks of gestation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pregnancies</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Weedon-Fekjaer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Norway</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pregnancy delivered by</w:t>
            </w:r>
            <w:r>
              <w:rPr>
                <w:rFonts w:eastAsia="Times New Roman"/>
                <w:color w:val="000000"/>
                <w:sz w:val="16"/>
                <w:szCs w:val="16"/>
              </w:rPr>
              <w:t xml:space="preserve"> </w:t>
            </w:r>
            <w:r w:rsidRPr="0039568D">
              <w:rPr>
                <w:rFonts w:eastAsia="Times New Roman"/>
                <w:color w:val="000000"/>
                <w:sz w:val="16"/>
                <w:szCs w:val="16"/>
              </w:rPr>
              <w:t>elective caesarean section, fasting overnight (minimum 6 h),</w:t>
            </w:r>
            <w:r>
              <w:rPr>
                <w:rFonts w:eastAsia="Times New Roman"/>
                <w:color w:val="000000"/>
                <w:sz w:val="16"/>
                <w:szCs w:val="16"/>
              </w:rPr>
              <w:t xml:space="preserve"> </w:t>
            </w:r>
            <w:r w:rsidRPr="0039568D">
              <w:rPr>
                <w:rFonts w:eastAsia="Times New Roman"/>
                <w:color w:val="000000"/>
                <w:sz w:val="16"/>
                <w:szCs w:val="16"/>
              </w:rPr>
              <w:t>none were in labor, none had ruptured membranes or clinical signs of infection.</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Xu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All the patients accepted no special medical treatment</w:t>
            </w:r>
            <w:r>
              <w:rPr>
                <w:rFonts w:eastAsia="Times New Roman"/>
                <w:color w:val="000000"/>
                <w:sz w:val="16"/>
                <w:szCs w:val="16"/>
              </w:rPr>
              <w:t xml:space="preserve"> </w:t>
            </w:r>
            <w:r w:rsidRPr="0039568D">
              <w:rPr>
                <w:rFonts w:eastAsia="Times New Roman"/>
                <w:color w:val="000000"/>
                <w:sz w:val="16"/>
                <w:szCs w:val="16"/>
              </w:rPr>
              <w:t>before termination of pregnancy</w:t>
            </w:r>
          </w:p>
        </w:tc>
      </w:tr>
      <w:tr w:rsidR="00296202" w:rsidRPr="0039568D" w:rsidTr="00723D45">
        <w:trPr>
          <w:trHeight w:val="16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Zhao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Any complications of pregnancy such as multiple pregnancies including twins, fetal structural or genetic anomalies, hemolysis, elevated liver enzyme levels, the HELLP syndrome, hepatic disease, diabetes, or other infectious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after Cesarean section</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Zou 2014</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primiparas aged 20-36years who</w:t>
            </w:r>
            <w:r>
              <w:rPr>
                <w:rFonts w:eastAsia="Times New Roman"/>
                <w:color w:val="000000"/>
                <w:sz w:val="16"/>
                <w:szCs w:val="16"/>
              </w:rPr>
              <w:t xml:space="preserve"> </w:t>
            </w:r>
            <w:r w:rsidRPr="0039568D">
              <w:rPr>
                <w:rFonts w:eastAsia="Times New Roman"/>
                <w:color w:val="000000"/>
                <w:sz w:val="16"/>
                <w:szCs w:val="16"/>
              </w:rPr>
              <w:t>underwent Cesarean deliveries</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Akehurst 2015</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Scotland</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women with two or more risk</w:t>
            </w:r>
            <w:r>
              <w:rPr>
                <w:rFonts w:eastAsia="Times New Roman"/>
                <w:color w:val="000000"/>
                <w:sz w:val="16"/>
                <w:szCs w:val="16"/>
              </w:rPr>
              <w:t xml:space="preserve"> </w:t>
            </w:r>
            <w:r w:rsidRPr="0039568D">
              <w:rPr>
                <w:rFonts w:eastAsia="Times New Roman"/>
                <w:color w:val="000000"/>
                <w:sz w:val="16"/>
                <w:szCs w:val="16"/>
              </w:rPr>
              <w:t>factors for preeclampsia (nulliparity, age over 35 years, BMI &gt;30 kg/m2, family history of preeclampsia in mother or</w:t>
            </w:r>
            <w:r>
              <w:rPr>
                <w:rFonts w:eastAsia="Times New Roman"/>
                <w:color w:val="000000"/>
                <w:sz w:val="16"/>
                <w:szCs w:val="16"/>
              </w:rPr>
              <w:t xml:space="preserve"> </w:t>
            </w:r>
            <w:r w:rsidRPr="0039568D">
              <w:rPr>
                <w:rFonts w:eastAsia="Times New Roman"/>
                <w:color w:val="000000"/>
                <w:sz w:val="16"/>
                <w:szCs w:val="16"/>
              </w:rPr>
              <w:t>sister at 16-28 gw</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Chen 2015</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section</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Ding 2015</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Gestational diabetes mellitus, placental abruption or placenta praevia, anemia or other hematologic disease, fetal distress syndrome or growth retardation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45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Hromadnikova 2015a</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Patients with a complicated gestation demonstrating premature rupture of membranes, in</w:t>
            </w:r>
            <w:r>
              <w:rPr>
                <w:rFonts w:eastAsia="Times New Roman"/>
                <w:color w:val="000000"/>
                <w:sz w:val="16"/>
                <w:szCs w:val="16"/>
              </w:rPr>
              <w:t xml:space="preserve"> </w:t>
            </w:r>
            <w:r w:rsidRPr="0039568D">
              <w:rPr>
                <w:rFonts w:eastAsia="Times New Roman"/>
                <w:color w:val="000000"/>
                <w:sz w:val="16"/>
                <w:szCs w:val="16"/>
              </w:rPr>
              <w:t>utero infections, fetal anomalies or chromosomal abnormalities, and fetal demise in utero or</w:t>
            </w:r>
            <w:r>
              <w:rPr>
                <w:rFonts w:eastAsia="Times New Roman"/>
                <w:color w:val="000000"/>
                <w:sz w:val="16"/>
                <w:szCs w:val="16"/>
              </w:rPr>
              <w:t xml:space="preserve"> </w:t>
            </w:r>
            <w:r w:rsidRPr="0039568D">
              <w:rPr>
                <w:rFonts w:eastAsia="Times New Roman"/>
                <w:color w:val="000000"/>
                <w:sz w:val="16"/>
                <w:szCs w:val="16"/>
              </w:rPr>
              <w:t>stillbirth</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Cucasian</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Hromadnikova 2015b</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premature rupture of membranes, in utero infections, fetal</w:t>
            </w:r>
            <w:r>
              <w:rPr>
                <w:rFonts w:eastAsia="Times New Roman"/>
                <w:color w:val="000000"/>
                <w:sz w:val="16"/>
                <w:szCs w:val="16"/>
              </w:rPr>
              <w:t xml:space="preserve"> </w:t>
            </w:r>
            <w:r w:rsidRPr="0039568D">
              <w:rPr>
                <w:rFonts w:eastAsia="Times New Roman"/>
                <w:color w:val="000000"/>
                <w:sz w:val="16"/>
                <w:szCs w:val="16"/>
              </w:rPr>
              <w:t>anomalies or chromosomal abnormalities, and fetal demise</w:t>
            </w:r>
            <w:r>
              <w:rPr>
                <w:rFonts w:eastAsia="Times New Roman"/>
                <w:color w:val="000000"/>
                <w:sz w:val="16"/>
                <w:szCs w:val="16"/>
              </w:rPr>
              <w:t xml:space="preserve"> </w:t>
            </w:r>
            <w:r w:rsidRPr="0039568D">
              <w:rPr>
                <w:rFonts w:eastAsia="Times New Roman"/>
                <w:color w:val="000000"/>
                <w:sz w:val="16"/>
                <w:szCs w:val="16"/>
              </w:rPr>
              <w:t>in utero or stillbirth</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Caucasian</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Jiang 2015</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Gestational diabetes mellitus, spontaneous abortion</w:t>
            </w:r>
            <w:r>
              <w:rPr>
                <w:rFonts w:eastAsia="Times New Roman"/>
                <w:color w:val="000000"/>
                <w:sz w:val="16"/>
                <w:szCs w:val="16"/>
              </w:rPr>
              <w:t xml:space="preserve"> </w:t>
            </w:r>
            <w:r w:rsidRPr="0039568D">
              <w:rPr>
                <w:rFonts w:eastAsia="Times New Roman"/>
                <w:color w:val="000000"/>
                <w:sz w:val="16"/>
                <w:szCs w:val="16"/>
              </w:rPr>
              <w:t>or fetal chromosomal or congenital abnormalities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Zhang 2015</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women with any preexisting diseases or other pregnancy complications were excluded from this study</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Hromadnikova 2016</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complicated gestation demonstrating premature rupture of membranes, in utero infections, fetal anomalies or chromosomal abnormalities, and fetal demise in utero or stillbirth</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Caucasian pregnant women</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Hu 2016</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women who underwent elective cesarean section</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Munaut 2016</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Belgium</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manifestation of PE at selection</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pregnant women at 24 to &lt;37</w:t>
            </w:r>
            <w:r>
              <w:rPr>
                <w:rFonts w:eastAsia="Times New Roman"/>
                <w:color w:val="000000"/>
                <w:sz w:val="16"/>
                <w:szCs w:val="16"/>
              </w:rPr>
              <w:t xml:space="preserve"> </w:t>
            </w:r>
            <w:r w:rsidRPr="0039568D">
              <w:rPr>
                <w:rFonts w:eastAsia="Times New Roman"/>
                <w:color w:val="000000"/>
                <w:sz w:val="16"/>
                <w:szCs w:val="16"/>
              </w:rPr>
              <w:t>weeks</w:t>
            </w:r>
            <w:r>
              <w:rPr>
                <w:rFonts w:eastAsia="Times New Roman"/>
                <w:color w:val="000000"/>
                <w:sz w:val="16"/>
                <w:szCs w:val="16"/>
              </w:rPr>
              <w:t>’</w:t>
            </w:r>
            <w:r w:rsidRPr="0039568D">
              <w:rPr>
                <w:rFonts w:eastAsia="Times New Roman"/>
                <w:color w:val="000000"/>
                <w:sz w:val="16"/>
                <w:szCs w:val="16"/>
              </w:rPr>
              <w:t xml:space="preserve"> gestation, clinical suspicion of, but not manifesting preeclampsia/eclampsia/HELLP syndrome</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Ospina-Prieto 2016</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Germany</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multiple pregnnacies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Sandrim 2016a</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Brasil</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Sandrim 2016b</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Brasil</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superimposed pre-eclampsia, haemostatic abnormalities, nonwhite, cancer, twin pregnancy, autoimmune and hepatic diseases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Vashukova 2016</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Russia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hepatitis, intrapartum infection or other pregnancy complications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Wang 2016</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present signs of infection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Zhou 2016</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Han ethnicity</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Adel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Egypt</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primigravidas</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Azizi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Iran</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collagen vascular disease, positive family history for PE and other pregnancy complications (such as fetalanomalies or chromosomal abnormalities)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Guo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Complications</w:t>
            </w:r>
            <w:r>
              <w:rPr>
                <w:rFonts w:eastAsia="Times New Roman"/>
                <w:color w:val="000000"/>
                <w:sz w:val="16"/>
                <w:szCs w:val="16"/>
              </w:rPr>
              <w:t xml:space="preserve"> (not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Han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blood transfusion, immunotherapy and other obstetric complications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Singleton pregnancies</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Hromadnikova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premature rupture of membranes, in utero infections, fetal anomalies or chromosomal abnormalities, and fetal demise in utero or stillbirth</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Caucasian pregnant women</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Hu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elective Cesarean section</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Huang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(nephropathy,</w:t>
            </w:r>
            <w:r w:rsidRPr="0039568D">
              <w:rPr>
                <w:rFonts w:eastAsia="Times New Roman"/>
                <w:color w:val="000000"/>
                <w:sz w:val="16"/>
                <w:szCs w:val="16"/>
              </w:rPr>
              <w:br/>
              <w:t>kidney disease)</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Chinese Han women</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Jairajpuri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Kingdom of Bahrain</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women in 3</w:t>
            </w:r>
            <w:r w:rsidRPr="00123466">
              <w:rPr>
                <w:rFonts w:eastAsia="Times New Roman"/>
                <w:color w:val="000000"/>
                <w:sz w:val="16"/>
                <w:szCs w:val="16"/>
                <w:vertAlign w:val="superscript"/>
              </w:rPr>
              <w:t>rd</w:t>
            </w:r>
            <w:r w:rsidRPr="0039568D">
              <w:rPr>
                <w:rFonts w:eastAsia="Times New Roman"/>
                <w:color w:val="000000"/>
                <w:sz w:val="16"/>
                <w:szCs w:val="16"/>
              </w:rPr>
              <w:t xml:space="preserve"> trimester pregnancy</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Korkes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multiple gestations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Li 2017b</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(chronic nephritis)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Gestational diabetes mellitus, multiple gestations, the HELLP syndrome, hepatic disease, in vitro fertilization and embryo transfer (IVF-ET) or other infectious and neoplastic disease and fetal congenital defect</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1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Lu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congenital diseases, hereditary diseases, autoimmune diseases, and cardiovascular diseases, pregnancy complications such as, hypertension, nephritis, heart diseases, anemia, hepatitis, intrahepatic cholestasis in gestation period, and sexually transmitted diseases, internal medicine complications and other obstetric complications such as placenta praevia, placental abruption, mother and child blood type incompatibility, gestational diabetes, premature rupture of fetal membranes, and so on, serious smoking, alcoholism, drug abuse, or history of mental illness</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Meng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Inner Mongolia (China)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other pathologies</w:t>
            </w:r>
            <w:r>
              <w:rPr>
                <w:rFonts w:eastAsia="Times New Roman"/>
                <w:color w:val="000000"/>
                <w:sz w:val="16"/>
                <w:szCs w:val="16"/>
              </w:rPr>
              <w:t xml:space="preserve"> </w:t>
            </w:r>
            <w:r w:rsidRPr="0039568D">
              <w:rPr>
                <w:rFonts w:eastAsia="Times New Roman"/>
                <w:color w:val="000000"/>
                <w:sz w:val="16"/>
                <w:szCs w:val="16"/>
              </w:rPr>
              <w:t>(exclude preeclampsia) or under medication were excluded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Chinese Han</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Nizyaeva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severe extragenital pathology,</w:t>
            </w:r>
            <w:r>
              <w:rPr>
                <w:rFonts w:eastAsia="Times New Roman"/>
                <w:color w:val="000000"/>
                <w:sz w:val="16"/>
                <w:szCs w:val="16"/>
              </w:rPr>
              <w:t xml:space="preserve"> </w:t>
            </w:r>
            <w:r w:rsidRPr="0039568D">
              <w:rPr>
                <w:rFonts w:eastAsia="Times New Roman"/>
                <w:color w:val="000000"/>
                <w:sz w:val="16"/>
                <w:szCs w:val="16"/>
              </w:rPr>
              <w:t>post-transplantation state, history of cancer, severe fetal abnormalities, and congenital malformations of the fetus.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Salomon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Chile</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gestation and none of them took multivitamins or aspirin</w:t>
            </w:r>
            <w:r>
              <w:rPr>
                <w:rFonts w:eastAsia="Times New Roman"/>
                <w:color w:val="000000"/>
                <w:sz w:val="16"/>
                <w:szCs w:val="16"/>
              </w:rPr>
              <w:t xml:space="preserve"> </w:t>
            </w:r>
            <w:r w:rsidRPr="0039568D">
              <w:rPr>
                <w:rFonts w:eastAsia="Times New Roman"/>
                <w:color w:val="000000"/>
                <w:sz w:val="16"/>
                <w:szCs w:val="16"/>
              </w:rPr>
              <w:t>during pregnancy, without intrauterine infection</w:t>
            </w:r>
          </w:p>
        </w:tc>
      </w:tr>
      <w:tr w:rsidR="00296202" w:rsidRPr="0039568D" w:rsidTr="00723D45">
        <w:trPr>
          <w:trHeight w:val="16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Shao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developed renal disease, cardiovascular disease,</w:t>
            </w:r>
            <w:r>
              <w:rPr>
                <w:rFonts w:eastAsia="Times New Roman"/>
                <w:color w:val="000000"/>
                <w:sz w:val="16"/>
                <w:szCs w:val="16"/>
              </w:rPr>
              <w:t xml:space="preserve"> </w:t>
            </w:r>
            <w:r w:rsidRPr="0039568D">
              <w:rPr>
                <w:rFonts w:eastAsia="Times New Roman"/>
                <w:color w:val="000000"/>
                <w:sz w:val="16"/>
                <w:szCs w:val="16"/>
              </w:rPr>
              <w:t>gestational diabetes mellitus, spontaneous abortion, intrauterine fetal death, fetal chromosomal or congenital abnormalities, or pregnancies</w:t>
            </w:r>
            <w:r>
              <w:rPr>
                <w:rFonts w:eastAsia="Times New Roman"/>
                <w:color w:val="000000"/>
                <w:sz w:val="16"/>
                <w:szCs w:val="16"/>
              </w:rPr>
              <w:t xml:space="preserve"> </w:t>
            </w:r>
            <w:r w:rsidRPr="0039568D">
              <w:rPr>
                <w:rFonts w:eastAsia="Times New Roman"/>
                <w:color w:val="000000"/>
                <w:sz w:val="16"/>
                <w:szCs w:val="16"/>
              </w:rPr>
              <w:t>that were conceived with the assistance of fertility treatments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Singh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gestational diabetes,</w:t>
            </w:r>
            <w:r>
              <w:rPr>
                <w:rFonts w:eastAsia="Times New Roman"/>
                <w:color w:val="000000"/>
                <w:sz w:val="16"/>
                <w:szCs w:val="16"/>
              </w:rPr>
              <w:t xml:space="preserve"> </w:t>
            </w:r>
            <w:r w:rsidRPr="0039568D">
              <w:rPr>
                <w:rFonts w:eastAsia="Times New Roman"/>
                <w:color w:val="000000"/>
                <w:sz w:val="16"/>
                <w:szCs w:val="16"/>
              </w:rPr>
              <w:t>multiple gestation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Wei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New Zeland</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pregnancies</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Yang 2017</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spontaneous abortion, gestational diabetes, fetal chromosomal, or congenital abnormalities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8F3A77" w:rsidRDefault="00296202" w:rsidP="00723D45">
            <w:pPr>
              <w:spacing w:after="0"/>
              <w:jc w:val="center"/>
              <w:rPr>
                <w:rFonts w:eastAsia="Times New Roman"/>
                <w:color w:val="000000"/>
                <w:sz w:val="16"/>
                <w:szCs w:val="16"/>
              </w:rPr>
            </w:pPr>
            <w:r w:rsidRPr="008F3A77">
              <w:rPr>
                <w:rFonts w:eastAsia="Times New Roman"/>
                <w:color w:val="000000"/>
                <w:sz w:val="16"/>
                <w:szCs w:val="16"/>
              </w:rPr>
              <w:t>Zhang 2017</w:t>
            </w:r>
          </w:p>
          <w:p w:rsidR="00296202" w:rsidRPr="0039568D" w:rsidRDefault="00296202" w:rsidP="00723D45">
            <w:pPr>
              <w:spacing w:after="0"/>
              <w:jc w:val="center"/>
              <w:rPr>
                <w:rFonts w:eastAsia="Times New Roman"/>
                <w:color w:val="000000"/>
                <w:sz w:val="16"/>
                <w:szCs w:val="16"/>
              </w:rPr>
            </w:pPr>
            <w:r w:rsidRPr="008F3A77">
              <w:rPr>
                <w:rFonts w:eastAsia="Times New Roman"/>
                <w:color w:val="000000"/>
                <w:sz w:val="16"/>
                <w:szCs w:val="16"/>
              </w:rPr>
              <w:lastRenderedPageBreak/>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 xml:space="preserve">not </w:t>
            </w:r>
            <w:r w:rsidRPr="0039568D">
              <w:rPr>
                <w:rFonts w:eastAsia="Times New Roman"/>
                <w:color w:val="000000"/>
                <w:sz w:val="16"/>
                <w:szCs w:val="16"/>
              </w:rPr>
              <w:lastRenderedPageBreak/>
              <w:t>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Chinese Han women</w:t>
            </w:r>
          </w:p>
        </w:tc>
      </w:tr>
      <w:tr w:rsidR="00296202" w:rsidRPr="0039568D" w:rsidTr="00723D45">
        <w:trPr>
          <w:trHeight w:val="16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Brkic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Patients who developed renal disease, transient hypertension during pregnancy, gestational diabetes, spontaneous</w:t>
            </w:r>
            <w:r>
              <w:rPr>
                <w:rFonts w:eastAsia="Times New Roman"/>
                <w:color w:val="000000"/>
                <w:sz w:val="16"/>
                <w:szCs w:val="16"/>
              </w:rPr>
              <w:t xml:space="preserve"> </w:t>
            </w:r>
            <w:r w:rsidRPr="0039568D">
              <w:rPr>
                <w:rFonts w:eastAsia="Times New Roman"/>
                <w:color w:val="000000"/>
                <w:sz w:val="16"/>
                <w:szCs w:val="16"/>
              </w:rPr>
              <w:t>abortion, intrauterine fetal death, fetal chromosomal or congenital abnormalities or pregnancies conceived by</w:t>
            </w:r>
            <w:r>
              <w:rPr>
                <w:rFonts w:eastAsia="Times New Roman"/>
                <w:color w:val="000000"/>
                <w:sz w:val="16"/>
                <w:szCs w:val="16"/>
              </w:rPr>
              <w:t xml:space="preserve"> </w:t>
            </w:r>
            <w:r w:rsidRPr="0039568D">
              <w:rPr>
                <w:rFonts w:eastAsia="Times New Roman"/>
                <w:color w:val="000000"/>
                <w:sz w:val="16"/>
                <w:szCs w:val="16"/>
              </w:rPr>
              <w:t>fertility treatment</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pregnant women who underwent perinatal</w:t>
            </w:r>
            <w:r>
              <w:rPr>
                <w:rFonts w:eastAsia="Times New Roman"/>
                <w:color w:val="000000"/>
                <w:sz w:val="16"/>
                <w:szCs w:val="16"/>
              </w:rPr>
              <w:t xml:space="preserve"> </w:t>
            </w:r>
            <w:r w:rsidRPr="0039568D">
              <w:rPr>
                <w:rFonts w:eastAsia="Times New Roman"/>
                <w:color w:val="000000"/>
                <w:sz w:val="16"/>
                <w:szCs w:val="16"/>
              </w:rPr>
              <w:t>medical care</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known HIV or Hepatitis infection and any classified as a missed miscarriage</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45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All patients with complications</w:t>
            </w:r>
            <w:r>
              <w:rPr>
                <w:rFonts w:eastAsia="Times New Roman"/>
                <w:color w:val="000000"/>
                <w:sz w:val="16"/>
                <w:szCs w:val="16"/>
              </w:rPr>
              <w:t xml:space="preserve"> </w:t>
            </w:r>
            <w:r w:rsidRPr="0039568D">
              <w:rPr>
                <w:rFonts w:eastAsia="Times New Roman"/>
                <w:color w:val="000000"/>
                <w:sz w:val="16"/>
                <w:szCs w:val="16"/>
              </w:rPr>
              <w:t>of pregnancy, including twins, fetal gene abnormalities, maternal chronic hypertension, aberrant liver enzyme levels, cardiovascular disease, renal disease, diabetes or other infectious diseases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25-35 years previously underwent caesarean section</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Dai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pregnancy complicated by</w:t>
            </w:r>
            <w:r>
              <w:rPr>
                <w:rFonts w:eastAsia="Times New Roman"/>
                <w:color w:val="000000"/>
                <w:sz w:val="16"/>
                <w:szCs w:val="16"/>
              </w:rPr>
              <w:t xml:space="preserve"> </w:t>
            </w:r>
            <w:r w:rsidRPr="0039568D">
              <w:rPr>
                <w:rFonts w:eastAsia="Times New Roman"/>
                <w:color w:val="000000"/>
                <w:sz w:val="16"/>
                <w:szCs w:val="16"/>
              </w:rPr>
              <w:t>essential hypertension, diabetes and chronic nephrosis</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Fang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internal and surgical diseases, drug taken history during pregnancy, or in vitro</w:t>
            </w:r>
            <w:r>
              <w:rPr>
                <w:rFonts w:eastAsia="Times New Roman"/>
                <w:color w:val="000000"/>
                <w:sz w:val="16"/>
                <w:szCs w:val="16"/>
              </w:rPr>
              <w:t xml:space="preserve"> </w:t>
            </w:r>
            <w:r w:rsidRPr="0039568D">
              <w:rPr>
                <w:rFonts w:eastAsia="Times New Roman"/>
                <w:color w:val="000000"/>
                <w:sz w:val="16"/>
                <w:szCs w:val="16"/>
              </w:rPr>
              <w:t>fertilization.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Khaliq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South Africa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aged between 17–45 years</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Kim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Republic of Korea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45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Li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(chronic nephritis)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twin pregnancy or above; a history of blood transfusion or application of special drugs during pregnancy; severe infection during pregnancy; limb defects or suffering major accidents before pregnancy; not cooperative in treatment or follow</w:t>
            </w:r>
            <w:r w:rsidRPr="0039568D">
              <w:rPr>
                <w:rFonts w:eastAsia="Times New Roman"/>
                <w:color w:val="000000"/>
                <w:sz w:val="16"/>
                <w:szCs w:val="16"/>
              </w:rPr>
              <w:noBreakHyphen/>
              <w:t>up</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 familial genetic disease and immune deficiency; patients without congenital heart disease, hepatitis; patients with healthy diet and regular rest; patients without diseases of respiratory or digestive system.</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Liu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(chronic ne</w:t>
            </w:r>
            <w:r>
              <w:rPr>
                <w:rFonts w:eastAsia="Times New Roman"/>
                <w:color w:val="000000"/>
                <w:sz w:val="16"/>
                <w:szCs w:val="16"/>
              </w:rPr>
              <w:t>p</w:t>
            </w:r>
            <w:r w:rsidRPr="0039568D">
              <w:rPr>
                <w:rFonts w:eastAsia="Times New Roman"/>
                <w:color w:val="000000"/>
                <w:sz w:val="16"/>
                <w:szCs w:val="16"/>
              </w:rPr>
              <w:t>hritis)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Monocyesis, normal pregnancy</w:t>
            </w:r>
            <w:r>
              <w:rPr>
                <w:rFonts w:eastAsia="Times New Roman"/>
                <w:color w:val="000000"/>
                <w:sz w:val="16"/>
                <w:szCs w:val="16"/>
              </w:rPr>
              <w:t xml:space="preserve"> </w:t>
            </w:r>
            <w:r w:rsidRPr="0039568D">
              <w:rPr>
                <w:rFonts w:eastAsia="Times New Roman"/>
                <w:color w:val="000000"/>
                <w:sz w:val="16"/>
                <w:szCs w:val="16"/>
              </w:rPr>
              <w:t>at the time of sample collection and no pre</w:t>
            </w:r>
            <w:r w:rsidRPr="0039568D">
              <w:rPr>
                <w:rFonts w:eastAsia="Times New Roman"/>
                <w:color w:val="000000"/>
                <w:sz w:val="16"/>
                <w:szCs w:val="16"/>
              </w:rPr>
              <w:noBreakHyphen/>
              <w:t>existing clinical conditions, including hepatic or autoimmune disease.</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Lykoudi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Greece</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multiple pregnancies, congenital or chromosomal abnormalities of the fetus, renal disease, chronic hypertension, cardiovascular disease or other pregnancy complications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Martinez-Fierro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Mexico</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(DM2)</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(chronic renal disease)</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gestational hypertension, gestational diabetes mellitus, hypo/hyperthyroidism, rheumatoid arthritis, and systemic lupus erythematosus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Motawi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Egypt</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fetuses affected with congenital</w:t>
            </w:r>
            <w:r>
              <w:rPr>
                <w:rFonts w:eastAsia="Times New Roman"/>
                <w:color w:val="000000"/>
                <w:sz w:val="16"/>
                <w:szCs w:val="16"/>
              </w:rPr>
              <w:t xml:space="preserve"> </w:t>
            </w:r>
            <w:r w:rsidRPr="0039568D">
              <w:rPr>
                <w:rFonts w:eastAsia="Times New Roman"/>
                <w:color w:val="000000"/>
                <w:sz w:val="16"/>
                <w:szCs w:val="16"/>
              </w:rPr>
              <w:t>anomalies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Niu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(cardiac diasese)</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 maternal complications such as multiple pregnancies, fetal anomalies, premature rupture of membranes, maternal infection</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delivery</w:t>
            </w:r>
            <w:r>
              <w:rPr>
                <w:rFonts w:eastAsia="Times New Roman"/>
                <w:color w:val="000000"/>
                <w:sz w:val="16"/>
                <w:szCs w:val="16"/>
              </w:rPr>
              <w:t xml:space="preserve"> </w:t>
            </w:r>
            <w:r w:rsidRPr="0039568D">
              <w:rPr>
                <w:rFonts w:eastAsia="Times New Roman"/>
                <w:color w:val="000000"/>
                <w:sz w:val="16"/>
                <w:szCs w:val="16"/>
              </w:rPr>
              <w:t>singleton pregnancies</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Shen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(chronic nephritis)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Timofeeva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Russia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assisted reproductive techniques to increase fertility, multifetal pregnancies, severe somatic pathology in pregnant women, fetal aneuploidy, and vaginal delivery</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Wang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delivery</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Wang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transient hypertension in pregnancy,</w:t>
            </w:r>
            <w:r>
              <w:rPr>
                <w:rFonts w:eastAsia="Times New Roman"/>
                <w:color w:val="000000"/>
                <w:sz w:val="16"/>
                <w:szCs w:val="16"/>
              </w:rPr>
              <w:t xml:space="preserve"> </w:t>
            </w:r>
            <w:r w:rsidRPr="0039568D">
              <w:rPr>
                <w:rFonts w:eastAsia="Times New Roman"/>
                <w:color w:val="000000"/>
                <w:sz w:val="16"/>
                <w:szCs w:val="16"/>
              </w:rPr>
              <w:t>intrauterine fetal death, gestational diabetes, fetal congenital or chromosomal abnormalities or pregnancies conceived by in-vitro</w:t>
            </w:r>
            <w:r>
              <w:rPr>
                <w:rFonts w:eastAsia="Times New Roman"/>
                <w:color w:val="000000"/>
                <w:sz w:val="16"/>
                <w:szCs w:val="16"/>
              </w:rPr>
              <w:t xml:space="preserve"> </w:t>
            </w:r>
            <w:r w:rsidRPr="0039568D">
              <w:rPr>
                <w:rFonts w:eastAsia="Times New Roman"/>
                <w:color w:val="000000"/>
                <w:sz w:val="16"/>
                <w:szCs w:val="16"/>
              </w:rPr>
              <w:t>fertilization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Wang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delivery</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Winger 2018</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delivery, delivered baby with no obvious birth defects, BMI &lt;30, blood sample available from 11±13 weeks gestation</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Awamleh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Canada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gestational diabetes, obvious chorioamnionitis, alcohol/drug use, chromosomal or genetic abnormalities,</w:t>
            </w:r>
            <w:r>
              <w:rPr>
                <w:rFonts w:eastAsia="Times New Roman"/>
                <w:color w:val="000000"/>
                <w:sz w:val="16"/>
                <w:szCs w:val="16"/>
              </w:rPr>
              <w:t xml:space="preserve"> </w:t>
            </w:r>
            <w:r w:rsidRPr="0039568D">
              <w:rPr>
                <w:rFonts w:eastAsia="Times New Roman"/>
                <w:color w:val="000000"/>
                <w:sz w:val="16"/>
                <w:szCs w:val="16"/>
              </w:rPr>
              <w:t>congenital anomalies, or infection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Biro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Hungary</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Pregnancies with ongoing labor,</w:t>
            </w:r>
            <w:r>
              <w:rPr>
                <w:rFonts w:eastAsia="Times New Roman"/>
                <w:color w:val="000000"/>
                <w:sz w:val="16"/>
                <w:szCs w:val="16"/>
              </w:rPr>
              <w:t xml:space="preserve"> </w:t>
            </w:r>
            <w:r w:rsidRPr="0039568D">
              <w:rPr>
                <w:rFonts w:eastAsia="Times New Roman"/>
                <w:color w:val="000000"/>
                <w:sz w:val="16"/>
                <w:szCs w:val="16"/>
              </w:rPr>
              <w:t>multiple gestations, and congenital malformations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Chen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multifetal gestation, autoimmune or vascular disease, infection (HIV, syphilis or hepatitis B or C), present signs of infection, active labor, rupture of the amniotic membrane, hormonal contraception</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Devor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USA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HIV positive, hepatitis C positive, incarcerated, or who had fetuses with a major structural or chromosomal</w:t>
            </w:r>
            <w:r>
              <w:rPr>
                <w:rFonts w:eastAsia="Times New Roman"/>
                <w:color w:val="000000"/>
                <w:sz w:val="16"/>
                <w:szCs w:val="16"/>
              </w:rPr>
              <w:t xml:space="preserve"> </w:t>
            </w:r>
            <w:r w:rsidRPr="0039568D">
              <w:rPr>
                <w:rFonts w:eastAsia="Times New Roman"/>
                <w:color w:val="000000"/>
                <w:sz w:val="16"/>
                <w:szCs w:val="16"/>
              </w:rPr>
              <w:t>abnormality</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women with singleton pregnancies older than 18 years, less than 40-year old presenting</w:t>
            </w:r>
            <w:r>
              <w:rPr>
                <w:rFonts w:eastAsia="Times New Roman"/>
                <w:color w:val="000000"/>
                <w:sz w:val="16"/>
                <w:szCs w:val="16"/>
              </w:rPr>
              <w:t xml:space="preserve"> </w:t>
            </w:r>
            <w:r w:rsidRPr="0039568D">
              <w:rPr>
                <w:rFonts w:eastAsia="Times New Roman"/>
                <w:color w:val="000000"/>
                <w:sz w:val="16"/>
                <w:szCs w:val="16"/>
              </w:rPr>
              <w:t>for prenatal care prior to 12 weeks</w:t>
            </w:r>
          </w:p>
        </w:tc>
      </w:tr>
      <w:tr w:rsidR="00296202" w:rsidRPr="0039568D" w:rsidTr="00723D45">
        <w:trPr>
          <w:trHeight w:val="121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Dong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pregnancy-induced diabetes or any other medical problem that would predispose them to an alteration in their immune response such as nephritis, cancer, systemic lupus erythematosus (SLE)</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and not in labor</w:t>
            </w:r>
          </w:p>
        </w:tc>
      </w:tr>
      <w:tr w:rsidR="00296202" w:rsidRPr="0039568D" w:rsidTr="00723D45">
        <w:trPr>
          <w:trHeight w:val="16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Eghbal-Fard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Iran</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 xml:space="preserve">history hyperthyroidism and hypothyroidism, </w:t>
            </w:r>
            <w:r>
              <w:rPr>
                <w:rFonts w:eastAsia="Times New Roman"/>
                <w:color w:val="000000"/>
                <w:sz w:val="16"/>
                <w:szCs w:val="16"/>
              </w:rPr>
              <w:t>h</w:t>
            </w:r>
            <w:r w:rsidRPr="0039568D">
              <w:rPr>
                <w:rFonts w:eastAsia="Times New Roman"/>
                <w:color w:val="000000"/>
                <w:sz w:val="16"/>
                <w:szCs w:val="16"/>
              </w:rPr>
              <w:t>ypertension, autoimmune diseases (such as rheumatoid arthritis and lupus), intrahepatic cholestasis of pregnancy, active thromboembolic disorders, maternal or fetal infection as well as bleeding, miscarriage, and abruption. Receiving steroids or other immunosuppressive medicines</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in active labor at the time</w:t>
            </w:r>
            <w:r w:rsidRPr="0039568D">
              <w:rPr>
                <w:rFonts w:eastAsia="Times New Roman"/>
                <w:color w:val="000000"/>
                <w:sz w:val="16"/>
                <w:szCs w:val="16"/>
              </w:rPr>
              <w:br/>
              <w:t>of enrollment and blood sampling</w:t>
            </w:r>
          </w:p>
        </w:tc>
      </w:tr>
      <w:tr w:rsidR="00296202" w:rsidRPr="0039568D" w:rsidTr="00723D45">
        <w:trPr>
          <w:trHeight w:val="19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Hocaoglu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Turkey</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under 18 years of age, twin or</w:t>
            </w:r>
            <w:r>
              <w:rPr>
                <w:rFonts w:eastAsia="Times New Roman"/>
                <w:color w:val="000000"/>
                <w:sz w:val="16"/>
                <w:szCs w:val="16"/>
              </w:rPr>
              <w:t xml:space="preserve"> </w:t>
            </w:r>
            <w:r w:rsidRPr="0039568D">
              <w:rPr>
                <w:rFonts w:eastAsia="Times New Roman"/>
                <w:color w:val="000000"/>
                <w:sz w:val="16"/>
                <w:szCs w:val="16"/>
              </w:rPr>
              <w:t>multiple pregnancies, hemostatic abnormalities, any other</w:t>
            </w:r>
            <w:r>
              <w:rPr>
                <w:rFonts w:eastAsia="Times New Roman"/>
                <w:color w:val="000000"/>
                <w:sz w:val="16"/>
                <w:szCs w:val="16"/>
              </w:rPr>
              <w:t xml:space="preserve"> </w:t>
            </w:r>
            <w:r w:rsidRPr="0039568D">
              <w:rPr>
                <w:rFonts w:eastAsia="Times New Roman"/>
                <w:color w:val="000000"/>
                <w:sz w:val="16"/>
                <w:szCs w:val="16"/>
              </w:rPr>
              <w:t>confounding pathologies (including intrahepatic cholestasis of pregnancy,</w:t>
            </w:r>
            <w:r>
              <w:rPr>
                <w:rFonts w:eastAsia="Times New Roman"/>
                <w:color w:val="000000"/>
                <w:sz w:val="16"/>
                <w:szCs w:val="16"/>
              </w:rPr>
              <w:t xml:space="preserve"> </w:t>
            </w:r>
            <w:r w:rsidRPr="0039568D">
              <w:rPr>
                <w:rFonts w:eastAsia="Times New Roman"/>
                <w:color w:val="000000"/>
                <w:sz w:val="16"/>
                <w:szCs w:val="16"/>
              </w:rPr>
              <w:t>autoimmune, hepatic diseases), cancer, fetal congenital anomalies, intrauterine</w:t>
            </w:r>
            <w:r>
              <w:rPr>
                <w:rFonts w:eastAsia="Times New Roman"/>
                <w:color w:val="000000"/>
                <w:sz w:val="16"/>
                <w:szCs w:val="16"/>
              </w:rPr>
              <w:t xml:space="preserve"> </w:t>
            </w:r>
            <w:r w:rsidRPr="0039568D">
              <w:rPr>
                <w:rFonts w:eastAsia="Times New Roman"/>
                <w:color w:val="000000"/>
                <w:sz w:val="16"/>
                <w:szCs w:val="16"/>
              </w:rPr>
              <w:t>fetal death.</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Hromadnikova 2019a</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Caucasian women with equal age</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Hromadnikova 2019b</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Czech Republic</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pregnancies of</w:t>
            </w:r>
            <w:r>
              <w:rPr>
                <w:rFonts w:eastAsia="Times New Roman"/>
                <w:color w:val="000000"/>
                <w:sz w:val="16"/>
                <w:szCs w:val="16"/>
              </w:rPr>
              <w:t xml:space="preserve"> </w:t>
            </w:r>
            <w:r w:rsidRPr="0039568D">
              <w:rPr>
                <w:rFonts w:eastAsia="Times New Roman"/>
                <w:color w:val="000000"/>
                <w:sz w:val="16"/>
                <w:szCs w:val="16"/>
              </w:rPr>
              <w:t>Caucasian descent only</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lastRenderedPageBreak/>
              <w:t>Hu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Huang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primiparas after Cesarean section</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Li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Liu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Liu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55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Liu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(heart disease)</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(kidney disease)</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thyroid disease, and other complications that may lead to hypoxic changes</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termination of pregnancy via cesarean section with</w:t>
            </w:r>
            <w:r>
              <w:rPr>
                <w:rFonts w:eastAsia="Times New Roman"/>
                <w:color w:val="000000"/>
                <w:sz w:val="16"/>
                <w:szCs w:val="16"/>
              </w:rPr>
              <w:t xml:space="preserve"> </w:t>
            </w:r>
            <w:r w:rsidRPr="0039568D">
              <w:rPr>
                <w:rFonts w:eastAsia="Times New Roman"/>
                <w:color w:val="000000"/>
                <w:sz w:val="16"/>
                <w:szCs w:val="16"/>
              </w:rPr>
              <w:t>epidural anesthesia</w:t>
            </w:r>
          </w:p>
        </w:tc>
      </w:tr>
      <w:tr w:rsidR="00296202" w:rsidRPr="0039568D" w:rsidTr="00723D45">
        <w:trPr>
          <w:trHeight w:val="121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Ma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malnutrition, prenatal infections, or fetal chromosomal abnormalities,</w:t>
            </w:r>
            <w:r>
              <w:rPr>
                <w:rFonts w:eastAsia="Times New Roman"/>
                <w:color w:val="000000"/>
                <w:sz w:val="16"/>
                <w:szCs w:val="16"/>
              </w:rPr>
              <w:t xml:space="preserve"> </w:t>
            </w:r>
            <w:r w:rsidRPr="0039568D">
              <w:rPr>
                <w:rFonts w:eastAsia="Times New Roman"/>
                <w:color w:val="000000"/>
                <w:sz w:val="16"/>
                <w:szCs w:val="16"/>
              </w:rPr>
              <w:t>one or more malignant tumors, other complications developed during the pregnancy period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aged above 18 years with a gestational period longer than 20 weeks, with no congenital immunodeficiencies, physical disabilities, or cognitive dysfunction, willing to cooperate with treatment protocols and follow-up</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Martinez-Fierro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Mexico</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Mei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49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Nejad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Iran</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twin pregnancy and history of any</w:t>
            </w:r>
            <w:r>
              <w:rPr>
                <w:rFonts w:eastAsia="Times New Roman"/>
                <w:color w:val="000000"/>
                <w:sz w:val="16"/>
                <w:szCs w:val="16"/>
              </w:rPr>
              <w:t xml:space="preserve"> </w:t>
            </w:r>
            <w:r w:rsidRPr="0039568D">
              <w:rPr>
                <w:rFonts w:eastAsia="Times New Roman"/>
                <w:color w:val="000000"/>
                <w:sz w:val="16"/>
                <w:szCs w:val="16"/>
              </w:rPr>
              <w:t>other disease</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Pillay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South Africa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singleton pregnancies with no evidence</w:t>
            </w:r>
            <w:r>
              <w:rPr>
                <w:rFonts w:eastAsia="Times New Roman"/>
                <w:color w:val="000000"/>
                <w:sz w:val="16"/>
                <w:szCs w:val="16"/>
              </w:rPr>
              <w:t xml:space="preserve"> </w:t>
            </w:r>
            <w:r w:rsidRPr="0039568D">
              <w:rPr>
                <w:rFonts w:eastAsia="Times New Roman"/>
                <w:color w:val="000000"/>
                <w:sz w:val="16"/>
                <w:szCs w:val="16"/>
              </w:rPr>
              <w:t>of any infections or medical, surgical or other obstetric</w:t>
            </w:r>
            <w:r>
              <w:rPr>
                <w:rFonts w:eastAsia="Times New Roman"/>
                <w:color w:val="000000"/>
                <w:sz w:val="16"/>
                <w:szCs w:val="16"/>
              </w:rPr>
              <w:t xml:space="preserve"> </w:t>
            </w:r>
            <w:r w:rsidRPr="0039568D">
              <w:rPr>
                <w:rFonts w:eastAsia="Times New Roman"/>
                <w:color w:val="000000"/>
                <w:sz w:val="16"/>
                <w:szCs w:val="16"/>
              </w:rPr>
              <w:t>complications.</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Sekar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India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Shi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lastRenderedPageBreak/>
              <w:t>Tang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multifetal gestation, autoimmune</w:t>
            </w:r>
            <w:r>
              <w:rPr>
                <w:rFonts w:eastAsia="Times New Roman"/>
                <w:color w:val="000000"/>
                <w:sz w:val="16"/>
                <w:szCs w:val="16"/>
              </w:rPr>
              <w:t xml:space="preserve"> </w:t>
            </w:r>
            <w:r w:rsidRPr="0039568D">
              <w:rPr>
                <w:rFonts w:eastAsia="Times New Roman"/>
                <w:color w:val="000000"/>
                <w:sz w:val="16"/>
                <w:szCs w:val="16"/>
              </w:rPr>
              <w:t>disease, angiopathy, maternal or fetal infection, and fetal congenital anomaly</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Wang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Taiwan</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Wang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Wang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73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Wang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multiple pregnancies, rupture of membranes, and fetal structural or genetic anomalies, severe pre</w:t>
            </w:r>
            <w:r w:rsidRPr="0039568D">
              <w:rPr>
                <w:rFonts w:ascii="Cambria Math" w:eastAsia="Times New Roman" w:hAnsi="Cambria Math"/>
                <w:color w:val="000000"/>
                <w:sz w:val="16"/>
                <w:szCs w:val="16"/>
              </w:rPr>
              <w:t>‐</w:t>
            </w:r>
            <w:r w:rsidRPr="0039568D">
              <w:rPr>
                <w:rFonts w:eastAsia="Times New Roman"/>
                <w:color w:val="000000"/>
                <w:sz w:val="16"/>
                <w:szCs w:val="16"/>
              </w:rPr>
              <w:t>existing metabolic disorders</w:t>
            </w:r>
          </w:p>
        </w:tc>
        <w:tc>
          <w:tcPr>
            <w:tcW w:w="108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nulliparous women in the 3</w:t>
            </w:r>
            <w:r w:rsidRPr="005737DD">
              <w:rPr>
                <w:rFonts w:eastAsia="Times New Roman"/>
                <w:color w:val="000000"/>
                <w:sz w:val="16"/>
                <w:szCs w:val="16"/>
                <w:vertAlign w:val="superscript"/>
              </w:rPr>
              <w:t>rd</w:t>
            </w:r>
            <w:r>
              <w:rPr>
                <w:rFonts w:eastAsia="Times New Roman"/>
                <w:color w:val="000000"/>
                <w:sz w:val="16"/>
                <w:szCs w:val="16"/>
              </w:rPr>
              <w:t xml:space="preserve"> </w:t>
            </w:r>
            <w:r w:rsidRPr="0039568D">
              <w:rPr>
                <w:rFonts w:eastAsia="Times New Roman"/>
                <w:color w:val="000000"/>
                <w:sz w:val="16"/>
                <w:szCs w:val="16"/>
              </w:rPr>
              <w:t>trimester after Cesarean section</w:t>
            </w:r>
          </w:p>
        </w:tc>
      </w:tr>
      <w:tr w:rsidR="00296202" w:rsidRPr="0039568D" w:rsidTr="00723D45">
        <w:trPr>
          <w:trHeight w:val="97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Wang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(kidney</w:t>
            </w:r>
            <w:r w:rsidRPr="0039568D">
              <w:rPr>
                <w:rFonts w:eastAsia="Times New Roman"/>
                <w:color w:val="000000"/>
                <w:sz w:val="16"/>
                <w:szCs w:val="16"/>
              </w:rPr>
              <w:br/>
              <w:t>function damage)</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multiple pregnancy, server liver function damage, psychiatric disorder and other pregnancy coexisted diseases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Xiaobo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twin pregnancy and acute or chronic hepatitis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97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Xie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Hypertensive emergencies,</w:t>
            </w:r>
            <w:r w:rsidRPr="0039568D">
              <w:rPr>
                <w:rFonts w:eastAsia="Times New Roman"/>
                <w:color w:val="000000"/>
                <w:sz w:val="16"/>
                <w:szCs w:val="16"/>
              </w:rPr>
              <w:t xml:space="preserve"> abnormal pregnancy with other complications</w:t>
            </w:r>
            <w:r>
              <w:rPr>
                <w:rFonts w:eastAsia="Times New Roman"/>
                <w:color w:val="000000"/>
                <w:sz w:val="16"/>
                <w:szCs w:val="16"/>
              </w:rPr>
              <w:t xml:space="preserve"> </w:t>
            </w:r>
            <w:r w:rsidRPr="0039568D">
              <w:rPr>
                <w:rFonts w:eastAsia="Times New Roman"/>
                <w:color w:val="000000"/>
                <w:sz w:val="16"/>
                <w:szCs w:val="16"/>
              </w:rPr>
              <w:t>of obstetrics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Xue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975"/>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Yang 2019</w:t>
            </w:r>
          </w:p>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gestational diabetes, transient hypertension, spontaneous abortion,</w:t>
            </w:r>
            <w:r>
              <w:rPr>
                <w:rFonts w:eastAsia="Times New Roman"/>
                <w:color w:val="000000"/>
                <w:sz w:val="16"/>
                <w:szCs w:val="16"/>
              </w:rPr>
              <w:t xml:space="preserve"> </w:t>
            </w:r>
            <w:r w:rsidRPr="0039568D">
              <w:rPr>
                <w:rFonts w:eastAsia="Times New Roman"/>
                <w:color w:val="000000"/>
                <w:sz w:val="16"/>
                <w:szCs w:val="16"/>
              </w:rPr>
              <w:t>congenital abnormalities in the fetus, and intrauterine fetal death</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unifetal gestation</w:t>
            </w:r>
          </w:p>
        </w:tc>
      </w:tr>
      <w:tr w:rsidR="00296202" w:rsidRPr="0039568D" w:rsidTr="00723D45">
        <w:trPr>
          <w:trHeight w:val="73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Yang 2019a</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(kidney disease)</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history of drug or alcohol abuse half year prior to providing written informed</w:t>
            </w:r>
            <w:r>
              <w:rPr>
                <w:rFonts w:eastAsia="Times New Roman"/>
                <w:color w:val="000000"/>
                <w:sz w:val="16"/>
                <w:szCs w:val="16"/>
              </w:rPr>
              <w:t xml:space="preserve"> </w:t>
            </w:r>
            <w:r w:rsidRPr="0039568D">
              <w:rPr>
                <w:rFonts w:eastAsia="Times New Roman"/>
                <w:color w:val="000000"/>
                <w:sz w:val="16"/>
                <w:szCs w:val="16"/>
              </w:rPr>
              <w:t>consent</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section</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Yang 2019b</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(heart diseases)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(nephropathy)</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section, Han ethnicity</w:t>
            </w:r>
          </w:p>
        </w:tc>
      </w:tr>
      <w:tr w:rsidR="00296202" w:rsidRPr="0039568D" w:rsidTr="00723D45">
        <w:trPr>
          <w:trHeight w:val="300"/>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Yang 2019a</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section</w:t>
            </w:r>
          </w:p>
        </w:tc>
      </w:tr>
      <w:tr w:rsidR="00296202" w:rsidRPr="0039568D" w:rsidTr="00723D45">
        <w:trPr>
          <w:trHeight w:val="97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lastRenderedPageBreak/>
              <w:t>Yang 2019b</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(heart diseases)</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yes (chronic nephritis)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autoimmune diseases, thrombophilic conditions, vaginal delivery, fetal malformation, and HELLP</w:t>
            </w:r>
            <w:r>
              <w:rPr>
                <w:rFonts w:eastAsia="Times New Roman"/>
                <w:color w:val="000000"/>
                <w:sz w:val="16"/>
                <w:szCs w:val="16"/>
              </w:rPr>
              <w:t xml:space="preserve"> </w:t>
            </w:r>
            <w:r w:rsidRPr="0039568D">
              <w:rPr>
                <w:rFonts w:eastAsia="Times New Roman"/>
                <w:color w:val="000000"/>
                <w:sz w:val="16"/>
                <w:szCs w:val="16"/>
              </w:rPr>
              <w:t>syndrome (hemolysis, elevated liver enzymes and low platelet count)</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Cesarean section</w:t>
            </w:r>
          </w:p>
        </w:tc>
      </w:tr>
      <w:tr w:rsidR="00296202" w:rsidRPr="0039568D" w:rsidTr="00723D45">
        <w:trPr>
          <w:trHeight w:val="495"/>
          <w:jc w:val="center"/>
        </w:trPr>
        <w:tc>
          <w:tcPr>
            <w:tcW w:w="475" w:type="pct"/>
            <w:vAlign w:val="bottom"/>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Youssef 2019</w:t>
            </w:r>
          </w:p>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Egypt</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pregnancy complications</w:t>
            </w:r>
            <w:r>
              <w:rPr>
                <w:rFonts w:eastAsia="Times New Roman"/>
                <w:color w:val="000000"/>
                <w:sz w:val="16"/>
                <w:szCs w:val="16"/>
              </w:rPr>
              <w:t xml:space="preserve"> </w:t>
            </w:r>
            <w:r w:rsidRPr="0039568D">
              <w:rPr>
                <w:rFonts w:eastAsia="Times New Roman"/>
                <w:color w:val="000000"/>
                <w:sz w:val="16"/>
                <w:szCs w:val="16"/>
              </w:rPr>
              <w:t>or systemic diseases</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Pr="004557AC" w:rsidRDefault="00296202" w:rsidP="00723D45">
            <w:pPr>
              <w:spacing w:after="0"/>
              <w:jc w:val="center"/>
              <w:rPr>
                <w:rFonts w:eastAsia="Times New Roman"/>
                <w:color w:val="000000"/>
                <w:sz w:val="16"/>
                <w:szCs w:val="16"/>
              </w:rPr>
            </w:pPr>
            <w:r w:rsidRPr="004557AC">
              <w:rPr>
                <w:rFonts w:eastAsia="Times New Roman"/>
                <w:color w:val="000000"/>
                <w:sz w:val="16"/>
                <w:szCs w:val="16"/>
              </w:rPr>
              <w:t>Zhong 2019</w:t>
            </w:r>
          </w:p>
          <w:p w:rsidR="00296202" w:rsidRPr="00FE3A93" w:rsidRDefault="00296202" w:rsidP="00723D45">
            <w:pPr>
              <w:spacing w:after="0"/>
              <w:jc w:val="center"/>
              <w:rPr>
                <w:rFonts w:eastAsia="Times New Roman"/>
                <w:color w:val="000000"/>
                <w:sz w:val="16"/>
                <w:szCs w:val="16"/>
                <w:highlight w:val="yellow"/>
              </w:rPr>
            </w:pPr>
            <w:r w:rsidRPr="004557AC">
              <w:rPr>
                <w:rFonts w:eastAsia="Times New Roman"/>
                <w:color w:val="000000"/>
                <w:sz w:val="16"/>
                <w:szCs w:val="16"/>
              </w:rPr>
              <w:t>China</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11"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c>
          <w:tcPr>
            <w:tcW w:w="108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sidRPr="0039568D">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Ayoub 2019</w:t>
            </w:r>
          </w:p>
          <w:p w:rsidR="00296202" w:rsidRPr="004557AC" w:rsidRDefault="00296202" w:rsidP="00723D45">
            <w:pPr>
              <w:spacing w:after="0"/>
              <w:jc w:val="center"/>
              <w:rPr>
                <w:rFonts w:eastAsia="Times New Roman"/>
                <w:color w:val="000000"/>
                <w:sz w:val="16"/>
                <w:szCs w:val="16"/>
              </w:rPr>
            </w:pPr>
            <w:r>
              <w:rPr>
                <w:rFonts w:eastAsia="Times New Roman"/>
                <w:color w:val="000000"/>
                <w:sz w:val="16"/>
                <w:szCs w:val="16"/>
              </w:rPr>
              <w:t>Egypt</w:t>
            </w:r>
          </w:p>
        </w:tc>
        <w:tc>
          <w:tcPr>
            <w:tcW w:w="53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Pr="0039568D"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sidRPr="00123466">
              <w:rPr>
                <w:rFonts w:cs="Times New Roman"/>
                <w:sz w:val="16"/>
                <w:szCs w:val="16"/>
                <w:lang w:val="en-GB"/>
              </w:rPr>
              <w:t xml:space="preserve">chromosomal abnormalities, </w:t>
            </w:r>
            <w:r>
              <w:rPr>
                <w:rFonts w:cs="Times New Roman"/>
                <w:sz w:val="16"/>
                <w:szCs w:val="16"/>
                <w:lang w:val="en-GB"/>
              </w:rPr>
              <w:t>a</w:t>
            </w:r>
            <w:r w:rsidRPr="00123466">
              <w:rPr>
                <w:rFonts w:cs="Times New Roman"/>
                <w:sz w:val="16"/>
                <w:szCs w:val="16"/>
                <w:lang w:val="en-GB"/>
              </w:rPr>
              <w:t>lcoholism,</w:t>
            </w:r>
            <w:r>
              <w:rPr>
                <w:rFonts w:cs="Times New Roman"/>
                <w:sz w:val="16"/>
                <w:szCs w:val="16"/>
                <w:lang w:val="en-GB"/>
              </w:rPr>
              <w:t xml:space="preserve"> </w:t>
            </w:r>
            <w:r w:rsidRPr="00123466">
              <w:rPr>
                <w:rFonts w:cs="Times New Roman"/>
                <w:sz w:val="16"/>
                <w:szCs w:val="16"/>
                <w:lang w:val="en-GB"/>
              </w:rPr>
              <w:t>and fetal congenital abnormalities</w:t>
            </w:r>
          </w:p>
        </w:tc>
        <w:tc>
          <w:tcPr>
            <w:tcW w:w="1086"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All subjects were unrelated</w:t>
            </w:r>
            <w:r>
              <w:rPr>
                <w:rFonts w:cs="Times New Roman"/>
                <w:sz w:val="16"/>
                <w:szCs w:val="16"/>
                <w:lang w:val="en-GB"/>
              </w:rPr>
              <w:t xml:space="preserve"> </w:t>
            </w:r>
            <w:r w:rsidRPr="00123466">
              <w:rPr>
                <w:rFonts w:cs="Times New Roman"/>
                <w:sz w:val="16"/>
                <w:szCs w:val="16"/>
                <w:lang w:val="en-GB"/>
              </w:rPr>
              <w:t>and of the same race</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Demirer 2019</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Turkey</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w:t>
            </w:r>
            <w:r>
              <w:rPr>
                <w:rFonts w:ascii="AdvOT596495f2" w:hAnsi="AdvOT596495f2" w:cs="AdvOT596495f2"/>
                <w:sz w:val="16"/>
                <w:szCs w:val="16"/>
                <w:lang w:val="en-GB"/>
              </w:rPr>
              <w:t xml:space="preserve">body mass index </w:t>
            </w:r>
            <w:r>
              <w:rPr>
                <w:rFonts w:ascii="STIXTwoMath" w:eastAsia="STIXTwoMath" w:hAnsi="AdvOT596495f2" w:cs="STIXTwoMath" w:hint="eastAsia"/>
                <w:sz w:val="16"/>
                <w:szCs w:val="16"/>
                <w:lang w:val="en-GB"/>
              </w:rPr>
              <w:t>≥</w:t>
            </w:r>
            <w:r>
              <w:rPr>
                <w:rFonts w:ascii="AdvOT596495f2" w:hAnsi="AdvOT596495f2" w:cs="AdvOT596495f2"/>
                <w:sz w:val="16"/>
                <w:szCs w:val="16"/>
                <w:lang w:val="en-GB"/>
              </w:rPr>
              <w:t>40 kg/m</w:t>
            </w:r>
            <w:r>
              <w:rPr>
                <w:rFonts w:ascii="AdvOT596495f2" w:hAnsi="AdvOT596495f2" w:cs="AdvOT596495f2"/>
                <w:sz w:val="11"/>
                <w:szCs w:val="11"/>
                <w:lang w:val="en-GB"/>
              </w:rPr>
              <w:t>2</w:t>
            </w:r>
            <w:r>
              <w:rPr>
                <w:rFonts w:eastAsia="Times New Roman"/>
                <w:color w:val="000000"/>
                <w:sz w:val="16"/>
                <w:szCs w:val="16"/>
              </w:rPr>
              <w:t>)</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&gt;18 years of age, gestational hypertension, with or without</w:t>
            </w:r>
          </w:p>
          <w:p w:rsidR="00296202" w:rsidRPr="00123466"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superimposed PE, twin or multiple pregnancies, hemostatic abnormalities, and any other confounding pathologies (including intrahepatic</w:t>
            </w:r>
          </w:p>
          <w:p w:rsidR="00296202" w:rsidRPr="00935F62"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cholestasis of pregnancy, autoimmune, renal and hepatic diseases), cancer, pregnancies complicated by neonatal chromosomal, structural anomalies, intrauterine infection, intrauterine fetal death</w:t>
            </w:r>
            <w:r>
              <w:rPr>
                <w:rFonts w:ascii="AdvOT596495f2" w:hAnsi="AdvOT596495f2" w:cs="AdvOT596495f2"/>
                <w:sz w:val="16"/>
                <w:szCs w:val="16"/>
                <w:lang w:val="en-GB"/>
              </w:rPr>
              <w:t>.</w:t>
            </w:r>
          </w:p>
        </w:tc>
        <w:tc>
          <w:tcPr>
            <w:tcW w:w="1086" w:type="pct"/>
            <w:shd w:val="clear" w:color="auto" w:fill="auto"/>
            <w:noWrap/>
            <w:vAlign w:val="bottom"/>
            <w:hideMark/>
          </w:tcPr>
          <w:p w:rsidR="00296202" w:rsidRPr="00935F62" w:rsidRDefault="00296202" w:rsidP="00723D45">
            <w:pPr>
              <w:autoSpaceDE w:val="0"/>
              <w:autoSpaceDN w:val="0"/>
              <w:adjustRightInd w:val="0"/>
              <w:spacing w:before="0" w:after="0"/>
              <w:jc w:val="center"/>
              <w:rPr>
                <w:rFonts w:cs="Times New Roman"/>
                <w:sz w:val="16"/>
                <w:szCs w:val="16"/>
                <w:lang w:val="en-GB"/>
              </w:rPr>
            </w:pPr>
            <w:r>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Dong 2019</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(pregnancy induced)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(nephritis)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450087" w:rsidRDefault="00296202" w:rsidP="00723D45">
            <w:pPr>
              <w:autoSpaceDE w:val="0"/>
              <w:autoSpaceDN w:val="0"/>
              <w:adjustRightInd w:val="0"/>
              <w:spacing w:before="0" w:after="0"/>
              <w:jc w:val="center"/>
              <w:rPr>
                <w:rFonts w:cs="Times New Roman"/>
                <w:sz w:val="16"/>
                <w:szCs w:val="16"/>
                <w:lang w:val="en-GB"/>
              </w:rPr>
            </w:pPr>
            <w:r>
              <w:rPr>
                <w:rFonts w:cs="Times New Roman"/>
                <w:sz w:val="16"/>
                <w:szCs w:val="16"/>
                <w:lang w:val="en-GB"/>
              </w:rPr>
              <w:t>Cancer, Systemic lupus erythematosus</w:t>
            </w:r>
          </w:p>
        </w:tc>
        <w:tc>
          <w:tcPr>
            <w:tcW w:w="1086" w:type="pct"/>
            <w:shd w:val="clear" w:color="auto" w:fill="auto"/>
            <w:noWrap/>
            <w:vAlign w:val="bottom"/>
            <w:hideMark/>
          </w:tcPr>
          <w:p w:rsidR="00296202" w:rsidRPr="00935F62" w:rsidRDefault="00296202" w:rsidP="00723D45">
            <w:pPr>
              <w:autoSpaceDE w:val="0"/>
              <w:autoSpaceDN w:val="0"/>
              <w:adjustRightInd w:val="0"/>
              <w:spacing w:before="0" w:after="0"/>
              <w:jc w:val="center"/>
              <w:rPr>
                <w:rFonts w:cs="Times New Roman"/>
                <w:sz w:val="16"/>
                <w:szCs w:val="16"/>
                <w:lang w:val="en-GB"/>
              </w:rPr>
            </w:pPr>
            <w:r>
              <w:rPr>
                <w:rFonts w:ascii="AdvOT596495f2" w:hAnsi="AdvOT596495f2" w:cs="AdvOT596495f2"/>
                <w:sz w:val="16"/>
                <w:szCs w:val="16"/>
                <w:lang w:val="en-GB"/>
              </w:rPr>
              <w:t>All pregnancies were singleton and not in labour</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Lip, 2019</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Netherlands</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DA05F0"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no autoimmune diseases (antiphospholipid syndrome, SLE)</w:t>
            </w:r>
          </w:p>
          <w:p w:rsidR="00296202" w:rsidRDefault="00296202" w:rsidP="00723D45">
            <w:pPr>
              <w:autoSpaceDE w:val="0"/>
              <w:autoSpaceDN w:val="0"/>
              <w:adjustRightInd w:val="0"/>
              <w:spacing w:before="0" w:after="0"/>
              <w:jc w:val="center"/>
              <w:rPr>
                <w:rFonts w:cs="Times New Roman"/>
                <w:sz w:val="16"/>
                <w:szCs w:val="16"/>
                <w:lang w:val="en-GB"/>
              </w:rPr>
            </w:pP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ascii="AdvOT596495f2" w:hAnsi="AdvOT596495f2" w:cs="AdvOT596495f2"/>
                <w:sz w:val="16"/>
                <w:szCs w:val="16"/>
                <w:lang w:val="en-GB"/>
              </w:rPr>
            </w:pPr>
            <w:r>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Lv, 2019</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5466EF"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Poor lifestyle habits, liver disease</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Xu, 2019</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USA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5466EF"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Infection</w:t>
            </w:r>
            <w:r>
              <w:rPr>
                <w:rFonts w:cs="Times New Roman"/>
                <w:sz w:val="16"/>
                <w:szCs w:val="16"/>
                <w:lang w:val="en-GB"/>
              </w:rPr>
              <w:t>, HELLP syndrome</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Yang, 2019</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8F18ED"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fetal dysplasia, premature rupture of membranes, or infection of maternity</w:t>
            </w:r>
          </w:p>
          <w:p w:rsidR="00296202" w:rsidRPr="005466EF" w:rsidRDefault="00296202" w:rsidP="00723D45">
            <w:pPr>
              <w:autoSpaceDE w:val="0"/>
              <w:autoSpaceDN w:val="0"/>
              <w:adjustRightInd w:val="0"/>
              <w:spacing w:before="0" w:after="0"/>
              <w:jc w:val="center"/>
              <w:rPr>
                <w:rFonts w:cs="Times New Roman"/>
                <w:sz w:val="16"/>
                <w:szCs w:val="16"/>
                <w:lang w:val="en-GB"/>
              </w:rPr>
            </w:pP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Han ethnicity</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Yuan, 2019</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8F18ED"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lang w:val="en-GB"/>
              </w:rPr>
              <w:t>no other medical and surgical complications</w:t>
            </w:r>
            <w:r>
              <w:rPr>
                <w:rFonts w:cs="Times New Roman"/>
                <w:sz w:val="16"/>
                <w:szCs w:val="16"/>
                <w:lang w:val="en-GB"/>
              </w:rPr>
              <w:t xml:space="preserve"> </w:t>
            </w:r>
            <w:r w:rsidRPr="00123466">
              <w:rPr>
                <w:rFonts w:cs="Times New Roman"/>
                <w:sz w:val="16"/>
                <w:szCs w:val="16"/>
                <w:lang w:val="en-GB"/>
              </w:rPr>
              <w:t>before and after pregnancy except PE</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monocyesis</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Akgor,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Turkey</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6"/>
                <w:szCs w:val="16"/>
              </w:rPr>
            </w:pPr>
            <w:r w:rsidRPr="000436E0">
              <w:rPr>
                <w:rFonts w:cs="Times New Roman"/>
                <w:sz w:val="16"/>
                <w:szCs w:val="16"/>
              </w:rPr>
              <w:t>M</w:t>
            </w:r>
            <w:r w:rsidRPr="00123466">
              <w:rPr>
                <w:rFonts w:cs="Times New Roman"/>
                <w:sz w:val="16"/>
                <w:szCs w:val="16"/>
              </w:rPr>
              <w:t>ultiple</w:t>
            </w:r>
            <w:r>
              <w:rPr>
                <w:rFonts w:cs="Times New Roman"/>
                <w:sz w:val="16"/>
                <w:szCs w:val="16"/>
              </w:rPr>
              <w:t xml:space="preserve"> </w:t>
            </w:r>
            <w:r w:rsidRPr="00123466">
              <w:rPr>
                <w:rFonts w:cs="Times New Roman"/>
                <w:sz w:val="16"/>
                <w:szCs w:val="16"/>
              </w:rPr>
              <w:t>pregnancies, pregnancy-related diseases and any pregnancy</w:t>
            </w:r>
          </w:p>
          <w:p w:rsidR="00296202" w:rsidRPr="00DC4EA6"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rPr>
              <w:t>complications except PE, and history of additional</w:t>
            </w:r>
            <w:r>
              <w:rPr>
                <w:rFonts w:cs="Times New Roman"/>
                <w:sz w:val="16"/>
                <w:szCs w:val="16"/>
              </w:rPr>
              <w:t xml:space="preserve"> </w:t>
            </w:r>
            <w:r w:rsidRPr="00123466">
              <w:rPr>
                <w:rFonts w:cs="Times New Roman"/>
                <w:sz w:val="16"/>
                <w:szCs w:val="16"/>
              </w:rPr>
              <w:t>comorbidities</w:t>
            </w:r>
          </w:p>
        </w:tc>
        <w:tc>
          <w:tcPr>
            <w:tcW w:w="1086" w:type="pct"/>
            <w:shd w:val="clear" w:color="auto" w:fill="auto"/>
            <w:noWrap/>
            <w:vAlign w:val="bottom"/>
            <w:hideMark/>
          </w:tcPr>
          <w:p w:rsidR="00296202" w:rsidRPr="000436E0" w:rsidRDefault="00296202" w:rsidP="00723D45">
            <w:pPr>
              <w:autoSpaceDE w:val="0"/>
              <w:autoSpaceDN w:val="0"/>
              <w:adjustRightInd w:val="0"/>
              <w:spacing w:before="0" w:after="0"/>
              <w:jc w:val="center"/>
              <w:rPr>
                <w:rFonts w:eastAsia="Times New Roman" w:cs="Times New Roman"/>
                <w:color w:val="000000"/>
                <w:sz w:val="16"/>
                <w:szCs w:val="16"/>
              </w:rPr>
            </w:pPr>
            <w:r w:rsidRPr="00123466">
              <w:rPr>
                <w:rFonts w:cs="Times New Roman"/>
                <w:sz w:val="16"/>
                <w:szCs w:val="16"/>
              </w:rPr>
              <w:t>gestational age from 20 to 40 weeks, singleton pregnancies, age more than 18 years old</w:t>
            </w:r>
          </w:p>
        </w:tc>
      </w:tr>
      <w:tr w:rsidR="00296202" w:rsidRPr="0039568D" w:rsidTr="00723D45">
        <w:trPr>
          <w:trHeight w:val="300"/>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lastRenderedPageBreak/>
              <w:t>Devor,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USA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HIV positive, hepatitis C positive, incarcerated, or who</w:t>
            </w:r>
            <w:r>
              <w:rPr>
                <w:rFonts w:cs="Times New Roman"/>
                <w:sz w:val="16"/>
                <w:szCs w:val="16"/>
              </w:rPr>
              <w:t xml:space="preserve"> </w:t>
            </w:r>
            <w:r w:rsidRPr="00123466">
              <w:rPr>
                <w:rFonts w:cs="Times New Roman"/>
                <w:sz w:val="16"/>
                <w:szCs w:val="16"/>
              </w:rPr>
              <w:t>had fetuses with a major structural or chromosomal</w:t>
            </w:r>
          </w:p>
          <w:p w:rsidR="00296202" w:rsidRPr="000436E0"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abnormality</w:t>
            </w:r>
          </w:p>
        </w:tc>
        <w:tc>
          <w:tcPr>
            <w:tcW w:w="1086" w:type="pct"/>
            <w:shd w:val="clear" w:color="auto" w:fill="auto"/>
            <w:noWrap/>
            <w:vAlign w:val="bottom"/>
            <w:hideMark/>
          </w:tcPr>
          <w:p w:rsidR="00296202" w:rsidRPr="000436E0"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singleton pregnancies</w:t>
            </w:r>
            <w:r>
              <w:rPr>
                <w:rFonts w:cs="Times New Roman"/>
                <w:sz w:val="16"/>
                <w:szCs w:val="16"/>
              </w:rPr>
              <w:t xml:space="preserve"> </w:t>
            </w:r>
            <w:r w:rsidRPr="00123466">
              <w:rPr>
                <w:rFonts w:cs="Times New Roman"/>
                <w:sz w:val="16"/>
                <w:szCs w:val="16"/>
              </w:rPr>
              <w:t>older than 18 years, less than 40-year old presenting</w:t>
            </w:r>
            <w:r>
              <w:rPr>
                <w:rFonts w:cs="Times New Roman"/>
                <w:sz w:val="16"/>
                <w:szCs w:val="16"/>
              </w:rPr>
              <w:t xml:space="preserve"> </w:t>
            </w:r>
            <w:r w:rsidRPr="00123466">
              <w:rPr>
                <w:rFonts w:cs="Times New Roman"/>
                <w:sz w:val="16"/>
                <w:szCs w:val="16"/>
              </w:rPr>
              <w:t>for prenatal care prior to 12 weeks</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Dong,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E40761" w:rsidRDefault="00296202" w:rsidP="00723D45">
            <w:pPr>
              <w:autoSpaceDE w:val="0"/>
              <w:autoSpaceDN w:val="0"/>
              <w:adjustRightInd w:val="0"/>
              <w:spacing w:before="0" w:after="0"/>
              <w:jc w:val="center"/>
              <w:rPr>
                <w:rFonts w:cs="Times New Roman"/>
                <w:sz w:val="16"/>
                <w:szCs w:val="16"/>
              </w:rPr>
            </w:pPr>
            <w:r w:rsidRPr="00123466">
              <w:rPr>
                <w:rFonts w:cs="Times"/>
                <w:color w:val="000000"/>
                <w:sz w:val="16"/>
                <w:szCs w:val="16"/>
              </w:rPr>
              <w:t>chromosomal abnormalities, anatomical variations, hormonal disorders and infectious diseases</w:t>
            </w:r>
          </w:p>
        </w:tc>
        <w:tc>
          <w:tcPr>
            <w:tcW w:w="1086" w:type="pct"/>
            <w:shd w:val="clear" w:color="auto" w:fill="auto"/>
            <w:noWrap/>
            <w:vAlign w:val="bottom"/>
            <w:hideMark/>
          </w:tcPr>
          <w:p w:rsidR="00296202" w:rsidRPr="00425AF4" w:rsidRDefault="00296202" w:rsidP="00723D45">
            <w:pPr>
              <w:autoSpaceDE w:val="0"/>
              <w:autoSpaceDN w:val="0"/>
              <w:adjustRightInd w:val="0"/>
              <w:spacing w:before="0" w:after="0"/>
              <w:jc w:val="center"/>
              <w:rPr>
                <w:rFonts w:cs="Times New Roman"/>
                <w:sz w:val="16"/>
                <w:szCs w:val="16"/>
              </w:rPr>
            </w:pPr>
            <w:r w:rsidRPr="00123466">
              <w:rPr>
                <w:rFonts w:cs="Times"/>
                <w:color w:val="000000"/>
                <w:sz w:val="16"/>
                <w:szCs w:val="16"/>
              </w:rPr>
              <w:t>single pregnancy</w:t>
            </w:r>
            <w:r>
              <w:rPr>
                <w:rFonts w:cs="Times"/>
                <w:color w:val="000000"/>
                <w:sz w:val="16"/>
                <w:szCs w:val="16"/>
              </w:rPr>
              <w:t>, age</w:t>
            </w:r>
            <w:r w:rsidRPr="00123466">
              <w:rPr>
                <w:rFonts w:cs="Times"/>
                <w:color w:val="000000"/>
                <w:sz w:val="16"/>
                <w:szCs w:val="16"/>
              </w:rPr>
              <w:t xml:space="preserve"> &lt;35 years and &gt;18 years</w:t>
            </w:r>
            <w:r>
              <w:rPr>
                <w:rFonts w:cs="Times"/>
                <w:color w:val="000000"/>
                <w:sz w:val="16"/>
                <w:szCs w:val="16"/>
              </w:rPr>
              <w:t>, no previous or ongoing treatment</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Fan,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E40761" w:rsidRDefault="00296202" w:rsidP="00723D45">
            <w:pPr>
              <w:autoSpaceDE w:val="0"/>
              <w:autoSpaceDN w:val="0"/>
              <w:adjustRightInd w:val="0"/>
              <w:spacing w:before="0" w:after="0"/>
              <w:jc w:val="center"/>
              <w:rPr>
                <w:rFonts w:cs="Times"/>
                <w:color w:val="000000"/>
                <w:sz w:val="16"/>
                <w:szCs w:val="16"/>
              </w:rPr>
            </w:pPr>
            <w:r w:rsidRPr="00123466">
              <w:rPr>
                <w:rFonts w:eastAsia="CharisSIL" w:cs="Times New Roman"/>
                <w:sz w:val="16"/>
                <w:szCs w:val="16"/>
              </w:rPr>
              <w:t>thyroid disease, or</w:t>
            </w:r>
            <w:r>
              <w:rPr>
                <w:rFonts w:eastAsia="CharisSIL" w:cs="Times New Roman"/>
                <w:sz w:val="16"/>
                <w:szCs w:val="16"/>
              </w:rPr>
              <w:t xml:space="preserve"> </w:t>
            </w:r>
            <w:r w:rsidRPr="00123466">
              <w:rPr>
                <w:rFonts w:eastAsia="CharisSIL" w:cs="Times New Roman"/>
                <w:sz w:val="16"/>
                <w:szCs w:val="16"/>
              </w:rPr>
              <w:t>multiple pregnancies</w:t>
            </w:r>
          </w:p>
        </w:tc>
        <w:tc>
          <w:tcPr>
            <w:tcW w:w="1086" w:type="pct"/>
            <w:shd w:val="clear" w:color="auto" w:fill="auto"/>
            <w:noWrap/>
            <w:vAlign w:val="bottom"/>
            <w:hideMark/>
          </w:tcPr>
          <w:p w:rsidR="00296202" w:rsidRPr="00425AF4" w:rsidRDefault="00296202" w:rsidP="00723D45">
            <w:pPr>
              <w:autoSpaceDE w:val="0"/>
              <w:autoSpaceDN w:val="0"/>
              <w:adjustRightInd w:val="0"/>
              <w:spacing w:before="0" w:after="0"/>
              <w:jc w:val="center"/>
              <w:rPr>
                <w:rFonts w:cs="Times"/>
                <w:color w:val="000000"/>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Han,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DC25A6" w:rsidRDefault="00296202" w:rsidP="00723D45">
            <w:pPr>
              <w:autoSpaceDE w:val="0"/>
              <w:autoSpaceDN w:val="0"/>
              <w:adjustRightInd w:val="0"/>
              <w:spacing w:before="0" w:after="0"/>
              <w:jc w:val="center"/>
              <w:rPr>
                <w:rFonts w:eastAsia="CharisSIL" w:cs="Times New Roman"/>
                <w:sz w:val="16"/>
                <w:szCs w:val="16"/>
              </w:rPr>
            </w:pPr>
            <w:r w:rsidRPr="00123466">
              <w:rPr>
                <w:rFonts w:cs="Times New Roman"/>
                <w:sz w:val="16"/>
                <w:szCs w:val="16"/>
              </w:rPr>
              <w:t>blood transfusion and immunotherapy, and other obstetric complications were excluded</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singleton</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Huang,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(chronic kindey disease)</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DC25A6" w:rsidRDefault="00296202" w:rsidP="00723D45">
            <w:pPr>
              <w:autoSpaceDE w:val="0"/>
              <w:autoSpaceDN w:val="0"/>
              <w:adjustRightInd w:val="0"/>
              <w:spacing w:before="0" w:after="0"/>
              <w:jc w:val="center"/>
              <w:rPr>
                <w:rFonts w:cs="Times New Roman"/>
                <w:sz w:val="16"/>
                <w:szCs w:val="16"/>
              </w:rPr>
            </w:pPr>
            <w:r>
              <w:rPr>
                <w:rFonts w:cs="Times New Roman"/>
                <w:sz w:val="16"/>
                <w:szCs w:val="16"/>
              </w:rPr>
              <w:t>Essential hypertension</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sz w:val="16"/>
                <w:szCs w:val="16"/>
              </w:rPr>
              <w:t>normal liver and kidney function and platelet count.</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Jelena,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Serbia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rFonts w:cs="Times New Roman"/>
                <w:sz w:val="16"/>
                <w:szCs w:val="16"/>
              </w:rPr>
            </w:pPr>
            <w:r w:rsidRPr="00163EED">
              <w:rPr>
                <w:rFonts w:eastAsia="CharisSIL" w:cs="Times New Roman"/>
                <w:sz w:val="16"/>
                <w:szCs w:val="16"/>
              </w:rPr>
              <w:t>M</w:t>
            </w:r>
            <w:r w:rsidRPr="00123466">
              <w:rPr>
                <w:rFonts w:eastAsia="CharisSIL" w:cs="Times New Roman"/>
                <w:sz w:val="16"/>
                <w:szCs w:val="16"/>
              </w:rPr>
              <w:t>ultifetal</w:t>
            </w:r>
            <w:r>
              <w:rPr>
                <w:rFonts w:eastAsia="CharisSIL" w:cs="Times New Roman"/>
                <w:sz w:val="16"/>
                <w:szCs w:val="16"/>
              </w:rPr>
              <w:t xml:space="preserve"> </w:t>
            </w:r>
            <w:r w:rsidRPr="00123466">
              <w:rPr>
                <w:rFonts w:eastAsia="CharisSIL" w:cs="Times New Roman"/>
                <w:sz w:val="16"/>
                <w:szCs w:val="16"/>
              </w:rPr>
              <w:t>pregnancy, major fetal anomaly, fetal death, any condition requiring termination of pregnancy, any maternal chronic disease and inability to give informed consent</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Kim,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South Korea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50449B"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elevated liver enzyme levels, twin or multiple pregnancies, or any evidence of previous medical illness</w:t>
            </w:r>
            <w:r>
              <w:rPr>
                <w:rFonts w:cs="Times New Roman"/>
                <w:sz w:val="16"/>
                <w:szCs w:val="16"/>
              </w:rPr>
              <w:t>, superimposed PE</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Li T,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5315E3" w:rsidRDefault="00296202" w:rsidP="00723D45">
            <w:pPr>
              <w:autoSpaceDE w:val="0"/>
              <w:autoSpaceDN w:val="0"/>
              <w:adjustRightInd w:val="0"/>
              <w:spacing w:before="0" w:after="0"/>
              <w:jc w:val="center"/>
              <w:rPr>
                <w:rFonts w:cs="Times New Roman"/>
                <w:sz w:val="16"/>
                <w:szCs w:val="16"/>
              </w:rPr>
            </w:pPr>
            <w:r w:rsidRPr="00123466">
              <w:rPr>
                <w:color w:val="000000"/>
                <w:sz w:val="16"/>
                <w:szCs w:val="16"/>
              </w:rPr>
              <w:t>malignant tumors, chemotherapy, immunotherapy and radiothe</w:t>
            </w:r>
            <w:r w:rsidRPr="00123466">
              <w:rPr>
                <w:color w:val="000000"/>
                <w:sz w:val="16"/>
                <w:szCs w:val="16"/>
              </w:rPr>
              <w:softHyphen/>
              <w:t>rapy before surgery</w:t>
            </w:r>
          </w:p>
        </w:tc>
        <w:tc>
          <w:tcPr>
            <w:tcW w:w="1086" w:type="pct"/>
            <w:shd w:val="clear" w:color="auto" w:fill="auto"/>
            <w:noWrap/>
            <w:vAlign w:val="bottom"/>
            <w:hideMark/>
          </w:tcPr>
          <w:p w:rsidR="00296202" w:rsidRPr="005315E3" w:rsidRDefault="00296202" w:rsidP="00723D45">
            <w:pPr>
              <w:autoSpaceDE w:val="0"/>
              <w:autoSpaceDN w:val="0"/>
              <w:adjustRightInd w:val="0"/>
              <w:spacing w:before="0" w:after="0"/>
              <w:jc w:val="center"/>
              <w:rPr>
                <w:rFonts w:eastAsia="Times New Roman"/>
                <w:color w:val="000000"/>
                <w:sz w:val="16"/>
                <w:szCs w:val="16"/>
              </w:rPr>
            </w:pPr>
            <w:r w:rsidRPr="00123466">
              <w:rPr>
                <w:color w:val="000000"/>
                <w:sz w:val="16"/>
                <w:szCs w:val="16"/>
              </w:rPr>
              <w:t>Conscious, 29-41 weeks of gestation with normal liver and kidney function</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Li H,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6"/>
                <w:szCs w:val="16"/>
              </w:rPr>
            </w:pPr>
            <w:r w:rsidRPr="00261042">
              <w:rPr>
                <w:rFonts w:cs="Times New Roman"/>
                <w:sz w:val="16"/>
                <w:szCs w:val="16"/>
              </w:rPr>
              <w:t xml:space="preserve">Multiple pregnancies, </w:t>
            </w:r>
            <w:r w:rsidRPr="00123466">
              <w:rPr>
                <w:rFonts w:cs="Times New Roman"/>
                <w:sz w:val="16"/>
                <w:szCs w:val="16"/>
              </w:rPr>
              <w:t>history of labor induction</w:t>
            </w:r>
            <w:r w:rsidRPr="00261042">
              <w:rPr>
                <w:rFonts w:cs="Times New Roman"/>
                <w:sz w:val="16"/>
                <w:szCs w:val="16"/>
              </w:rPr>
              <w:t xml:space="preserve"> at &gt;16 weeks of gestational age</w:t>
            </w:r>
            <w:r w:rsidRPr="00123466">
              <w:rPr>
                <w:rFonts w:cs="Times New Roman"/>
                <w:sz w:val="16"/>
                <w:szCs w:val="16"/>
              </w:rPr>
              <w:t>, placenta previa, placental</w:t>
            </w:r>
            <w:r>
              <w:rPr>
                <w:rFonts w:cs="Times New Roman"/>
                <w:sz w:val="16"/>
                <w:szCs w:val="16"/>
              </w:rPr>
              <w:t xml:space="preserve"> a</w:t>
            </w:r>
            <w:r w:rsidRPr="00123466">
              <w:rPr>
                <w:rFonts w:cs="Times New Roman"/>
                <w:sz w:val="16"/>
                <w:szCs w:val="16"/>
              </w:rPr>
              <w:t>bruption, idiopathic hrombocytopenia,</w:t>
            </w:r>
          </w:p>
          <w:p w:rsidR="00296202" w:rsidRPr="005315E3" w:rsidRDefault="00296202" w:rsidP="00723D45">
            <w:pPr>
              <w:autoSpaceDE w:val="0"/>
              <w:autoSpaceDN w:val="0"/>
              <w:adjustRightInd w:val="0"/>
              <w:spacing w:before="0" w:after="0"/>
              <w:jc w:val="center"/>
              <w:rPr>
                <w:color w:val="000000"/>
                <w:sz w:val="16"/>
                <w:szCs w:val="16"/>
              </w:rPr>
            </w:pPr>
            <w:r w:rsidRPr="00123466">
              <w:rPr>
                <w:rFonts w:cs="Times New Roman"/>
                <w:sz w:val="16"/>
                <w:szCs w:val="16"/>
              </w:rPr>
              <w:t>antiphospholipid antibody syndrome, and other</w:t>
            </w:r>
            <w:r>
              <w:rPr>
                <w:rFonts w:cs="Times New Roman"/>
                <w:sz w:val="16"/>
                <w:szCs w:val="16"/>
              </w:rPr>
              <w:t xml:space="preserve"> </w:t>
            </w:r>
            <w:r w:rsidRPr="00123466">
              <w:rPr>
                <w:rFonts w:cs="Times New Roman"/>
                <w:sz w:val="16"/>
                <w:szCs w:val="16"/>
              </w:rPr>
              <w:t>severe complications during pregnancy</w:t>
            </w:r>
          </w:p>
        </w:tc>
        <w:tc>
          <w:tcPr>
            <w:tcW w:w="1086" w:type="pct"/>
            <w:shd w:val="clear" w:color="auto" w:fill="auto"/>
            <w:noWrap/>
            <w:vAlign w:val="bottom"/>
            <w:hideMark/>
          </w:tcPr>
          <w:p w:rsidR="00296202" w:rsidRPr="005315E3" w:rsidRDefault="00296202" w:rsidP="00723D45">
            <w:pPr>
              <w:autoSpaceDE w:val="0"/>
              <w:autoSpaceDN w:val="0"/>
              <w:adjustRightInd w:val="0"/>
              <w:spacing w:before="0" w:after="0"/>
              <w:jc w:val="center"/>
              <w:rPr>
                <w:color w:val="000000"/>
                <w:sz w:val="16"/>
                <w:szCs w:val="16"/>
              </w:rPr>
            </w:pP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Licini,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Russia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multiparity, multiple gestation,</w:t>
            </w:r>
          </w:p>
          <w:p w:rsidR="00296202" w:rsidRPr="00261042"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thyroid and immune diseases and congenital or acquired thrombophilia</w:t>
            </w:r>
          </w:p>
        </w:tc>
        <w:tc>
          <w:tcPr>
            <w:tcW w:w="1086"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18 to 45 years</w:t>
            </w:r>
            <w:r>
              <w:rPr>
                <w:rFonts w:cs="Times New Roman"/>
                <w:sz w:val="16"/>
                <w:szCs w:val="16"/>
              </w:rPr>
              <w:t xml:space="preserve"> </w:t>
            </w:r>
            <w:r w:rsidRPr="00123466">
              <w:rPr>
                <w:rFonts w:cs="Times New Roman"/>
                <w:sz w:val="16"/>
                <w:szCs w:val="16"/>
              </w:rPr>
              <w:t>with a singleton pregnancy and no genetic diseases (e.g. aneuploidy) who gave their written informed consent</w:t>
            </w:r>
          </w:p>
          <w:p w:rsidR="00296202" w:rsidRPr="005315E3" w:rsidRDefault="00296202" w:rsidP="00723D45">
            <w:pPr>
              <w:autoSpaceDE w:val="0"/>
              <w:autoSpaceDN w:val="0"/>
              <w:adjustRightInd w:val="0"/>
              <w:spacing w:before="0" w:after="0"/>
              <w:jc w:val="center"/>
              <w:rPr>
                <w:color w:val="000000"/>
                <w:sz w:val="16"/>
                <w:szCs w:val="16"/>
              </w:rPr>
            </w:pPr>
            <w:r w:rsidRPr="00123466">
              <w:rPr>
                <w:rFonts w:cs="Times New Roman"/>
                <w:sz w:val="16"/>
                <w:szCs w:val="16"/>
              </w:rPr>
              <w:t>to participate</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Sheng, 2020</w:t>
            </w:r>
          </w:p>
          <w:p w:rsidR="00296202" w:rsidRDefault="00296202" w:rsidP="00723D45">
            <w:pPr>
              <w:spacing w:after="0"/>
              <w:jc w:val="center"/>
              <w:rPr>
                <w:rFonts w:eastAsia="Times New Roman"/>
                <w:color w:val="000000"/>
                <w:sz w:val="16"/>
                <w:szCs w:val="16"/>
              </w:rPr>
            </w:pPr>
            <w:r>
              <w:rPr>
                <w:rFonts w:eastAsia="Times New Roman"/>
                <w:color w:val="000000"/>
                <w:sz w:val="16"/>
                <w:szCs w:val="16"/>
              </w:rPr>
              <w:t>China</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123466" w:rsidRDefault="00296202" w:rsidP="00723D45">
            <w:pPr>
              <w:autoSpaceDE w:val="0"/>
              <w:autoSpaceDN w:val="0"/>
              <w:adjustRightInd w:val="0"/>
              <w:spacing w:before="0" w:after="0"/>
              <w:jc w:val="center"/>
              <w:rPr>
                <w:rFonts w:cs="Times New Roman"/>
                <w:sz w:val="18"/>
                <w:szCs w:val="18"/>
              </w:rPr>
            </w:pPr>
            <w:r w:rsidRPr="00123466">
              <w:rPr>
                <w:rFonts w:cs="Times New Roman"/>
                <w:sz w:val="18"/>
                <w:szCs w:val="18"/>
              </w:rPr>
              <w:t>maternal complications such as multiple pregnancies, fetal</w:t>
            </w:r>
          </w:p>
          <w:p w:rsidR="00296202" w:rsidRPr="005660CD" w:rsidRDefault="00296202" w:rsidP="00723D45">
            <w:pPr>
              <w:autoSpaceDE w:val="0"/>
              <w:autoSpaceDN w:val="0"/>
              <w:adjustRightInd w:val="0"/>
              <w:spacing w:before="0" w:after="0"/>
              <w:jc w:val="center"/>
              <w:rPr>
                <w:rFonts w:cs="Times New Roman"/>
                <w:sz w:val="18"/>
                <w:szCs w:val="18"/>
              </w:rPr>
            </w:pPr>
            <w:r w:rsidRPr="00123466">
              <w:rPr>
                <w:rFonts w:cs="Times New Roman"/>
                <w:sz w:val="18"/>
                <w:szCs w:val="18"/>
              </w:rPr>
              <w:t>anomalies, premature rupture of membranes, maternal infection,</w:t>
            </w:r>
          </w:p>
        </w:tc>
        <w:tc>
          <w:tcPr>
            <w:tcW w:w="1086" w:type="pct"/>
            <w:shd w:val="clear" w:color="auto" w:fill="auto"/>
            <w:noWrap/>
            <w:vAlign w:val="bottom"/>
            <w:hideMark/>
          </w:tcPr>
          <w:p w:rsidR="00296202" w:rsidRPr="005660CD" w:rsidRDefault="00296202" w:rsidP="00723D45">
            <w:pPr>
              <w:autoSpaceDE w:val="0"/>
              <w:autoSpaceDN w:val="0"/>
              <w:adjustRightInd w:val="0"/>
              <w:spacing w:before="0" w:after="0"/>
              <w:jc w:val="center"/>
              <w:rPr>
                <w:rFonts w:cs="Times New Roman"/>
                <w:sz w:val="16"/>
                <w:szCs w:val="16"/>
              </w:rPr>
            </w:pPr>
            <w:r w:rsidRPr="00EC61BB">
              <w:rPr>
                <w:rFonts w:cs="Times New Roman"/>
                <w:sz w:val="18"/>
                <w:szCs w:val="18"/>
              </w:rPr>
              <w:t>S</w:t>
            </w:r>
            <w:r w:rsidRPr="00123466">
              <w:rPr>
                <w:rFonts w:cs="Times New Roman"/>
                <w:sz w:val="18"/>
                <w:szCs w:val="18"/>
              </w:rPr>
              <w:t>ingleton pregnancies</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Tao, 2020</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5660CD" w:rsidRDefault="00296202" w:rsidP="00723D45">
            <w:pPr>
              <w:autoSpaceDE w:val="0"/>
              <w:autoSpaceDN w:val="0"/>
              <w:adjustRightInd w:val="0"/>
              <w:spacing w:before="0" w:after="0"/>
              <w:jc w:val="center"/>
              <w:rPr>
                <w:rFonts w:cs="Times New Roman"/>
                <w:sz w:val="18"/>
                <w:szCs w:val="18"/>
              </w:rPr>
            </w:pPr>
            <w:r>
              <w:rPr>
                <w:rFonts w:eastAsia="Times New Roman"/>
                <w:color w:val="000000"/>
                <w:sz w:val="16"/>
                <w:szCs w:val="16"/>
              </w:rPr>
              <w:t>not reported</w:t>
            </w:r>
          </w:p>
        </w:tc>
        <w:tc>
          <w:tcPr>
            <w:tcW w:w="1086" w:type="pct"/>
            <w:shd w:val="clear" w:color="auto" w:fill="auto"/>
            <w:noWrap/>
            <w:vAlign w:val="bottom"/>
            <w:hideMark/>
          </w:tcPr>
          <w:p w:rsidR="00296202" w:rsidRPr="005660CD" w:rsidRDefault="00296202" w:rsidP="00723D45">
            <w:pPr>
              <w:autoSpaceDE w:val="0"/>
              <w:autoSpaceDN w:val="0"/>
              <w:adjustRightInd w:val="0"/>
              <w:spacing w:before="0" w:after="0"/>
              <w:jc w:val="center"/>
              <w:rPr>
                <w:rFonts w:cs="Times New Roman"/>
                <w:sz w:val="18"/>
                <w:szCs w:val="18"/>
              </w:rPr>
            </w:pPr>
            <w:r>
              <w:rPr>
                <w:rFonts w:cs="Times New Roman"/>
                <w:sz w:val="18"/>
                <w:szCs w:val="18"/>
              </w:rPr>
              <w:t>Cesarean delivery</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Whigham, 2020</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cs="Times New Roman"/>
                <w:sz w:val="18"/>
                <w:szCs w:val="18"/>
              </w:rPr>
            </w:pPr>
            <w:r w:rsidRPr="00123466">
              <w:rPr>
                <w:rFonts w:cs="Times New Roman"/>
                <w:sz w:val="16"/>
                <w:szCs w:val="16"/>
              </w:rPr>
              <w:t>English-speaking women aged over 18 years, carrying a well-dated singleton pregnancy with normal midtrimester morphology</w:t>
            </w:r>
            <w:r>
              <w:rPr>
                <w:rFonts w:cs="Times New Roman"/>
                <w:sz w:val="16"/>
                <w:szCs w:val="16"/>
              </w:rPr>
              <w:t xml:space="preserve"> </w:t>
            </w:r>
            <w:r w:rsidRPr="00123466">
              <w:rPr>
                <w:rFonts w:cs="Times New Roman"/>
                <w:sz w:val="16"/>
                <w:szCs w:val="16"/>
              </w:rPr>
              <w:t>ultrasound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lastRenderedPageBreak/>
              <w:t>Wu, 2020</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sz w:val="16"/>
                <w:szCs w:val="16"/>
              </w:rPr>
              <w:t>patients with gynecological organic lesions such as uterine fibroids or ovarian cysts, etc., as detected by B-ultrasound and a gynecological examination; an adverse birth history (e.g., abortion, fetal growth restriction or stillbirth).</w:t>
            </w:r>
          </w:p>
        </w:tc>
        <w:tc>
          <w:tcPr>
            <w:tcW w:w="1086" w:type="pct"/>
            <w:shd w:val="clear" w:color="auto" w:fill="auto"/>
            <w:noWrap/>
            <w:vAlign w:val="bottom"/>
            <w:hideMark/>
          </w:tcPr>
          <w:p w:rsidR="00296202" w:rsidRPr="0083433D"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 xml:space="preserve">Cesarean section, </w:t>
            </w:r>
            <w:r w:rsidRPr="0083433D">
              <w:rPr>
                <w:sz w:val="16"/>
                <w:szCs w:val="16"/>
              </w:rPr>
              <w:t xml:space="preserve">pregnant woman as confirmed by B-ultrasound and an obstetric examination; </w:t>
            </w:r>
            <w:r>
              <w:rPr>
                <w:rFonts w:ascii="VVCCG G+ Te X_ C M_ Maths_" w:hAnsi="VVCCG G+ Te X_ C M_ Maths_" w:cs="VVCCG G+ Te X_ C M_ Maths_"/>
                <w:i/>
                <w:iCs/>
                <w:sz w:val="16"/>
                <w:szCs w:val="16"/>
              </w:rPr>
              <w:t xml:space="preserve">&gt; </w:t>
            </w:r>
            <w:r>
              <w:rPr>
                <w:sz w:val="16"/>
                <w:szCs w:val="16"/>
              </w:rPr>
              <w:t>20 weeks of pregnancy</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Zheng W, 2020</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sz w:val="16"/>
                <w:szCs w:val="16"/>
              </w:rPr>
            </w:pPr>
            <w:r>
              <w:rPr>
                <w:rFonts w:eastAsia="Times New Roman"/>
                <w:color w:val="000000"/>
                <w:sz w:val="16"/>
                <w:szCs w:val="16"/>
              </w:rPr>
              <w:t>not reported</w:t>
            </w:r>
          </w:p>
        </w:tc>
        <w:tc>
          <w:tcPr>
            <w:tcW w:w="1086" w:type="pct"/>
            <w:shd w:val="clear" w:color="auto" w:fill="auto"/>
            <w:noWrap/>
            <w:vAlign w:val="bottom"/>
            <w:hideMark/>
          </w:tcPr>
          <w:p w:rsidR="00296202" w:rsidRPr="00935F22" w:rsidRDefault="00296202" w:rsidP="00723D45">
            <w:pPr>
              <w:autoSpaceDE w:val="0"/>
              <w:autoSpaceDN w:val="0"/>
              <w:adjustRightInd w:val="0"/>
              <w:spacing w:before="0" w:after="0"/>
              <w:jc w:val="center"/>
              <w:rPr>
                <w:rFonts w:cs="Times New Roman"/>
                <w:sz w:val="16"/>
                <w:szCs w:val="16"/>
              </w:rPr>
            </w:pPr>
            <w:r w:rsidRPr="00123466">
              <w:rPr>
                <w:rFonts w:cs="Times New Roman"/>
                <w:sz w:val="16"/>
                <w:szCs w:val="16"/>
              </w:rPr>
              <w:t xml:space="preserve">Cesarean section, </w:t>
            </w:r>
            <w:r w:rsidRPr="00123466">
              <w:rPr>
                <w:rFonts w:cs="Times"/>
                <w:color w:val="000000"/>
                <w:sz w:val="16"/>
                <w:szCs w:val="16"/>
              </w:rPr>
              <w:t>singleton pregnancies and no other complications, including premature membrane rupture, and maternal infection</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Zhou 2020</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8E3F8F" w:rsidRDefault="00296202" w:rsidP="00723D45">
            <w:pPr>
              <w:autoSpaceDE w:val="0"/>
              <w:autoSpaceDN w:val="0"/>
              <w:adjustRightInd w:val="0"/>
              <w:spacing w:before="0" w:after="0"/>
              <w:jc w:val="center"/>
              <w:rPr>
                <w:rFonts w:eastAsia="Times New Roman"/>
                <w:color w:val="000000"/>
                <w:sz w:val="16"/>
                <w:szCs w:val="16"/>
              </w:rPr>
            </w:pPr>
            <w:r w:rsidRPr="00123466">
              <w:rPr>
                <w:rFonts w:cs="Times"/>
                <w:color w:val="000000"/>
                <w:sz w:val="16"/>
                <w:szCs w:val="16"/>
              </w:rPr>
              <w:t>Age over 45 years old, history of immune diseases before pregnancy, history of ovarian or uterine diseases, hormonal disorder and long</w:t>
            </w:r>
            <w:r w:rsidRPr="00123466">
              <w:rPr>
                <w:rFonts w:cs="Times"/>
                <w:color w:val="000000"/>
                <w:sz w:val="16"/>
                <w:szCs w:val="16"/>
              </w:rPr>
              <w:noBreakHyphen/>
              <w:t>term use of hormones or immunosuppressive drugs</w:t>
            </w:r>
          </w:p>
        </w:tc>
        <w:tc>
          <w:tcPr>
            <w:tcW w:w="1086" w:type="pct"/>
            <w:shd w:val="clear" w:color="auto" w:fill="auto"/>
            <w:noWrap/>
            <w:vAlign w:val="bottom"/>
            <w:hideMark/>
          </w:tcPr>
          <w:p w:rsidR="00296202" w:rsidRPr="008E3F8F" w:rsidRDefault="00296202" w:rsidP="00723D45">
            <w:pPr>
              <w:autoSpaceDE w:val="0"/>
              <w:autoSpaceDN w:val="0"/>
              <w:adjustRightInd w:val="0"/>
              <w:spacing w:before="0" w:after="0"/>
              <w:jc w:val="center"/>
              <w:rPr>
                <w:rFonts w:cs="Times New Roman"/>
                <w:sz w:val="16"/>
                <w:szCs w:val="16"/>
              </w:rPr>
            </w:pPr>
            <w:r w:rsidRPr="00123466">
              <w:rPr>
                <w:rFonts w:cs="Times"/>
                <w:color w:val="000000"/>
                <w:sz w:val="16"/>
                <w:szCs w:val="16"/>
              </w:rPr>
              <w:t>Good health before pregnancy and no history of induced abortion</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Zhu, 2020</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8E3F8F" w:rsidRDefault="00296202" w:rsidP="00723D45">
            <w:pPr>
              <w:autoSpaceDE w:val="0"/>
              <w:autoSpaceDN w:val="0"/>
              <w:adjustRightInd w:val="0"/>
              <w:spacing w:before="0" w:after="0"/>
              <w:jc w:val="center"/>
              <w:rPr>
                <w:rFonts w:cs="Times"/>
                <w:color w:val="000000"/>
                <w:sz w:val="16"/>
                <w:szCs w:val="16"/>
              </w:rPr>
            </w:pPr>
            <w:r>
              <w:rPr>
                <w:rFonts w:eastAsia="Times New Roman"/>
                <w:color w:val="000000"/>
                <w:sz w:val="16"/>
                <w:szCs w:val="16"/>
              </w:rPr>
              <w:t>not reported</w:t>
            </w:r>
          </w:p>
        </w:tc>
        <w:tc>
          <w:tcPr>
            <w:tcW w:w="1086" w:type="pct"/>
            <w:shd w:val="clear" w:color="auto" w:fill="auto"/>
            <w:noWrap/>
            <w:vAlign w:val="bottom"/>
            <w:hideMark/>
          </w:tcPr>
          <w:p w:rsidR="00296202" w:rsidRPr="008E3F8F" w:rsidRDefault="00296202" w:rsidP="00723D45">
            <w:pPr>
              <w:autoSpaceDE w:val="0"/>
              <w:autoSpaceDN w:val="0"/>
              <w:adjustRightInd w:val="0"/>
              <w:spacing w:before="0" w:after="0"/>
              <w:jc w:val="center"/>
              <w:rPr>
                <w:rFonts w:cs="Times"/>
                <w:color w:val="000000"/>
                <w:sz w:val="16"/>
                <w:szCs w:val="16"/>
              </w:rPr>
            </w:pPr>
            <w:r>
              <w:rPr>
                <w:rFonts w:cs="Times"/>
                <w:color w:val="000000"/>
                <w:sz w:val="16"/>
                <w:szCs w:val="16"/>
              </w:rPr>
              <w:t>Cesarean delivery</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Ali,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 xml:space="preserve">Multiple gestations, chronic diseases like chronic arthritis, inflammatory disease of the bowl, high blood pressure, any persistent inflammatory disease </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cs="Times"/>
                <w:color w:val="000000"/>
                <w:sz w:val="16"/>
                <w:szCs w:val="16"/>
              </w:rPr>
            </w:pP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Cai,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256817" w:rsidRDefault="00296202" w:rsidP="00723D45">
            <w:pPr>
              <w:autoSpaceDE w:val="0"/>
              <w:autoSpaceDN w:val="0"/>
              <w:adjustRightInd w:val="0"/>
              <w:spacing w:before="0" w:after="0"/>
              <w:jc w:val="center"/>
              <w:rPr>
                <w:rFonts w:eastAsia="Times New Roman" w:cs="Times New Roman"/>
                <w:color w:val="000000"/>
                <w:sz w:val="16"/>
                <w:szCs w:val="16"/>
              </w:rPr>
            </w:pPr>
            <w:r w:rsidRPr="00123466">
              <w:rPr>
                <w:rFonts w:cs="Times New Roman"/>
                <w:sz w:val="16"/>
                <w:szCs w:val="16"/>
              </w:rPr>
              <w:t>hepatitis, infectious diseases during pregnancy, or other complications during pregnancy</w:t>
            </w:r>
          </w:p>
        </w:tc>
        <w:tc>
          <w:tcPr>
            <w:tcW w:w="1086" w:type="pct"/>
            <w:shd w:val="clear" w:color="auto" w:fill="auto"/>
            <w:noWrap/>
            <w:vAlign w:val="bottom"/>
            <w:hideMark/>
          </w:tcPr>
          <w:p w:rsidR="00296202" w:rsidRPr="00256817" w:rsidRDefault="00296202" w:rsidP="00723D45">
            <w:pPr>
              <w:autoSpaceDE w:val="0"/>
              <w:autoSpaceDN w:val="0"/>
              <w:adjustRightInd w:val="0"/>
              <w:spacing w:before="0" w:after="0"/>
              <w:jc w:val="center"/>
              <w:rPr>
                <w:rFonts w:cs="Times New Roman"/>
                <w:color w:val="000000"/>
                <w:sz w:val="16"/>
                <w:szCs w:val="16"/>
              </w:rPr>
            </w:pPr>
            <w:r w:rsidRPr="00123466">
              <w:rPr>
                <w:rFonts w:cs="Times New Roman"/>
                <w:sz w:val="16"/>
                <w:szCs w:val="16"/>
              </w:rPr>
              <w:t>All subjects were mononucleosis-free and had no other medical</w:t>
            </w:r>
            <w:r>
              <w:rPr>
                <w:rFonts w:cs="Times New Roman"/>
                <w:sz w:val="16"/>
                <w:szCs w:val="16"/>
              </w:rPr>
              <w:t xml:space="preserve"> </w:t>
            </w:r>
            <w:r w:rsidRPr="00123466">
              <w:rPr>
                <w:rFonts w:cs="Times New Roman"/>
                <w:sz w:val="16"/>
                <w:szCs w:val="16"/>
              </w:rPr>
              <w:t>and surgical complications before and after pregnancy (except PE)</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Jiu,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256817" w:rsidRDefault="00296202" w:rsidP="00723D45">
            <w:pPr>
              <w:autoSpaceDE w:val="0"/>
              <w:autoSpaceDN w:val="0"/>
              <w:adjustRightInd w:val="0"/>
              <w:spacing w:before="0" w:after="0"/>
              <w:jc w:val="center"/>
              <w:rPr>
                <w:rFonts w:cs="Times New Roman"/>
                <w:sz w:val="16"/>
                <w:szCs w:val="16"/>
              </w:rPr>
            </w:pPr>
            <w:r>
              <w:rPr>
                <w:rFonts w:eastAsia="Times New Roman"/>
                <w:color w:val="000000"/>
                <w:sz w:val="16"/>
                <w:szCs w:val="16"/>
              </w:rPr>
              <w:t>not reported</w:t>
            </w:r>
          </w:p>
        </w:tc>
        <w:tc>
          <w:tcPr>
            <w:tcW w:w="1086" w:type="pct"/>
            <w:shd w:val="clear" w:color="auto" w:fill="auto"/>
            <w:noWrap/>
            <w:vAlign w:val="bottom"/>
            <w:hideMark/>
          </w:tcPr>
          <w:p w:rsidR="00296202" w:rsidRPr="00256817" w:rsidRDefault="00296202" w:rsidP="00723D45">
            <w:pPr>
              <w:autoSpaceDE w:val="0"/>
              <w:autoSpaceDN w:val="0"/>
              <w:adjustRightInd w:val="0"/>
              <w:spacing w:before="0" w:after="0"/>
              <w:jc w:val="center"/>
              <w:rPr>
                <w:rFonts w:cs="Times New Roman"/>
                <w:sz w:val="16"/>
                <w:szCs w:val="16"/>
              </w:rPr>
            </w:pPr>
            <w:r>
              <w:rPr>
                <w:rFonts w:cs="Times New Roman"/>
                <w:sz w:val="16"/>
                <w:szCs w:val="16"/>
              </w:rPr>
              <w:t>Cesarean section</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Kolkova,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cs="Times New Roman"/>
                <w:sz w:val="16"/>
                <w:szCs w:val="16"/>
              </w:rPr>
            </w:pPr>
            <w:r>
              <w:rPr>
                <w:rFonts w:cs="Times New Roman"/>
                <w:sz w:val="16"/>
                <w:szCs w:val="16"/>
              </w:rPr>
              <w:t>Caucasian women with singleton pregnancies</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Liao,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cs="Times New Roman"/>
                <w:sz w:val="16"/>
                <w:szCs w:val="16"/>
              </w:rPr>
            </w:pPr>
            <w:r>
              <w:rPr>
                <w:rFonts w:cs="Times New Roman"/>
                <w:sz w:val="16"/>
                <w:szCs w:val="16"/>
              </w:rPr>
              <w:t xml:space="preserve">Singleton pregnancies </w:t>
            </w:r>
            <w:r>
              <w:rPr>
                <w:rFonts w:ascii="AdvGulliv-R" w:hAnsi="AdvGulliv-R" w:cs="AdvGulliv-R"/>
                <w:sz w:val="16"/>
                <w:szCs w:val="16"/>
                <w:lang w:val="en-GB"/>
              </w:rPr>
              <w:t>without other maternal complications, such as multiple pregnancy, fetal abnormalities, premature rupture of membranes, maternal infection</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Martinez-Fierro,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646CC9" w:rsidRDefault="00296202" w:rsidP="00723D45">
            <w:pPr>
              <w:autoSpaceDE w:val="0"/>
              <w:autoSpaceDN w:val="0"/>
              <w:adjustRightInd w:val="0"/>
              <w:spacing w:before="0" w:after="0"/>
              <w:jc w:val="center"/>
              <w:rPr>
                <w:rFonts w:eastAsia="Times New Roman" w:cs="Times New Roman"/>
                <w:color w:val="000000"/>
                <w:sz w:val="16"/>
                <w:szCs w:val="16"/>
              </w:rPr>
            </w:pPr>
            <w:r w:rsidRPr="00123466">
              <w:rPr>
                <w:rFonts w:cs="Times New Roman"/>
                <w:sz w:val="16"/>
                <w:szCs w:val="16"/>
                <w:lang w:val="en-GB"/>
              </w:rPr>
              <w:t>other pregnancy-related disorders and/or underlying medical diseases</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cs="Times New Roman"/>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Peng,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(nephropathy)</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64649A" w:rsidRDefault="00296202" w:rsidP="00723D45">
            <w:pPr>
              <w:autoSpaceDE w:val="0"/>
              <w:autoSpaceDN w:val="0"/>
              <w:adjustRightInd w:val="0"/>
              <w:spacing w:before="0" w:after="0"/>
              <w:jc w:val="center"/>
              <w:rPr>
                <w:rFonts w:cs="Times New Roman"/>
                <w:sz w:val="16"/>
                <w:szCs w:val="16"/>
                <w:lang w:val="en-GB"/>
              </w:rPr>
            </w:pPr>
            <w:r w:rsidRPr="00123466">
              <w:rPr>
                <w:rFonts w:cs="Times New Roman"/>
                <w:sz w:val="16"/>
                <w:szCs w:val="16"/>
              </w:rPr>
              <w:t>hepatopathy, intra uterine</w:t>
            </w:r>
            <w:r>
              <w:rPr>
                <w:rFonts w:cs="Times New Roman"/>
                <w:sz w:val="16"/>
                <w:szCs w:val="16"/>
              </w:rPr>
              <w:t xml:space="preserve"> </w:t>
            </w:r>
            <w:r w:rsidRPr="00123466">
              <w:rPr>
                <w:rFonts w:cs="Times New Roman"/>
                <w:sz w:val="16"/>
                <w:szCs w:val="16"/>
              </w:rPr>
              <w:t>fetal death, fetal chromosomal or congenital abnormalities,</w:t>
            </w:r>
            <w:r>
              <w:rPr>
                <w:rFonts w:cs="Times New Roman"/>
                <w:sz w:val="16"/>
                <w:szCs w:val="16"/>
              </w:rPr>
              <w:t xml:space="preserve"> </w:t>
            </w:r>
            <w:r w:rsidRPr="00123466">
              <w:rPr>
                <w:rFonts w:cs="Times New Roman"/>
                <w:sz w:val="16"/>
                <w:szCs w:val="16"/>
              </w:rPr>
              <w:t>and pregnancy following fertility treatment</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Witvrouwen,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((gestational) diabetes)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(chronic kindey disease)</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9E7BD7" w:rsidRDefault="00296202" w:rsidP="00723D45">
            <w:pPr>
              <w:autoSpaceDE w:val="0"/>
              <w:autoSpaceDN w:val="0"/>
              <w:adjustRightInd w:val="0"/>
              <w:spacing w:before="0" w:after="0"/>
              <w:jc w:val="center"/>
              <w:rPr>
                <w:rFonts w:cs="Times New Roman"/>
                <w:color w:val="231F20"/>
                <w:sz w:val="16"/>
                <w:szCs w:val="16"/>
              </w:rPr>
            </w:pPr>
            <w:r w:rsidRPr="00123466">
              <w:rPr>
                <w:rFonts w:cs="Times New Roman"/>
                <w:color w:val="231F20"/>
                <w:sz w:val="16"/>
                <w:szCs w:val="16"/>
              </w:rPr>
              <w:t xml:space="preserve">multiple pregnancies, fetal </w:t>
            </w:r>
            <w:r>
              <w:rPr>
                <w:rFonts w:cs="Times New Roman"/>
                <w:color w:val="231F20"/>
                <w:sz w:val="16"/>
                <w:szCs w:val="16"/>
              </w:rPr>
              <w:t>m</w:t>
            </w:r>
            <w:r w:rsidRPr="00123466">
              <w:rPr>
                <w:rFonts w:cs="Times New Roman"/>
                <w:color w:val="231F20"/>
                <w:sz w:val="16"/>
                <w:szCs w:val="16"/>
              </w:rPr>
              <w:t>alformations, hypercholesterolemia, autoimmune disorders, connective tissue diseases or use of acetylsalicylic acid</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Xu,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9E7BD7" w:rsidRDefault="00296202" w:rsidP="00723D45">
            <w:pPr>
              <w:autoSpaceDE w:val="0"/>
              <w:autoSpaceDN w:val="0"/>
              <w:adjustRightInd w:val="0"/>
              <w:spacing w:before="0" w:after="0"/>
              <w:jc w:val="center"/>
              <w:rPr>
                <w:rFonts w:cs="Times New Roman"/>
                <w:color w:val="231F20"/>
                <w:sz w:val="16"/>
                <w:szCs w:val="16"/>
              </w:rPr>
            </w:pPr>
            <w:r w:rsidRPr="00123466">
              <w:rPr>
                <w:rFonts w:eastAsia="Lato-Regular" w:cs="Times New Roman"/>
                <w:sz w:val="16"/>
                <w:szCs w:val="16"/>
              </w:rPr>
              <w:t>no other medical and surgical complications</w:t>
            </w:r>
            <w:r>
              <w:rPr>
                <w:rFonts w:eastAsia="Lato-Regular" w:cs="Times New Roman"/>
                <w:sz w:val="16"/>
                <w:szCs w:val="16"/>
              </w:rPr>
              <w:t xml:space="preserve"> </w:t>
            </w:r>
            <w:r w:rsidRPr="00123466">
              <w:rPr>
                <w:rFonts w:eastAsia="Lato-Regular" w:cs="Times New Roman"/>
                <w:sz w:val="16"/>
                <w:szCs w:val="16"/>
              </w:rPr>
              <w:t>before and after pregnancy</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Singleton pregnancies</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lastRenderedPageBreak/>
              <w:t>Yu,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 (chronic nephritis)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96108F" w:rsidRDefault="00296202" w:rsidP="00723D45">
            <w:pPr>
              <w:autoSpaceDE w:val="0"/>
              <w:autoSpaceDN w:val="0"/>
              <w:adjustRightInd w:val="0"/>
              <w:spacing w:before="0" w:after="0"/>
              <w:jc w:val="center"/>
              <w:rPr>
                <w:rFonts w:eastAsia="Lato-Regular" w:cs="Times New Roman"/>
                <w:sz w:val="16"/>
                <w:szCs w:val="16"/>
              </w:rPr>
            </w:pPr>
            <w:r w:rsidRPr="00123466">
              <w:rPr>
                <w:rFonts w:eastAsia="STIX-Regular" w:cs="Times New Roman"/>
                <w:sz w:val="16"/>
                <w:szCs w:val="16"/>
              </w:rPr>
              <w:t>alcohol drinking, smoking, malignancy, severe infection,</w:t>
            </w:r>
            <w:r>
              <w:rPr>
                <w:rFonts w:eastAsia="STIX-Regular" w:cs="Times New Roman"/>
                <w:sz w:val="16"/>
                <w:szCs w:val="16"/>
              </w:rPr>
              <w:t xml:space="preserve"> </w:t>
            </w:r>
            <w:r w:rsidRPr="00123466">
              <w:rPr>
                <w:rFonts w:eastAsia="STIX-Regular" w:cs="Times New Roman"/>
                <w:sz w:val="16"/>
                <w:szCs w:val="16"/>
              </w:rPr>
              <w:t>autoimmune and renal diseases</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Zhao,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395532" w:rsidRDefault="00296202" w:rsidP="00723D45">
            <w:pPr>
              <w:autoSpaceDE w:val="0"/>
              <w:autoSpaceDN w:val="0"/>
              <w:adjustRightInd w:val="0"/>
              <w:spacing w:before="0" w:after="0"/>
              <w:jc w:val="center"/>
              <w:rPr>
                <w:rFonts w:eastAsia="STIX-Regular" w:cs="Times New Roman"/>
                <w:sz w:val="16"/>
                <w:szCs w:val="16"/>
              </w:rPr>
            </w:pPr>
            <w:r w:rsidRPr="00123466">
              <w:rPr>
                <w:sz w:val="16"/>
                <w:szCs w:val="16"/>
              </w:rPr>
              <w:t>medical and surgical complications, such as hemolysis, hepatic disease or other infectious disease</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Zhao,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395532" w:rsidRDefault="00296202" w:rsidP="00723D45">
            <w:pPr>
              <w:autoSpaceDE w:val="0"/>
              <w:autoSpaceDN w:val="0"/>
              <w:adjustRightInd w:val="0"/>
              <w:spacing w:before="0" w:after="0"/>
              <w:jc w:val="center"/>
              <w:rPr>
                <w:sz w:val="16"/>
                <w:szCs w:val="16"/>
              </w:rPr>
            </w:pPr>
            <w:r w:rsidRPr="00123466">
              <w:rPr>
                <w:rFonts w:cs="Times New Roman"/>
                <w:sz w:val="16"/>
                <w:szCs w:val="16"/>
              </w:rPr>
              <w:t>Infection and systemic</w:t>
            </w:r>
            <w:r>
              <w:rPr>
                <w:rFonts w:cs="Times New Roman"/>
                <w:sz w:val="16"/>
                <w:szCs w:val="16"/>
              </w:rPr>
              <w:t xml:space="preserve"> </w:t>
            </w:r>
            <w:r w:rsidRPr="00123466">
              <w:rPr>
                <w:rFonts w:cs="Times New Roman"/>
                <w:sz w:val="16"/>
                <w:szCs w:val="16"/>
              </w:rPr>
              <w:t>lupus erythematosus, and no other pregnancy complications</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r w:rsidR="00296202" w:rsidRPr="0039568D" w:rsidTr="00723D45">
        <w:trPr>
          <w:trHeight w:val="454"/>
          <w:jc w:val="center"/>
        </w:trPr>
        <w:tc>
          <w:tcPr>
            <w:tcW w:w="475" w:type="pct"/>
            <w:vAlign w:val="bottom"/>
          </w:tcPr>
          <w:p w:rsidR="00296202" w:rsidRDefault="00296202" w:rsidP="00723D45">
            <w:pPr>
              <w:spacing w:after="0"/>
              <w:jc w:val="center"/>
              <w:rPr>
                <w:rFonts w:eastAsia="Times New Roman"/>
                <w:color w:val="000000"/>
                <w:sz w:val="16"/>
                <w:szCs w:val="16"/>
              </w:rPr>
            </w:pPr>
            <w:r>
              <w:rPr>
                <w:rFonts w:eastAsia="Times New Roman"/>
                <w:color w:val="000000"/>
                <w:sz w:val="16"/>
                <w:szCs w:val="16"/>
              </w:rPr>
              <w:t>Zhu, 2021</w:t>
            </w:r>
          </w:p>
        </w:tc>
        <w:tc>
          <w:tcPr>
            <w:tcW w:w="53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666"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yes</w:t>
            </w:r>
          </w:p>
        </w:tc>
        <w:tc>
          <w:tcPr>
            <w:tcW w:w="527"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349" w:type="pct"/>
            <w:shd w:val="clear" w:color="auto" w:fill="auto"/>
            <w:noWrap/>
            <w:vAlign w:val="bottom"/>
            <w:hideMark/>
          </w:tcPr>
          <w:p w:rsidR="00296202" w:rsidRDefault="00296202" w:rsidP="00723D45">
            <w:pPr>
              <w:spacing w:after="0"/>
              <w:jc w:val="center"/>
              <w:rPr>
                <w:rFonts w:eastAsia="Times New Roman"/>
                <w:color w:val="000000"/>
                <w:sz w:val="16"/>
                <w:szCs w:val="16"/>
              </w:rPr>
            </w:pPr>
            <w:r>
              <w:rPr>
                <w:rFonts w:eastAsia="Times New Roman"/>
                <w:color w:val="000000"/>
                <w:sz w:val="16"/>
                <w:szCs w:val="16"/>
              </w:rPr>
              <w:t>not reported</w:t>
            </w:r>
          </w:p>
        </w:tc>
        <w:tc>
          <w:tcPr>
            <w:tcW w:w="1011" w:type="pct"/>
            <w:shd w:val="clear" w:color="auto" w:fill="auto"/>
            <w:noWrap/>
            <w:vAlign w:val="bottom"/>
            <w:hideMark/>
          </w:tcPr>
          <w:p w:rsidR="00296202" w:rsidRPr="00BD110E" w:rsidRDefault="00296202" w:rsidP="00723D45">
            <w:pPr>
              <w:autoSpaceDE w:val="0"/>
              <w:autoSpaceDN w:val="0"/>
              <w:adjustRightInd w:val="0"/>
              <w:spacing w:before="0" w:after="0"/>
              <w:jc w:val="center"/>
              <w:rPr>
                <w:rFonts w:cs="Times New Roman"/>
                <w:sz w:val="16"/>
                <w:szCs w:val="16"/>
              </w:rPr>
            </w:pPr>
            <w:r>
              <w:rPr>
                <w:rFonts w:eastAsia="Times New Roman"/>
                <w:color w:val="000000"/>
                <w:sz w:val="16"/>
                <w:szCs w:val="16"/>
              </w:rPr>
              <w:t>not reported</w:t>
            </w:r>
          </w:p>
        </w:tc>
        <w:tc>
          <w:tcPr>
            <w:tcW w:w="1086" w:type="pct"/>
            <w:shd w:val="clear" w:color="auto" w:fill="auto"/>
            <w:noWrap/>
            <w:vAlign w:val="bottom"/>
            <w:hideMark/>
          </w:tcPr>
          <w:p w:rsidR="00296202" w:rsidRDefault="00296202" w:rsidP="00723D45">
            <w:pPr>
              <w:autoSpaceDE w:val="0"/>
              <w:autoSpaceDN w:val="0"/>
              <w:adjustRightInd w:val="0"/>
              <w:spacing w:before="0" w:after="0"/>
              <w:jc w:val="center"/>
              <w:rPr>
                <w:rFonts w:eastAsia="Times New Roman"/>
                <w:color w:val="000000"/>
                <w:sz w:val="16"/>
                <w:szCs w:val="16"/>
              </w:rPr>
            </w:pPr>
            <w:r>
              <w:rPr>
                <w:rFonts w:eastAsia="Times New Roman"/>
                <w:color w:val="000000"/>
                <w:sz w:val="16"/>
                <w:szCs w:val="16"/>
              </w:rPr>
              <w:t>not reported</w:t>
            </w:r>
          </w:p>
        </w:tc>
      </w:tr>
    </w:tbl>
    <w:p w:rsidR="00296202" w:rsidRDefault="00296202" w:rsidP="00296202">
      <w:pPr>
        <w:rPr>
          <w:szCs w:val="24"/>
        </w:rPr>
      </w:pPr>
    </w:p>
    <w:p w:rsidR="00296202" w:rsidRDefault="00296202" w:rsidP="00296202">
      <w:pPr>
        <w:spacing w:before="0" w:after="200" w:line="276" w:lineRule="auto"/>
        <w:rPr>
          <w:szCs w:val="24"/>
        </w:rPr>
      </w:pPr>
      <w:r>
        <w:rPr>
          <w:szCs w:val="24"/>
        </w:rPr>
        <w:br w:type="page"/>
      </w:r>
    </w:p>
    <w:p w:rsidR="00296202" w:rsidRDefault="00296202" w:rsidP="00296202">
      <w:pPr>
        <w:rPr>
          <w:szCs w:val="24"/>
        </w:rPr>
        <w:sectPr w:rsidR="00296202" w:rsidSect="007E715C">
          <w:pgSz w:w="15840" w:h="12240" w:orient="landscape"/>
          <w:pgMar w:top="1282" w:right="1138" w:bottom="1181" w:left="1138" w:header="720" w:footer="720" w:gutter="0"/>
          <w:cols w:space="720"/>
          <w:titlePg/>
          <w:docGrid w:linePitch="360"/>
        </w:sectPr>
      </w:pPr>
    </w:p>
    <w:p w:rsidR="00000000" w:rsidRDefault="00587BC8"/>
    <w:p w:rsidR="006D38DA" w:rsidRDefault="006D38DA" w:rsidP="006D38DA">
      <w:pPr>
        <w:rPr>
          <w:szCs w:val="24"/>
        </w:rPr>
      </w:pPr>
      <w:r>
        <w:rPr>
          <w:szCs w:val="24"/>
        </w:rPr>
        <w:t xml:space="preserve">Table </w:t>
      </w:r>
      <w:r w:rsidR="003F696B">
        <w:rPr>
          <w:szCs w:val="24"/>
        </w:rPr>
        <w:t>S</w:t>
      </w:r>
      <w:r w:rsidR="00296202">
        <w:rPr>
          <w:szCs w:val="24"/>
        </w:rPr>
        <w:t>2</w:t>
      </w:r>
      <w:r>
        <w:rPr>
          <w:szCs w:val="24"/>
        </w:rPr>
        <w:t>. Preeclampsia definitions and/or guidelines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42"/>
        <w:gridCol w:w="3483"/>
        <w:gridCol w:w="873"/>
      </w:tblGrid>
      <w:tr w:rsidR="00CD17F0" w:rsidRPr="00DE47F9" w:rsidTr="00DB48CC">
        <w:trPr>
          <w:trHeight w:val="699"/>
        </w:trPr>
        <w:tc>
          <w:tcPr>
            <w:tcW w:w="5542" w:type="dxa"/>
            <w:shd w:val="clear" w:color="auto" w:fill="auto"/>
            <w:noWrap/>
            <w:vAlign w:val="bottom"/>
            <w:hideMark/>
          </w:tcPr>
          <w:p w:rsidR="00CD17F0" w:rsidRPr="00DE47F9" w:rsidRDefault="00CD17F0" w:rsidP="006D38DA">
            <w:pPr>
              <w:spacing w:before="0" w:after="0"/>
              <w:jc w:val="center"/>
              <w:rPr>
                <w:rFonts w:eastAsia="Times New Roman"/>
                <w:b/>
                <w:bCs/>
                <w:color w:val="000000"/>
                <w:sz w:val="18"/>
                <w:szCs w:val="18"/>
              </w:rPr>
            </w:pPr>
            <w:r w:rsidRPr="00DE47F9">
              <w:rPr>
                <w:rFonts w:eastAsia="Times New Roman"/>
                <w:b/>
                <w:bCs/>
                <w:color w:val="000000"/>
                <w:sz w:val="18"/>
                <w:szCs w:val="18"/>
              </w:rPr>
              <w:t>Definition</w:t>
            </w:r>
          </w:p>
        </w:tc>
        <w:tc>
          <w:tcPr>
            <w:tcW w:w="3483" w:type="dxa"/>
            <w:shd w:val="clear" w:color="auto" w:fill="auto"/>
            <w:noWrap/>
            <w:vAlign w:val="bottom"/>
            <w:hideMark/>
          </w:tcPr>
          <w:p w:rsidR="00CD17F0" w:rsidRPr="00DE47F9" w:rsidRDefault="00CD17F0" w:rsidP="006D38DA">
            <w:pPr>
              <w:spacing w:before="0" w:after="0"/>
              <w:jc w:val="center"/>
              <w:rPr>
                <w:rFonts w:eastAsia="Times New Roman"/>
                <w:b/>
                <w:bCs/>
                <w:color w:val="000000"/>
                <w:sz w:val="18"/>
                <w:szCs w:val="18"/>
              </w:rPr>
            </w:pPr>
            <w:r w:rsidRPr="00DE47F9">
              <w:rPr>
                <w:rFonts w:eastAsia="Times New Roman"/>
                <w:b/>
                <w:bCs/>
                <w:color w:val="000000"/>
                <w:sz w:val="18"/>
                <w:szCs w:val="18"/>
              </w:rPr>
              <w:t>Guideline/Author</w:t>
            </w:r>
          </w:p>
        </w:tc>
        <w:tc>
          <w:tcPr>
            <w:tcW w:w="873" w:type="dxa"/>
          </w:tcPr>
          <w:p w:rsidR="00CD17F0" w:rsidRPr="00DE47F9" w:rsidRDefault="00CD17F0" w:rsidP="006D38DA">
            <w:pPr>
              <w:spacing w:before="0" w:after="0"/>
              <w:jc w:val="center"/>
              <w:rPr>
                <w:rFonts w:eastAsia="Times New Roman"/>
                <w:b/>
                <w:bCs/>
                <w:color w:val="000000"/>
                <w:sz w:val="18"/>
                <w:szCs w:val="18"/>
              </w:rPr>
            </w:pPr>
            <w:r>
              <w:rPr>
                <w:rFonts w:eastAsia="Times New Roman"/>
                <w:b/>
                <w:bCs/>
                <w:color w:val="000000"/>
                <w:sz w:val="18"/>
                <w:szCs w:val="18"/>
              </w:rPr>
              <w:t>Ref No</w:t>
            </w:r>
          </w:p>
        </w:tc>
      </w:tr>
      <w:tr w:rsidR="00CD17F0" w:rsidRPr="00291E4E" w:rsidTr="00DB48CC">
        <w:trPr>
          <w:trHeight w:val="1120"/>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diagnosed when both pregnancy-induced</w:t>
            </w:r>
            <w:r>
              <w:rPr>
                <w:rFonts w:eastAsia="Times New Roman"/>
                <w:color w:val="000000"/>
                <w:sz w:val="18"/>
                <w:szCs w:val="18"/>
              </w:rPr>
              <w:t xml:space="preserve"> </w:t>
            </w:r>
            <w:r w:rsidRPr="00291E4E">
              <w:rPr>
                <w:rFonts w:eastAsia="Times New Roman"/>
                <w:color w:val="000000"/>
                <w:sz w:val="18"/>
                <w:szCs w:val="18"/>
              </w:rPr>
              <w:t>hypertension and proteinuria were present. Pregnancy-induced hypertension was defined as a sustained (≥2 measures 6 hours apart) blood pressure elevation (&gt;140/90 mm Hg) &gt;20 weeks</w:t>
            </w:r>
            <w:r>
              <w:rPr>
                <w:rFonts w:eastAsia="Times New Roman"/>
                <w:color w:val="000000"/>
                <w:sz w:val="18"/>
                <w:szCs w:val="18"/>
              </w:rPr>
              <w:t xml:space="preserve"> </w:t>
            </w:r>
            <w:r w:rsidRPr="00291E4E">
              <w:rPr>
                <w:rFonts w:eastAsia="Times New Roman"/>
                <w:color w:val="000000"/>
                <w:sz w:val="18"/>
                <w:szCs w:val="18"/>
              </w:rPr>
              <w:t>of gestation. Proteinuria was defined as a sustained ( ≥2 measures 4 hours apart) presence of elevated prot</w:t>
            </w:r>
            <w:r>
              <w:rPr>
                <w:rFonts w:eastAsia="Times New Roman"/>
                <w:color w:val="000000"/>
                <w:sz w:val="18"/>
                <w:szCs w:val="18"/>
              </w:rPr>
              <w:t xml:space="preserve">ein in the urine ( &gt;30 mg/dL or &gt;1+ </w:t>
            </w:r>
            <w:r w:rsidRPr="00291E4E">
              <w:rPr>
                <w:rFonts w:eastAsia="Times New Roman"/>
                <w:color w:val="000000"/>
                <w:sz w:val="18"/>
                <w:szCs w:val="18"/>
              </w:rPr>
              <w:t>on a urine dipstick)</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b/>
                <w:color w:val="000000"/>
                <w:sz w:val="18"/>
                <w:szCs w:val="18"/>
              </w:rPr>
            </w:pPr>
            <w:r w:rsidRPr="00291E4E">
              <w:rPr>
                <w:rFonts w:eastAsia="Times New Roman"/>
                <w:b/>
                <w:color w:val="000000"/>
                <w:sz w:val="18"/>
                <w:szCs w:val="18"/>
              </w:rPr>
              <w:t>ACOG 2000</w:t>
            </w:r>
          </w:p>
        </w:tc>
        <w:tc>
          <w:tcPr>
            <w:tcW w:w="873" w:type="dxa"/>
          </w:tcPr>
          <w:p w:rsidR="00CD17F0" w:rsidRPr="00291E4E" w:rsidRDefault="00E33D6E" w:rsidP="006D38DA">
            <w:pPr>
              <w:spacing w:before="0" w:after="0"/>
              <w:jc w:val="center"/>
              <w:rPr>
                <w:rFonts w:eastAsia="Times New Roman"/>
                <w:b/>
                <w:color w:val="000000"/>
                <w:sz w:val="18"/>
                <w:szCs w:val="18"/>
              </w:rPr>
            </w:pPr>
            <w:r>
              <w:rPr>
                <w:rFonts w:eastAsia="Times New Roman"/>
                <w:b/>
                <w:color w:val="000000"/>
                <w:sz w:val="18"/>
                <w:szCs w:val="18"/>
              </w:rPr>
              <w:fldChar w:fldCharType="begin" w:fldLock="1"/>
            </w:r>
            <w:r w:rsidR="00460963">
              <w:rPr>
                <w:rFonts w:eastAsia="Times New Roman"/>
                <w:b/>
                <w:color w:val="000000"/>
                <w:sz w:val="18"/>
                <w:szCs w:val="18"/>
              </w:rPr>
              <w:instrText>ADDIN CSL_CITATION {"citationItems":[{"id":"ITEM-1","itemData":{"DOI":"10.1016/j.ajog.2010.09.004","abstract":"Objective The role of posttranscription regulation in preeclampsia is largely unknown. We investigated preeclampsia-related placental microRNA (miRNA) expression using microarray and confirmatory quantitative real-time polymerase chain reaction experiments. Study Design Placental expressions of characterized and novel miRNAs (1295 probes) were measured in samples collected from 20 preeclampsia cases and 20 controls. Differential expression was evaluated using Student t test and fold change analyses. In pathway analysis, we examined functions/functional relationships of targets of differentially expressed miRNAs. Results Eight miRNAs were differentially expressed (1 up-regulated and 7 down-regulated) among preeclampsia cases compared with controls. These included previously identified candidates (miR-210, miR-1, and a miRNA in the 14q32.31 cluster region) and others that are novel (miR-584 and miR-34c-5p). These miRNAs target genes that participate in organ/system development (cardiovascular and reproductive system), immunologic dysfunction, cell adhesion, cell cycle, and signaling. Conclusion Expression of miRNAs that target genes in diverse pathophysiological processes is altered in the setting of preeclampsia. © 2011 Mosby, Inc.","author":[{"dropping-particle":"","family":"Enquobahrie","given":"Daniel A.","non-dropping-particle":"","parse-names":false,"suffix":""},{"dropping-particle":"","family":"Abetew","given":"Dejene F.","non-dropping-particle":"","parse-names":false,"suffix":""},{"dropping-particle":"","family":"Sorensen","given":"Tanya K.","non-dropping-particle":"","parse-names":false,"suffix":""},{"dropping-particle":"","family":"Willoughby","given":"David","non-dropping-particle":"","parse-names":false,"suffix":""},{"dropping-particle":"","family":"Chidambaram","given":"Kumaravel","non-dropping-particle":"","parse-names":false,"suffix":""},{"dropping-particle":"","family":"Williams","given":"Michelle A.","non-dropping-particle":"","parse-names":false,"suffix":""}],"container-title":"American Journal of Obstetrics and Gynecology","id":"ITEM-1","issue":"2","issued":{"date-parts":[["2011"]]},"page":"178.e12-178.e21","title":"Placental microRNA expression in pregnancies complicated by preeclampsia","type":"article-journal","volume":"204"},"uris":["http://www.mendeley.com/documents/?uuid=ff7de385-0a48-36c6-a392-ff9cb1ec17fb"]}],"mendeley":{"formattedCitation":"(Enquobahrie et al., 2011)","plainTextFormattedCitation":"(Enquobahrie et al., 2011)","previouslyFormattedCitation":"(Enquobahrie et al., 2011)"},"properties":{"noteIndex":0},"schema":"https://github.com/citation-style-language/schema/raw/master/csl-citation.json"}</w:instrText>
            </w:r>
            <w:r>
              <w:rPr>
                <w:rFonts w:eastAsia="Times New Roman"/>
                <w:b/>
                <w:color w:val="000000"/>
                <w:sz w:val="18"/>
                <w:szCs w:val="18"/>
              </w:rPr>
              <w:fldChar w:fldCharType="separate"/>
            </w:r>
            <w:r w:rsidR="00D0073D" w:rsidRPr="00D0073D">
              <w:rPr>
                <w:rFonts w:eastAsia="Times New Roman"/>
                <w:noProof/>
                <w:color w:val="000000"/>
                <w:sz w:val="18"/>
                <w:szCs w:val="18"/>
              </w:rPr>
              <w:t>(Enquobahrie et al., 2011)</w:t>
            </w:r>
            <w:r>
              <w:rPr>
                <w:rFonts w:eastAsia="Times New Roman"/>
                <w:b/>
                <w:color w:val="000000"/>
                <w:sz w:val="18"/>
                <w:szCs w:val="18"/>
              </w:rPr>
              <w:fldChar w:fldCharType="end"/>
            </w:r>
          </w:p>
        </w:tc>
      </w:tr>
      <w:tr w:rsidR="00CD17F0" w:rsidRPr="00291E4E" w:rsidTr="00DB48CC">
        <w:trPr>
          <w:trHeight w:val="81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hypertension—systolic blood</w:t>
            </w:r>
            <w:r>
              <w:rPr>
                <w:rFonts w:eastAsia="Times New Roman"/>
                <w:color w:val="000000"/>
                <w:sz w:val="18"/>
                <w:szCs w:val="18"/>
              </w:rPr>
              <w:t xml:space="preserve"> </w:t>
            </w:r>
            <w:r w:rsidRPr="00291E4E">
              <w:rPr>
                <w:rFonts w:eastAsia="Times New Roman"/>
                <w:color w:val="000000"/>
                <w:sz w:val="18"/>
                <w:szCs w:val="18"/>
              </w:rPr>
              <w:t>pressure, ≥140 mm Hg, or diastolic blood pressure, ≥90 mmHg, on at least 2 occasions, at least 4 hours apart, and</w:t>
            </w:r>
            <w:r>
              <w:rPr>
                <w:rFonts w:eastAsia="Times New Roman"/>
                <w:color w:val="000000"/>
                <w:sz w:val="18"/>
                <w:szCs w:val="18"/>
              </w:rPr>
              <w:t xml:space="preserve"> </w:t>
            </w:r>
            <w:r w:rsidRPr="00291E4E">
              <w:rPr>
                <w:rFonts w:eastAsia="Times New Roman"/>
                <w:color w:val="000000"/>
                <w:sz w:val="18"/>
                <w:szCs w:val="18"/>
              </w:rPr>
              <w:t>proteinuria of ≥300 mg in a 24-hour urine collection or urine</w:t>
            </w:r>
            <w:r>
              <w:rPr>
                <w:rFonts w:eastAsia="Times New Roman"/>
                <w:color w:val="000000"/>
                <w:sz w:val="18"/>
                <w:szCs w:val="18"/>
              </w:rPr>
              <w:t xml:space="preserve"> </w:t>
            </w:r>
            <w:r w:rsidRPr="00291E4E">
              <w:rPr>
                <w:rFonts w:eastAsia="Times New Roman"/>
                <w:color w:val="000000"/>
                <w:sz w:val="18"/>
                <w:szCs w:val="18"/>
              </w:rPr>
              <w:t xml:space="preserve">dipstick </w:t>
            </w:r>
            <w:r>
              <w:rPr>
                <w:rFonts w:eastAsia="Times New Roman"/>
                <w:color w:val="000000"/>
                <w:sz w:val="18"/>
                <w:szCs w:val="18"/>
              </w:rPr>
              <w:t>measurement of</w:t>
            </w:r>
            <w:r w:rsidRPr="00291E4E">
              <w:rPr>
                <w:rFonts w:eastAsia="Times New Roman"/>
                <w:color w:val="000000"/>
                <w:sz w:val="18"/>
                <w:szCs w:val="18"/>
              </w:rPr>
              <w:t xml:space="preserve"> ≥2+</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{"citationItems":[{"id":"ITEM-1","itemData":{"DOI":"10.1177/1933719110374115","abstract":"MicroRNAs (miRNAs) have emerged as key regulators of gene expression stability implicated in cell proliferation, apoptosis, and development, whereas their altered expression has been associated with various pathological disorders. The objective of this study was to assess the expression profile of miRNAs and their predicted target genes in placentas from patients with preeclampsia (PC) and preterm (PT) labor as compared to normal term (NT) pregnancies. Using microarray profiling of 820 miRNAs and 18,630 mRNA transcripts, the analysis indicated that 283 of these miRNAs and 9119 mRNAs were expressed in all placentas, of which the relative expression of 20 miRNAs (P &lt; .05 and ≥1.5-fold) and 120 mRNAs (P &lt; .05, and 2-fold cutoff) was differentially expressed in PT and PC as compared to NT. The expression of miR-15b, miR-181a, miR-200C, miR-210, miR-296-3p, miR-377, miR-483-5p, and miR-493 and a few of their predicted target genes: matrix metalloproteinases (MMP-1, MMP-9), a disintegrin and metalloproteinase domains (ADAM-17, ADAM-30), tissue inhibitor of metalloproteinase 3 (TIMP-3); suppressor of cytokine signaling 1 (SOCS1); Stanniocalcin (STC2); corticotropin-releasing hormone (CRH), CRH-binding protein (CRHBP); and endothelin-2 (EDN2) were validated in these cohorts using real-time polymerase chain reaction (PCR), some displaying an inverse correlation with the expression of their predicted target genes. Functional analysis indicated that the products of these genes regulate cellular activities considered critical in normal placental functions and those affected by PC and PT labor. In conclusion, the results provide further evidence that placentas affected by PC and PT labor display an altered expression of a number of miRNAs with potential regulatory functions on the expression of specific target genes whose altered expression and function have been associated with these pregnancy complications. © The Author(s) 2011.","author":[{"dropping-particle":"","family":"Mayor-Lynn","given":"Kathleen","non-dropping-particle":"","parse-names":false,"suffix":""},{"dropping-particle":"","family":"Toloubeydokhti","given":"Tannaz","non-dropping-particle":"","parse-names":false,"suffix":""},{"dropping-particle":"","family":"Cruz","given":"Amelia C.","non-dropping-particle":"","parse-names":false,"suffix":""},{"dropping-particle":"","family":"Chegini","given":"Nasser","non-dropping-particle":"","parse-names":false,"suffix":""}],"container-title":"Reproductive Sciences","id":"ITEM-1","issue":"1","issued":{"date-parts":[["2011"]]},"page":"46-56","title":"Expression profile of microRNAs and mRNAs in human placentas from pregnancies complicated by preeclampsia and preterm labor","type":"article-journal","volume":"18"},"uris":["http://www.mendeley.com/documents/?uuid=52ad8c6c-ad7d-3467-9cde-262f3af5b834"]}],"mendeley":{"formattedCitation":"(Mayor-Lynn et al., 2011)","plainTextFormattedCitation":"(Mayor-Lynn et al., 2011)","previouslyFormattedCitation":"(Mayor-Lynn et al., 2011)"},"properties":{"noteIndex":0},"schema":"https://github.com/citation-style-language/schema/raw/master/csl-citation.json"}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(Mayor-Lynn et al., 2011)</w:t>
            </w:r>
            <w:r>
              <w:rPr>
                <w:rFonts w:eastAsia="Times New Roman"/>
                <w:color w:val="000000"/>
                <w:sz w:val="18"/>
                <w:szCs w:val="18"/>
              </w:rPr>
              <w:fldChar w:fldCharType="end"/>
            </w:r>
          </w:p>
        </w:tc>
      </w:tr>
      <w:tr w:rsidR="00CD17F0" w:rsidRPr="00961E99" w:rsidTr="00DB48CC">
        <w:trPr>
          <w:trHeight w:val="670"/>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 xml:space="preserve">Preeclampsia was defined as blood pressure </w:t>
            </w:r>
            <w:r>
              <w:rPr>
                <w:rFonts w:eastAsia="Times New Roman"/>
                <w:color w:val="000000"/>
                <w:sz w:val="18"/>
                <w:szCs w:val="18"/>
              </w:rPr>
              <w:t>&gt;</w:t>
            </w:r>
            <w:r w:rsidRPr="00291E4E">
              <w:rPr>
                <w:rFonts w:eastAsia="Times New Roman"/>
                <w:color w:val="000000"/>
                <w:sz w:val="18"/>
                <w:szCs w:val="18"/>
              </w:rPr>
              <w:t>140/90mm Hg in two determinations 4 hours apart or by a</w:t>
            </w:r>
            <w:r>
              <w:rPr>
                <w:rFonts w:eastAsia="Times New Roman"/>
                <w:color w:val="000000"/>
                <w:sz w:val="18"/>
                <w:szCs w:val="18"/>
              </w:rPr>
              <w:t xml:space="preserve"> </w:t>
            </w:r>
            <w:r w:rsidRPr="00291E4E">
              <w:rPr>
                <w:rFonts w:eastAsia="Times New Roman"/>
                <w:color w:val="000000"/>
                <w:sz w:val="18"/>
                <w:szCs w:val="18"/>
              </w:rPr>
              <w:t xml:space="preserve">diastolic blood pressure </w:t>
            </w:r>
            <w:r>
              <w:rPr>
                <w:rFonts w:eastAsia="Times New Roman"/>
                <w:color w:val="000000"/>
                <w:sz w:val="18"/>
                <w:szCs w:val="18"/>
              </w:rPr>
              <w:t>&gt;</w:t>
            </w:r>
            <w:r w:rsidRPr="00291E4E">
              <w:rPr>
                <w:rFonts w:eastAsia="Times New Roman"/>
                <w:color w:val="000000"/>
                <w:sz w:val="18"/>
                <w:szCs w:val="18"/>
              </w:rPr>
              <w:t xml:space="preserve">110 mm Hg that was associated with a protein level </w:t>
            </w:r>
            <w:r>
              <w:rPr>
                <w:rFonts w:eastAsia="Times New Roman"/>
                <w:color w:val="000000"/>
                <w:sz w:val="18"/>
                <w:szCs w:val="18"/>
              </w:rPr>
              <w:t>&gt;</w:t>
            </w:r>
            <w:r w:rsidRPr="00291E4E">
              <w:rPr>
                <w:rFonts w:eastAsia="Times New Roman"/>
                <w:color w:val="000000"/>
                <w:sz w:val="18"/>
                <w:szCs w:val="18"/>
              </w:rPr>
              <w:t>300 mg/24 h after 20 weeks of</w:t>
            </w:r>
            <w:r>
              <w:rPr>
                <w:rFonts w:eastAsia="Times New Roman"/>
                <w:color w:val="000000"/>
                <w:sz w:val="18"/>
                <w:szCs w:val="18"/>
              </w:rPr>
              <w:t xml:space="preserve"> </w:t>
            </w:r>
            <w:r w:rsidRPr="00291E4E">
              <w:rPr>
                <w:rFonts w:eastAsia="Times New Roman"/>
                <w:color w:val="000000"/>
                <w:sz w:val="18"/>
                <w:szCs w:val="18"/>
              </w:rPr>
              <w:t>gestation</w:t>
            </w:r>
          </w:p>
        </w:tc>
        <w:tc>
          <w:tcPr>
            <w:tcW w:w="3483" w:type="dxa"/>
            <w:shd w:val="clear" w:color="auto" w:fill="auto"/>
            <w:noWrap/>
            <w:vAlign w:val="bottom"/>
            <w:hideMark/>
          </w:tcPr>
          <w:p w:rsidR="00CD17F0" w:rsidRPr="00961E99" w:rsidRDefault="00CD17F0" w:rsidP="006D38DA">
            <w:pPr>
              <w:spacing w:before="0" w:after="0"/>
              <w:jc w:val="center"/>
              <w:rPr>
                <w:rFonts w:eastAsia="Times New Roman"/>
                <w:b/>
                <w:bCs/>
                <w:color w:val="000000"/>
                <w:sz w:val="18"/>
                <w:szCs w:val="18"/>
              </w:rPr>
            </w:pPr>
            <w:r w:rsidRPr="00961E99">
              <w:rPr>
                <w:rFonts w:eastAsia="Times New Roman"/>
                <w:b/>
                <w:bCs/>
                <w:color w:val="000000"/>
                <w:sz w:val="18"/>
                <w:szCs w:val="18"/>
              </w:rPr>
              <w:t>ACOG no year</w:t>
            </w:r>
          </w:p>
        </w:tc>
        <w:tc>
          <w:tcPr>
            <w:tcW w:w="873" w:type="dxa"/>
          </w:tcPr>
          <w:p w:rsidR="00CD17F0" w:rsidRPr="00961E99"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{"citationItems":[{"id":"ITEM-1","itemData":{"DOI":"10.1016/j.jmoldx.2011.11.003","abstract":"Placental insufficiencyrelated complications are one of the leading causes of maternal and perinatal morbidity and mortality. This study investigated the quantification of placenta-specific microRNAs (miRNAs) in the maternal circulation during gestation in a cohort of women with normally progressing pregnancies, the differentiation between placental insufficiencyrelated complications and normally progressing pregnancies, and the differentiation between placental insufficiency and normally progressing pregnancies during the early stages of gestation. Both absolute and relative quantification of placenta-specific miRNAs (ie, miR-516-5p, miR-517 (*), miR-518b, miR-520a (*), miR-520h, miR-525, and miR-526a) was determined in 50 women with normally progressing pregnancies, 32 with complicated pregnancies [21 with preeclampsia with or without intrauterine growth retardation (IUGR) and 11 with IUGR], and 7 women with pregnancies at various gestational stages who later developed preeclampsia and/or IUGR using real-time PCR and a comparative C T method relative to normalization factor (ie, geometric mean of ubiquitous miR-16 and let-7d). Both quantification approaches revealed significant increases in extracellular placentaspecific miRNA levels over time in women with normally progressing pregnancies; however, they were not able to differentiate between normally progressing and complicated pregnancies at the time of preeclampsia and/or IUGR onset. Nevertheless, significant elevation of extracellular miRNA levels was observed during early gestation (ie, within the 12th to 16th weeks) in pregnancies with later onset of preeclampsia and/or IUGR. Early gestation extracellular miRNA screening can differentiate between women with normally progressing pregnancies and those who may later develop placental insufficiencyrelated complications. © 2012 American Society for Investigative Pathology and the Association for Molecular Pathology.","author":[{"dropping-particle":"","family":"Hromadnikova","given":"Ilona","non-dropping-particle":"","parse-names":false,"suffix":""},{"dropping-particle":"","family":"Kotlabova","given":"Katerina","non-dropping-particle":"","parse-names":false,"suffix":""},{"dropping-particle":"","family":"Doucha","given":"Jindrich","non-dropping-particle":"","parse-names":false,"suffix":""},{"dropping-particle":"","family":"Dlouha","given":"Klara","non-dropping-particle":"","parse-names":false,"suffix":""},{"dropping-particle":"","family":"Krofta","given":"Ladislav","non-dropping-particle":"","parse-names":false,"suffix":""}],"container-title":"Journal of Molecular Diagnostics","id":"ITEM-1","issue":"2","issued":{"date-parts":[["2012"]]},"page":"160-167","title":"Absolute and relative quantification of placenta-specific microRNAs in maternal circulation with placental insufficiency - Related complications","type":"article-journal","volume":"14"},"uris":["http://www.mendeley.com/documents/?uuid=c05d8735-b468-3272-8a5b-0eeabc251ca1"]}],"mendeley":{"formattedCitation":"(Hromadnikova et al., 2012)","plainTextFormattedCitation":"(Hromadnikova et al., 2012)","previouslyFormattedCitation":"(Hromadnikova et al., 2012)"},"properties":{"noteIndex":0},"schema":"https://github.com/citation-style-language/schema/raw/master/csl-citation.json"}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(Hromadnikova et al., 2012)</w:t>
            </w:r>
            <w:r>
              <w:rPr>
                <w:rFonts w:eastAsia="Times New Roman"/>
                <w:b/>
                <w:bCs/>
                <w:color w:val="000000"/>
                <w:sz w:val="18"/>
                <w:szCs w:val="18"/>
              </w:rPr>
              <w:fldChar w:fldCharType="end"/>
            </w:r>
          </w:p>
        </w:tc>
      </w:tr>
      <w:tr w:rsidR="00CD17F0" w:rsidRPr="00961E99" w:rsidTr="00DB48CC">
        <w:trPr>
          <w:trHeight w:val="590"/>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is defined as elevated blood pressure (≥140/90 mm Hg on two measurements ≥6 hours apart), with ≥1+ proteinuria (0-trace protein for gestational hypertension</w:t>
            </w:r>
          </w:p>
        </w:tc>
        <w:tc>
          <w:tcPr>
            <w:tcW w:w="3483" w:type="dxa"/>
            <w:shd w:val="clear" w:color="auto" w:fill="auto"/>
            <w:noWrap/>
            <w:vAlign w:val="bottom"/>
            <w:hideMark/>
          </w:tcPr>
          <w:p w:rsidR="00CD17F0" w:rsidRPr="00961E99" w:rsidRDefault="00CD17F0" w:rsidP="006D38DA">
            <w:pPr>
              <w:spacing w:before="0" w:after="0"/>
              <w:jc w:val="center"/>
              <w:rPr>
                <w:rFonts w:eastAsia="Times New Roman"/>
                <w:b/>
                <w:bCs/>
                <w:color w:val="000000"/>
                <w:sz w:val="18"/>
                <w:szCs w:val="18"/>
              </w:rPr>
            </w:pPr>
            <w:r w:rsidRPr="00961E99">
              <w:rPr>
                <w:rFonts w:eastAsia="Times New Roman"/>
                <w:b/>
                <w:bCs/>
                <w:color w:val="000000"/>
                <w:sz w:val="18"/>
                <w:szCs w:val="18"/>
              </w:rPr>
              <w:t>ACOG no year</w:t>
            </w:r>
          </w:p>
        </w:tc>
        <w:tc>
          <w:tcPr>
            <w:tcW w:w="873" w:type="dxa"/>
          </w:tcPr>
          <w:p w:rsidR="00CD17F0" w:rsidRPr="00961E99"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{"citationItems":[{"id":"ITEM-1","itemData":{"DOI":"10.1016/j.ajpath.2013.07.021","abstract":"Preeclampsia is characterized by hypertension and proteinuria in pregnant women. Its exact cause is unknown. Preeclampsia increases the risk of maternal and fetal morbidity and mortality. Although delivery, often premature, is the only known cure, early targeted interventions may improve maternal and fetal outcomes. Successful intervention requires a better understanding of the molecular etiology of preeclampsia and the development of accurate methods to predict women at risk. To this end, we tested the role of miR-210, a miRNA up-regulated in preeclamptic placentas, in first-trimester extravillous trophoblasts. miR-210 overexpression reduced trophoblast invasion, a process necessary for uteroplacental perfusion, in an extracellular signal-regulated kinase/mitogen-activated protein kinase-dependent manner. Conversely, miR-210 inhibition promoted invasion. Furthermore, given that the placenta secretes miRNAs into the maternal circulation, we tested if serum expression of miR-210 was associated with the disease. We measured miR-210 expression in two clinical studies: a case-control study and a prospective cohort study. Serum miR-210 expression was significantly associated with a diagnosis of preeclampsia (P = 0.007, area under the receiver operator curves = 0.81) and was predictive of the disease, even months before clinical diagnosis (P &lt; 0.0001, area under the receiver operator curve = 0.89). Hence, we conclude that aberrant expression of miR-210 may contribute to trophoblast function and that miR-210 is a novel predictive serum biomarker for preeclampsia that can help in identifying at-risk women for monitoring and treatment. Copyright © 2013 American Society for Investigative Pathology.","author":[{"dropping-particle":"","family":"Anton","given":"Lauren","non-dropping-particle":"","parse-names":false,"suffix":""},{"dropping-particle":"","family":"Olarerin-George","given":"Anthony O.","non-dropping-particle":"","parse-names":false,"suffix":""},{"dropping-particle":"","family":"Schwartz","given":"Nadav","non-dropping-particle":"","parse-names":false,"suffix":""},{"dropping-particle":"","family":"Srinivas","given":"Sindhu","non-dropping-particle":"","parse-names":false,"suffix":""},{"dropping-particle":"","family":"Bastek","given":"Jamie","non-dropping-particle":"","parse-names":false,"suffix":""},{"dropping-particle":"","family":"Hogenesch","given":"John B.","non-dropping-particle":"","parse-names":false,"suffix":""},{"dropping-particle":"","family":"Elovitz","given":"Michal A.","non-dropping-particle":"","parse-names":false,"suffix":""}],"container-title":"American Journal of Pathology","id":"ITEM-1","issue":"5","issued":{"date-parts":[["2013"]]},"page":"1437-1445","title":"MiR-210 inhibits trophoblast invasion and is a serum biomarker for preeclampsia","type":"article-journal","volume":"183"},"uris":["http://www.mendeley.com/documents/?uuid=9f5799e7-e4f7-33c1-89ae-2f70212401f1"]}],"mendeley":{"formattedCitation":"(Anton et al., 2013)","plainTextFormattedCitation":"(Anton et al., 2013)","previouslyFormattedCitation":"(Anton et al., 2013)"},"properties":{"noteIndex":0},"schema":"https://github.com/citation-style-language/schema/raw/master/csl-citation.json"}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(Anton et al., 2013)</w:t>
            </w:r>
            <w:r>
              <w:rPr>
                <w:rFonts w:eastAsia="Times New Roman"/>
                <w:b/>
                <w:bCs/>
                <w:color w:val="000000"/>
                <w:sz w:val="18"/>
                <w:szCs w:val="18"/>
              </w:rPr>
              <w:fldChar w:fldCharType="end"/>
            </w:r>
          </w:p>
        </w:tc>
      </w:tr>
      <w:tr w:rsidR="00CD17F0" w:rsidRPr="00291E4E" w:rsidTr="00DB48CC">
        <w:trPr>
          <w:trHeight w:val="647"/>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systolic blood pressure ≥140mmHg or diastolic blood pressure ≥90mmHg on two occasions 6hours apart after 20 weeks of gestation, and proteinuria of 300 mg/24 h on two occasions 6 hours apart</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{"citationItems":[{"id":"ITEM-1","itemData":{"DOI":"10.3109/10641955.2013.807819","abstract":"Objective: The aim was to identify differences in microRNA expression between patients with and without preeclampsia. Methods: Microarray-based study was carried out with placental samples. Results: Comparison of eight previous studies with the current study revealed a total of 138 microRNAs; only 20/138 (14%), however, were seen in more than one study and the results agreed in the direction of change. Bioinformatic analysis of these 20 microRNAs identified a wide range of biological functions including apoptosis and cell movement for their mRNA targets. Conclusion: The associations between miRNA expression and preeclampsia suggest a potential role for microRNAs in preeclampsia pathobiology. © 2013 Informa Healthcare USA, Inc. All rights reserved.","author":[{"dropping-particle":"","family":"Betoni","given":"James S.","non-dropping-particle":"","parse-names":false,"suffix":""},{"dropping-particle":"","family":"Derr","given":"Kimberly","non-dropping-particle":"","parse-names":false,"suffix":""},{"dropping-particle":"","family":"Pahl","given":"Matthew C.","non-dropping-particle":"","parse-names":false,"suffix":""},{"dropping-particle":"","family":"Rogers","given":"Laura","non-dropping-particle":"","parse-names":false,"suffix":""},{"dropping-particle":"","family":"Muller","given":"Corinna L.","non-dropping-particle":"","parse-names":false,"suffix":""},{"dropping-particle":"","family":"Packard","given":"Roger E.","non-dropping-particle":"","parse-names":false,"suffix":""},{"dropping-particle":"","family":"Carey","given":"David J.","non-dropping-particle":"","parse-names":false,"suffix":""},{"dropping-particle":"","family":"Kuivaniemi","given":"Helena","non-dropping-particle":"","parse-names":false,"suffix":""},{"dropping-particle":"","family":"Tromp","given":"Gerard","non-dropping-particle":"","parse-names":false,"suffix":""}],"container-title":"Hypertension in Pregnancy","id":"ITEM-1","issue":"4","issued":{"date-parts":[["2013"]]},"page":"321-339","title":"MicroRNA analysis in placentas from patients with preeclampsia: Comparison of new and published results","type":"article-journal","volume":"32"},"uris":["http://www.mendeley.com/documents/?uuid=05f620bd-182b-30f9-a7d6-af46b8de0fe7"]}],"mendeley":{"formattedCitation":"(Betoni et al., 2013)","plainTextFormattedCitation":"(Betoni et al., 2013)","previouslyFormattedCitation":"(Betoni et al., 2013)"},"properties":{"noteIndex":0},"schema":"https://github.com/citation-style-language/schema/raw/master/csl-citation.json"}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(Betoni et al., 2013)</w:t>
            </w:r>
            <w:r>
              <w:rPr>
                <w:rFonts w:eastAsia="Times New Roman"/>
                <w:color w:val="000000"/>
                <w:sz w:val="18"/>
                <w:szCs w:val="18"/>
              </w:rPr>
              <w:fldChar w:fldCharType="end"/>
            </w:r>
          </w:p>
        </w:tc>
      </w:tr>
      <w:tr w:rsidR="00CD17F0" w:rsidRPr="00961E99" w:rsidTr="00DB48CC">
        <w:trPr>
          <w:trHeight w:val="1108"/>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diagnosed when both pregnancy-induced hypertension and proteinuria were present. Pregnancy-induced hypertension was defined as a sustained (2 measures 6 h apart) blood pressure elevation (&gt;140/90 mmHg) &gt;20 weeks of gestation. Proteinuria was defined as a sustained ( 2 measures 4 h apart) presence of elevated protein in the urine (&gt;30 mg/dL or &gt;1+ on a urine dipstick</w:t>
            </w:r>
            <w:r w:rsidR="00871AAB">
              <w:rPr>
                <w:rFonts w:eastAsia="Times New Roman"/>
                <w:color w:val="000000"/>
                <w:sz w:val="18"/>
                <w:szCs w:val="18"/>
              </w:rPr>
              <w:t>)</w:t>
            </w:r>
          </w:p>
        </w:tc>
        <w:tc>
          <w:tcPr>
            <w:tcW w:w="3483" w:type="dxa"/>
            <w:shd w:val="clear" w:color="auto" w:fill="auto"/>
            <w:noWrap/>
            <w:vAlign w:val="bottom"/>
            <w:hideMark/>
          </w:tcPr>
          <w:p w:rsidR="00CD17F0" w:rsidRPr="00961E99" w:rsidRDefault="00CD17F0" w:rsidP="006D38DA">
            <w:pPr>
              <w:spacing w:before="0" w:after="0"/>
              <w:jc w:val="center"/>
              <w:rPr>
                <w:rFonts w:eastAsia="Times New Roman"/>
                <w:b/>
                <w:bCs/>
                <w:color w:val="000000"/>
                <w:sz w:val="18"/>
                <w:szCs w:val="18"/>
              </w:rPr>
            </w:pPr>
            <w:r w:rsidRPr="00961E99">
              <w:rPr>
                <w:rFonts w:eastAsia="Times New Roman"/>
                <w:b/>
                <w:bCs/>
                <w:color w:val="000000"/>
                <w:sz w:val="18"/>
                <w:szCs w:val="18"/>
              </w:rPr>
              <w:t>ACOG 2000</w:t>
            </w:r>
          </w:p>
        </w:tc>
        <w:tc>
          <w:tcPr>
            <w:tcW w:w="873" w:type="dxa"/>
          </w:tcPr>
          <w:p w:rsidR="00CD17F0" w:rsidRPr="00961E99"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{"citationItems":[{"id":"ITEM-1","itemData":{"DOI":"10.1016/j.placenta.2013.04.007","abstract":"Introduction This study focuses on the implementation of modulated modularity clustering (MMC) a new cluster algorithm for the identification of molecular signatures of preeclampsia and intrauterine growth restriction (IUGR), and the identification of affected microRNAs Methods Eighty-six human placentas from normal (40), growth-restricted (27), and preeclamptic (19) term pregnancies were profiled using Illumina Human-6 Beadarrays. MMC was utilized to generate modules based on similarities in placental transcriptome. Gene Set Enrichment Analysis (GSEA) was used to predict affected microRNAs. Expression levels of these candidate microRNAs were investigated in seventy-one human term placentas as follows: control (29); IUGR (26); and preeclampsia (16). Results MMC identified two modules, one representing IUGR placentas and one representing preeclamptic placentas. 326 differentially expressed genes in the module representing IUGR and 889 differentially expressed genes in a module representing preeclampsia were identified. Functional analysis of molecular signatures associated with IUGR identified P13K/AKT, mTOR, p70S6K, apoptosis and IGF-1 signaling as being affected. Analysis of variance of GSEA-predicted microRNAs indicated that miR-194 was significantly down-regulated both in preeclampsia (p = 0.0001) and IUGR (p = 0.0304), and miR-149 was significantly down-regulated in preeclampsia (p = 0.0168). Discussion Implementation of MMC, allowed identification of genes disregulated in IUGR and preeclampsia. The reliability of MMC was validated by comparing to previous linear modeling analysis of preeclamptic placentas. Conclusion MMC allowed the elucidation of a molecular signature associated with preeclampsia and a subset of IUGR samples. This allowed the identification of genes, pathways, and microRNAs affected in these diseases. © 2013 Elsevier Ltd. All rights reserved.","author":[{"dropping-particle":"","family":"Guo","given":"L.","non-dropping-particle":"","parse-names":false,"suffix":""},{"dropping-particle":"","family":"Tsai","given":"S. Q.","non-dropping-particle":"","parse-names":false,"suffix":""},{"dropping-particle":"","family":"Hardison","given":"N. E.","non-dropping-particle":"","parse-names":false,"suffix":""},{"dropping-particle":"","family":"James","given":"A. H.","non-dropping-particle":"","parse-names":false,"suffix":""},{"dropping-particle":"","family":"Motsinger-Reif","given":"A. A.","non-dropping-particle":"","parse-names":false,"suffix":""},{"dropping-particle":"","family":"Thames","given":"B.","non-dropping-particle":"","parse-names":false,"suffix":""},{"dropping-particle":"","family":"Stone","given":"E. A.","non-dropping-particle":"","parse-names":false,"suffix":""},{"dropping-particle":"","family":"Deng","given":"C.","non-dropping-particle":"","parse-names":false,"suffix":""},{"dropping-particle":"","family":"Piedrahita","given":"J. A.","non-dropping-particle":"","parse-names":false,"suffix":""}],"container-title":"Placenta","id":"ITEM-1","issue":"7","issued":{"date-parts":[["2013"]]},"page":"599-605","title":"Differentially expressed microRNAs and affected biological pathways revealed by modulated modularity clustering (MMC) analysis of human preeclamptic and IUGR placentas","type":"article-journal","volume":"34"},"uris":["http://www.mendeley.com/documents/?uuid=1a654389-a0cf-353a-8a73-e3f2fcbce90d"]}],"mendeley":{"formattedCitation":"(Guo et al., 2013)","plainTextFormattedCitation":"(Guo et al., 2013)","previouslyFormattedCitation":"(Guo et al., 2013)"},"properties":{"noteIndex":0},"schema":"https://github.com/citation-style-language/schema/raw/master/csl-citation.json"}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(Guo et al., 2013)</w:t>
            </w:r>
            <w:r>
              <w:rPr>
                <w:rFonts w:eastAsia="Times New Roman"/>
                <w:b/>
                <w:bCs/>
                <w:color w:val="000000"/>
                <w:sz w:val="18"/>
                <w:szCs w:val="18"/>
              </w:rPr>
              <w:fldChar w:fldCharType="end"/>
            </w:r>
          </w:p>
        </w:tc>
      </w:tr>
      <w:tr w:rsidR="00CD17F0" w:rsidRPr="00291E4E" w:rsidTr="00DB48CC">
        <w:trPr>
          <w:trHeight w:val="505"/>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blood pressure &gt;140/90mmHg in two determinations 4 hours apart that was associated with proteinuria &gt;300mg/24 h after 20 gw.</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{"citationItems":[{"id":"ITEM-1","itemData":{"DOI":"10.1155/2013/186041","abstract":"The objective of the study was to identify the profile of circulating C19MC microRNAs (miR-516-5p, miR-517, miR-518b, miR-520a, miR-520h, miR-525, and miR-526a) in patients with established preeclampsia (n=63), fetal growth restriction (n=27), and gestational hypertension (n=23). We examined the correlation between plasmatic concentrations and expression levels of microRNAs and the severity of the disease with respect to clinical signs, requirements for the delivery, and Doppler ultrasound parameters. Using absolute and relative quantification approaches, increased extracellular C19MC microRNA levels (miR-516-5p, P=0.037, P=0.009; miR-517, P=0.033, P=0.043; miR-520a, P=0.001, P=0.009; miR-525, P=0.026, P=0.01; miR-526a, P=0.03, P=0.035) were detected in patients with preeclampsia. The association analysis pointed to no relationship between C19MC microRNA plasmatic concentrations and expression profile and identified risk factors for a poorer perinatal outcome. However, the dependence between the levels of plasmatic C19MC microRNAs and the pulsatility index in the middle cerebral artery and the values of cerebroplacental ratio was demonstrated. The study brought the interesting finding that the upregulation of miR-516-5p, miR-517, miR-520a, miR-525, and miR-526a is a characteristic phenomenon of established preeclampsia. © 2013 Ilona Hromadnikova et al.","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Doucha","given":"Jindrich","non-dropping-particle":"","parse-names":false,"suffix":""},{"dropping-particle":"","family":"Krofta","given":"Ladislav","non-dropping-particle":"","parse-names":false,"suffix":""}],"container-title":"Mediators of Inflammation","id":"ITEM-1","issued":{"date-parts":[["2013"]]},"page":"186041","title":"Circulating C19MC MicroRNAs in preeclampsia, gestational hypertension, and fetal growth restriction","type":"article-journal","volume":"2013"},"uris":["http://www.mendeley.com/documents/?uuid=3aeacfb4-b7d6-3ff6-944b-b2e64645912d"]}],"mendeley":{"formattedCitation":"(Hromadnikova et al., 2013)","plainTextFormattedCitation":"(Hromadnikova et al., 2013)","previouslyFormattedCitation":"(Hromadnikova et al., 2013)"},"properties":{"noteIndex":0},"schema":"https://github.com/citation-style-language/schema/raw/master/csl-citation.json"}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(Hromadnikova et al., 2013)</w:t>
            </w:r>
            <w:r>
              <w:rPr>
                <w:rFonts w:eastAsia="Times New Roman"/>
                <w:color w:val="000000"/>
                <w:sz w:val="18"/>
                <w:szCs w:val="18"/>
              </w:rPr>
              <w:fldChar w:fldCharType="end"/>
            </w:r>
          </w:p>
        </w:tc>
      </w:tr>
      <w:tr w:rsidR="00CD17F0" w:rsidRPr="00291E4E" w:rsidTr="00DB48CC">
        <w:trPr>
          <w:trHeight w:val="132"/>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w:t>
            </w:r>
            <w:r w:rsidRPr="00291E4E">
              <w:rPr>
                <w:rFonts w:ascii="Cambria Math" w:eastAsia="Times New Roman" w:hAnsi="Cambria Math" w:cs="Cambria Math"/>
                <w:color w:val="000000"/>
                <w:sz w:val="18"/>
                <w:szCs w:val="18"/>
              </w:rPr>
              <w:t>‐</w:t>
            </w:r>
            <w:r w:rsidRPr="00291E4E">
              <w:rPr>
                <w:rFonts w:eastAsia="Times New Roman"/>
                <w:color w:val="000000"/>
                <w:sz w:val="18"/>
                <w:szCs w:val="18"/>
              </w:rPr>
              <w:t>eclampsia was diagnosed as systolic</w:t>
            </w:r>
            <w:r>
              <w:rPr>
                <w:rFonts w:eastAsia="Times New Roman"/>
                <w:color w:val="000000"/>
                <w:sz w:val="18"/>
                <w:szCs w:val="18"/>
              </w:rPr>
              <w:t xml:space="preserve"> </w:t>
            </w:r>
            <w:r w:rsidRPr="00291E4E">
              <w:rPr>
                <w:rFonts w:eastAsia="Times New Roman"/>
                <w:color w:val="000000"/>
                <w:sz w:val="18"/>
                <w:szCs w:val="18"/>
              </w:rPr>
              <w:t>blood pressure &gt;140mmHg and/or diastolic blood pressure &gt;90mm Hg arising after 20 weeks</w:t>
            </w:r>
            <w:r>
              <w:rPr>
                <w:rFonts w:eastAsia="Times New Roman"/>
                <w:color w:val="000000"/>
                <w:sz w:val="18"/>
                <w:szCs w:val="18"/>
              </w:rPr>
              <w:t xml:space="preserve"> of</w:t>
            </w:r>
            <w:r w:rsidRPr="00291E4E">
              <w:rPr>
                <w:rFonts w:eastAsia="Times New Roman"/>
                <w:color w:val="000000"/>
                <w:sz w:val="18"/>
                <w:szCs w:val="18"/>
              </w:rPr>
              <w:t xml:space="preserve"> gestation and proteinuria of </w:t>
            </w:r>
            <w:r>
              <w:rPr>
                <w:rFonts w:eastAsia="Times New Roman"/>
                <w:color w:val="000000"/>
                <w:sz w:val="18"/>
                <w:szCs w:val="18"/>
              </w:rPr>
              <w:t>≥</w:t>
            </w:r>
            <w:r w:rsidRPr="00291E4E">
              <w:rPr>
                <w:rFonts w:eastAsia="Times New Roman"/>
                <w:color w:val="000000"/>
                <w:sz w:val="18"/>
                <w:szCs w:val="18"/>
              </w:rPr>
              <w:t>1</w:t>
            </w:r>
            <w:r>
              <w:rPr>
                <w:rFonts w:eastAsia="Times New Roman"/>
                <w:color w:val="000000"/>
                <w:sz w:val="18"/>
                <w:szCs w:val="18"/>
              </w:rPr>
              <w:t>+</w:t>
            </w:r>
            <w:r w:rsidRPr="00291E4E">
              <w:rPr>
                <w:rFonts w:eastAsia="Times New Roman"/>
                <w:color w:val="000000"/>
                <w:sz w:val="18"/>
                <w:szCs w:val="18"/>
              </w:rPr>
              <w:t xml:space="preserve"> (300 mg/24 h) in a previously normotensive woman</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Chesley LC. 1980. Hypertension in pregnancy: Definitions, familial factor, and remote prognosis. Kidney Int 18:234–240.</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{"citationItems":[{"id":"ITEM-1","itemData":{"DOI":"10.1002/jcb.24563","abstract":"Preeclampsia is a specific vascular complication in pregnancy, which has a pathophysiology of altered endothelial homeostasis. There is extensive evidence that endothelial progenitor cells (EPCs) dysfunction underlies the endothelial cells loss that occurs during preeclampsia. MicroRNA-126 (miR-126), an angiogenesis-related miRNA, has been shown to have potential angiogenic effects both in cultured endothelial cells in vitro and ischemia-induced angiogenesis in vivo. However, whether miR-126 has therapeutic potential in placental vasculogenesis of preeclampsia remains unclear. In this report, we analyzed the EPCs number and expression of miR-126 in patients with preeclampsia, then investigated the effects of miR-126 on EPCs function and rat placenta by employing up-regulation and down-regulation strategies. We confirmed that miR-126 enhanced EPCs proliferation, differentiation and migration. However, a strong reduction in EPCs function was observed in vitro after miR-126 inhibitor transfection. MiR-126 exerts pro-angiogenic functions by suppressing the synthetize of antiangiogenic factors PIK3R2. Similar to miR-126 overexpression, PIK3R2 downregulation promoted EPCs function. In pregnant rats, we also found that miR-126 increased vascular sprouting, placenta and fetus weights. These findings suggest that miR-126 is essential for angiogenic properties of EPCs in vitro and placental vasculogenesis in vivo, providing basis for an alternative therapeutic approach in patients with preeclampsia. © 2013 Wiley Periodicals, Inc.","author":[{"dropping-particle":"","family":"Yan","given":"Ting","non-dropping-particle":"","parse-names":false,"suffix":""},{"dropping-particle":"","family":"Liu","given":"Yan","non-dropping-particle":"","parse-names":false,"suffix":""},{"dropping-particle":"","family":"Cui","given":"Kai","non-dropping-particle":"","parse-names":false,"suffix":""},{"dropping-particle":"","family":"Hu","given":"Bin","non-dropping-particle":"","parse-names":false,"suffix":""},{"dropping-particle":"","family":"Wang","given":"Fang","non-dropping-particle":"","parse-names":false,"suffix":""},{"dropping-particle":"","family":"Zou","given":"Li","non-dropping-particle":"","parse-names":false,"suffix":""}],"container-title":"Journal of Cellular Biochemistry","id":"ITEM-1","issue":"9","issued":{"date-parts":[["2013"]]},"page":"2148-2159","title":"MicroRNA-126 regulates EPCs function: Implications for a role of miR-126 in preeclampsia","type":"article-journal","volume":"114"},"uris":["http://www.mendeley.com/documents/?uuid=63e5f368-4a82-39ad-9698-caf540d2aab0"]}],"mendeley":{"formattedCitation":"(Yan et al., 2013)","plainTextFormattedCitation":"(Yan et al., 2013)","previouslyFormattedCitation":"(Yan et al., 2013)"},"properties":{"noteIndex":0},"schema":"https://github.com/citation-style-language/schema/raw/master/csl-citation.json"}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(Yan et al., 2013)</w:t>
            </w:r>
            <w:r>
              <w:rPr>
                <w:rFonts w:eastAsia="Times New Roman"/>
                <w:color w:val="000000"/>
                <w:sz w:val="18"/>
                <w:szCs w:val="18"/>
              </w:rPr>
              <w:fldChar w:fldCharType="end"/>
            </w:r>
          </w:p>
        </w:tc>
      </w:tr>
      <w:tr w:rsidR="00CD17F0" w:rsidRPr="00291E4E" w:rsidTr="00DB48CC">
        <w:trPr>
          <w:trHeight w:val="653"/>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increased blood pressure (≥140 mmHg systolic or ≥90 mmHg diastolic on 2 or more measurements at least 6 h apart) with significant proteinuria (≥0.3 g/24 h) in a woman after 20 weeks of gestation.</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Anonymous. Report of the National High Blood Pressure Education</w:t>
            </w:r>
            <w:r>
              <w:rPr>
                <w:rFonts w:eastAsia="Times New Roman"/>
                <w:color w:val="000000"/>
                <w:sz w:val="18"/>
                <w:szCs w:val="18"/>
              </w:rPr>
              <w:t xml:space="preserve"> </w:t>
            </w:r>
            <w:r w:rsidRPr="00291E4E">
              <w:rPr>
                <w:rFonts w:eastAsia="Times New Roman"/>
                <w:color w:val="000000"/>
                <w:sz w:val="18"/>
                <w:szCs w:val="18"/>
              </w:rPr>
              <w:t>Program Working Group on high blood pressure in pregnancy. Am J</w:t>
            </w:r>
            <w:r>
              <w:rPr>
                <w:rFonts w:eastAsia="Times New Roman"/>
                <w:color w:val="000000"/>
                <w:sz w:val="18"/>
                <w:szCs w:val="18"/>
              </w:rPr>
              <w:t xml:space="preserve"> </w:t>
            </w:r>
            <w:r w:rsidRPr="00291E4E">
              <w:rPr>
                <w:rFonts w:eastAsia="Times New Roman"/>
                <w:color w:val="000000"/>
                <w:sz w:val="18"/>
                <w:szCs w:val="18"/>
              </w:rPr>
              <w:t>Obstet</w:t>
            </w:r>
            <w:r>
              <w:rPr>
                <w:rFonts w:eastAsia="Times New Roman"/>
                <w:color w:val="000000"/>
                <w:sz w:val="18"/>
                <w:szCs w:val="18"/>
              </w:rPr>
              <w:t xml:space="preserve"> </w:t>
            </w:r>
            <w:r w:rsidRPr="00291E4E">
              <w:rPr>
                <w:rFonts w:eastAsia="Times New Roman"/>
                <w:color w:val="000000"/>
                <w:sz w:val="18"/>
                <w:szCs w:val="18"/>
              </w:rPr>
              <w:t>Gynecol 2000;183:S1–S22.</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{"citationItems":[{"id":"ITEM-1","itemData":{"DOI":"10.1016/j.preghy.2013.10.002","abstract":"MicroRNAs (miRs) are small noncoding RNAs, highly stable in plasma, that regulate gene expression by base-pairing to the 3′-untranslated region of target mRNAs. We compared the expression of 3 circulating miRs (miR-125b, miR-146a, and miR-196b), which is related to the control of cell proliferation, differentiation, and apoptosis in preeclamptic (n = 19) and healthy pregnant women (n = 14). We found that women with preeclampsia (PE) presented lower expression of miR-196b (-2.9-fold change). The other miRs were at similar levels. This study is the first to demonstrate this difference, and highlights new opportunities for investigation into the role of miRs in PE . © 2013 International Society for the Study of Hypertension in Pregnancy Published by Elsevier B.V. All rights reserved.","author":[{"dropping-particle":"","family":"Campos","given":"C. B.","non-dropping-particle":"","parse-names":false,"suffix":""},{"dropping-particle":"","family":"Marques","given":"T. M.","non-dropping-particle":"","parse-names":false,"suffix":""},{"dropping-particle":"","family":"Pereira","given":"R. W.","non-dropping-particle":"","parse-names":false,"suffix":""},{"dropping-particle":"","family":"Sandrim","given":"V. C.","non-dropping-particle":"","parse-names":false,"suffix":""}],"container-title":"Pregnancy Hypertension","id":"ITEM-1","issue":"1","issued":{"date-parts":[["2014"]]},"page":"11-13","title":"Reduced circulating miR-196b levels is associated with preeclampsia","type":"article-journal","volume":"4"},"uris":["http://www.mendeley.com/documents/?uuid=5e062ff7-1633-3327-9dcb-9fe139d60bac"]}],"mendeley":{"formattedCitation":"(Campos et al., 2014)","plainTextFormattedCitation":"(Campos et al., 2014)","previouslyFormattedCitation":"(Campos et al., 2014)"},"properties":{"noteIndex":0},"schema":"https://github.com/citation-style-language/schema/raw/master/csl-citation.json"}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(Campos et al., 2014)</w:t>
            </w:r>
            <w:r>
              <w:rPr>
                <w:rFonts w:eastAsia="Times New Roman"/>
                <w:color w:val="000000"/>
                <w:sz w:val="18"/>
                <w:szCs w:val="18"/>
              </w:rPr>
              <w:fldChar w:fldCharType="end"/>
            </w:r>
          </w:p>
        </w:tc>
      </w:tr>
      <w:tr w:rsidR="00CD17F0" w:rsidRPr="00291E4E" w:rsidTr="00DB48CC">
        <w:trPr>
          <w:trHeight w:val="563"/>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Systolic pressure &gt; 140 mmHg, diastolic pressure&gt; 90 mmHg, and proteinuria &gt; 0.3 g per 24 h</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{"citationItems":[{"id":"ITEM-1","itemData":{"DOI":"10.4161/epi.26196","abstract":"Preeclampsia (PE) is the major pregnancy-induced hypertensive disorder responsible for maternal and fetal morbidity and mortality that can be associated with intrauterine growth restriction (IUGR). PE and IUGR are thought to be due to a placental defect, occurring early during pregnancy. Several placental microRNAs (miRNAs) have been shown to be deregulated in the context of placental diseases and could thus play a role in the pathophysiology of PE. Here, we show that pri-miR-34a is overexpressed in preeclamptic placentas and that its placental expression is much higher during the first trimester of pregnancy than at term, suggesting a possible developmental role. We explored pri-miR-34a regulation and showed that P53, a known activator of miR-34a, is reduced in all pathological placentas and that hypoxia can induce pri-miR-34a expression in JEG-3 cells. We also studied the methylation status of the miR-34a promoter and revealed hypomethylation in all preeclamptic placentas (associated or not with IUGR), whereas hypoxia induced a hypermethylation in JEG-3 cells at 72 h. Despite the overexpression of pri-miR-34a in preeclampsia, there was a striking decrease of the mature miR-34a in this condition, suggesting preeclampsia-driven alteration of pri-miR-34a maturation. SERPINA3, a protease inhibitor involved in placental diseases, is elevated in IUGR and PE. We show here that miR-34a overexpression in JEG-3 downregulates SERPINA3. The low level of mature miR-34a could thus be an important mechanism contributing to SERPINA3 upregulation in placental diseases. Overall, our results support a role for miR-34a in the pathophysiology of preeclampsia, through deregulation of the pri-miRNA expression and its altered maturation. © 2014 Landes Bioscience.","author":[{"dropping-particle":"","family":"Doridot","given":"Ludivine","non-dropping-particle":"","parse-names":false,"suffix":""},{"dropping-particle":"","family":"Houry","given":"Dorothée","non-dropping-particle":"","parse-names":false,"suffix":""},{"dropping-particle":"","family":"Gaillard","given":"Harald","non-dropping-particle":"","parse-names":false,"suffix":""},{"dropping-particle":"","family":"Chelbi","given":"Sonia T.","non-dropping-particle":"","parse-names":false,"suffix":""},{"dropping-particle":"","family":"Barbaux","given":"Sandrine","non-dropping-particle":"","parse-names":false,"suffix":""},{"dropping-particle":"","family":"Vaiman","given":"Daniel","non-dropping-particle":"","parse-names":false,"suffix":""}],"container-title":"Epigenetics","id":"ITEM-1","issue":"1","issued":{"date-parts":[["2014"]]},"page":"142-151","title":"miR-34A expression, epigenetic regulation, and function in human placental diseases","type":"article-journal","volume":"9"},"uris":["http://www.mendeley.com/documents/?uuid=11976fc5-e0fe-3a0e-bf57-fc7359a7791e"]}],"mendeley":{"formattedCitation":"(Doridot et al., 2014)","plainTextFormattedCitation":"(Doridot et al., 2014)","previouslyFormattedCitation":"(Doridot et al., 2014)"},"properties":{"noteIndex":0},"schema":"https://github.com/citation-style-language/schema/raw/master/csl-citation.json"}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(Doridot et al., 2014)</w:t>
            </w:r>
            <w:r>
              <w:rPr>
                <w:rFonts w:eastAsia="Times New Roman"/>
                <w:color w:val="000000"/>
                <w:sz w:val="18"/>
                <w:szCs w:val="18"/>
              </w:rPr>
              <w:fldChar w:fldCharType="end"/>
            </w:r>
          </w:p>
        </w:tc>
      </w:tr>
      <w:tr w:rsidR="00CD17F0" w:rsidRPr="00961E99" w:rsidTr="00DB48CC">
        <w:trPr>
          <w:trHeight w:val="840"/>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gestational hypertension (systolic pressure ≥140mmHg and/or diastolic blood pressure ≥90mmHg on at least two occasions after gestational week 20, with proteinuria ( ≥0.3 g/24 h)</w:t>
            </w:r>
          </w:p>
        </w:tc>
        <w:tc>
          <w:tcPr>
            <w:tcW w:w="3483" w:type="dxa"/>
            <w:shd w:val="clear" w:color="auto" w:fill="auto"/>
            <w:noWrap/>
            <w:vAlign w:val="bottom"/>
            <w:hideMark/>
          </w:tcPr>
          <w:p w:rsidR="00CD17F0" w:rsidRPr="00961E99" w:rsidRDefault="00CD17F0" w:rsidP="006D38DA">
            <w:pPr>
              <w:spacing w:before="0" w:after="0"/>
              <w:jc w:val="center"/>
              <w:rPr>
                <w:rFonts w:eastAsia="Times New Roman"/>
                <w:b/>
                <w:bCs/>
                <w:color w:val="000000"/>
                <w:sz w:val="18"/>
                <w:szCs w:val="18"/>
              </w:rPr>
            </w:pPr>
            <w:r w:rsidRPr="00961E99">
              <w:rPr>
                <w:rFonts w:eastAsia="Times New Roman"/>
                <w:b/>
                <w:bCs/>
                <w:color w:val="000000"/>
                <w:sz w:val="18"/>
                <w:szCs w:val="18"/>
              </w:rPr>
              <w:t>ACOG 2002</w:t>
            </w:r>
          </w:p>
        </w:tc>
        <w:tc>
          <w:tcPr>
            <w:tcW w:w="873" w:type="dxa"/>
          </w:tcPr>
          <w:p w:rsidR="00CD17F0"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10.1177/0300060514540627","author":[{"dropping-particle":"","family":"Hong","given":"Fanzhen","non-dropping-particle":"","parse-names":false,"suffix":""},{"dropping-particle":"","family":"Li","given":"Yuyang","non-dropping-particle":"","parse-names":false,"suffix":""},{"dropping-particle":"","family":"Xu","given":"Yongping","non-dropping-particle":"","parse-names":false,"suffix":""}],"container-title":"Journal of International Medical Research","id":"ITEM-1","issue":"6","issued":{"date-parts":[["2014"]]},"page":"1243-1251","title":"Decreased placental miR-126 expression and vascular endothelial growth factor levels in patients with pre-eclampsia","type":"article-journal","volume":"42"},"uris":["http://www.mendeley.com/documents/?uuid=dcae6f8a-f7d3-3db8-8800-bde66cda6778"]}],"mendeley":{"formattedCitation":"(Hong et al., 2014)","plainTextFormattedCitation":"(Hong et al., 2014)","previouslyFormattedCitation":"(Hong et al., 2014)"},"properties":{"noteIndex":0},"schema":"https://github.com/citation-style-language/schema/raw/master/csl-citation.json"}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(Hong et al., 2014)</w:t>
            </w:r>
            <w:r>
              <w:rPr>
                <w:rFonts w:eastAsia="Times New Roman"/>
                <w:b/>
                <w:bCs/>
                <w:color w:val="000000"/>
                <w:sz w:val="18"/>
                <w:szCs w:val="18"/>
              </w:rPr>
              <w:fldChar w:fldCharType="end"/>
            </w:r>
          </w:p>
          <w:p w:rsidR="00985D8F" w:rsidRDefault="00E33D6E" w:rsidP="006D38DA">
            <w:pPr>
              <w:spacing w:before="0" w:after="0"/>
              <w:jc w:val="center"/>
              <w:rPr>
                <w:rFonts w:eastAsia="Times New Roman"/>
                <w:bCs/>
                <w:color w:val="000000"/>
                <w:sz w:val="18"/>
                <w:szCs w:val="18"/>
              </w:rPr>
            </w:pPr>
            <w:r w:rsidRPr="00E33D6E">
              <w:rPr>
                <w:rFonts w:eastAsia="Times New Roman"/>
                <w:bCs/>
                <w:color w:val="000000"/>
                <w:sz w:val="18"/>
                <w:szCs w:val="18"/>
              </w:rPr>
              <w:t>Yang 2019</w:t>
            </w:r>
          </w:p>
          <w:p w:rsidR="00150384" w:rsidRDefault="00150384" w:rsidP="006D38DA">
            <w:pPr>
              <w:spacing w:before="0" w:after="0"/>
              <w:jc w:val="center"/>
              <w:rPr>
                <w:rFonts w:eastAsia="Times New Roman"/>
                <w:bCs/>
                <w:color w:val="000000"/>
                <w:sz w:val="18"/>
                <w:szCs w:val="18"/>
              </w:rPr>
            </w:pPr>
            <w:r>
              <w:rPr>
                <w:rFonts w:eastAsia="Times New Roman"/>
                <w:bCs/>
                <w:color w:val="000000"/>
                <w:sz w:val="18"/>
                <w:szCs w:val="18"/>
              </w:rPr>
              <w:t>Licini 2020</w:t>
            </w:r>
          </w:p>
          <w:p w:rsidR="00921DD2" w:rsidRDefault="00921DD2" w:rsidP="006D38DA">
            <w:pPr>
              <w:spacing w:before="0" w:after="0"/>
              <w:jc w:val="center"/>
              <w:rPr>
                <w:rFonts w:eastAsia="Times New Roman"/>
                <w:bCs/>
                <w:color w:val="000000"/>
                <w:sz w:val="18"/>
                <w:szCs w:val="18"/>
              </w:rPr>
            </w:pPr>
            <w:r>
              <w:rPr>
                <w:rFonts w:eastAsia="Times New Roman"/>
                <w:bCs/>
                <w:color w:val="000000"/>
                <w:sz w:val="18"/>
                <w:szCs w:val="18"/>
              </w:rPr>
              <w:t>Mavreli 2020</w:t>
            </w:r>
          </w:p>
          <w:p w:rsidR="00161BF3" w:rsidRDefault="00161BF3" w:rsidP="006D38DA">
            <w:pPr>
              <w:spacing w:before="0" w:after="0"/>
              <w:jc w:val="center"/>
              <w:rPr>
                <w:rFonts w:eastAsia="Times New Roman"/>
                <w:bCs/>
                <w:color w:val="000000"/>
                <w:sz w:val="18"/>
                <w:szCs w:val="18"/>
              </w:rPr>
            </w:pPr>
            <w:r>
              <w:rPr>
                <w:rFonts w:eastAsia="Times New Roman"/>
                <w:bCs/>
                <w:color w:val="000000"/>
                <w:sz w:val="18"/>
                <w:szCs w:val="18"/>
              </w:rPr>
              <w:t>Whigham 2020</w:t>
            </w:r>
          </w:p>
          <w:p w:rsidR="00B51B5C" w:rsidRPr="00985D8F" w:rsidRDefault="00B51B5C" w:rsidP="006D38DA">
            <w:pPr>
              <w:spacing w:before="0" w:after="0"/>
              <w:jc w:val="center"/>
              <w:rPr>
                <w:rFonts w:eastAsia="Times New Roman"/>
                <w:bCs/>
                <w:color w:val="000000"/>
                <w:sz w:val="18"/>
                <w:szCs w:val="18"/>
              </w:rPr>
            </w:pPr>
            <w:r>
              <w:rPr>
                <w:rFonts w:eastAsia="Times New Roman"/>
                <w:bCs/>
                <w:color w:val="000000"/>
                <w:sz w:val="18"/>
                <w:szCs w:val="18"/>
              </w:rPr>
              <w:lastRenderedPageBreak/>
              <w:t>Jairajpuri 2021</w:t>
            </w:r>
          </w:p>
        </w:tc>
      </w:tr>
      <w:tr w:rsidR="00CD17F0" w:rsidRPr="00291E4E" w:rsidTr="00DB48CC">
        <w:trPr>
          <w:trHeight w:val="30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lastRenderedPageBreak/>
              <w:t>not reported</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961E99">
              <w:rPr>
                <w:rFonts w:eastAsia="Times New Roman"/>
                <w:b/>
                <w:bCs/>
                <w:color w:val="000000"/>
                <w:sz w:val="18"/>
                <w:szCs w:val="18"/>
              </w:rPr>
              <w:t>ISSHP</w:t>
            </w:r>
            <w:r w:rsidRPr="00291E4E">
              <w:rPr>
                <w:rFonts w:eastAsia="Times New Roman"/>
                <w:color w:val="000000"/>
                <w:sz w:val="18"/>
                <w:szCs w:val="18"/>
              </w:rPr>
              <w:t xml:space="preserve"> criteria no reference</w:t>
            </w:r>
          </w:p>
        </w:tc>
        <w:tc>
          <w:tcPr>
            <w:tcW w:w="873" w:type="dxa"/>
          </w:tcPr>
          <w:p w:rsidR="00CD17F0" w:rsidRPr="00961E99"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{"citationItems":[{"id":"ITEM-1","itemData":{"DOI":"10.1097/HJH.0000000000000656","abstract":"Objectives: Preeclampsia is a multisystem disease that significantly contributes to maternal and foetal morbidity and mortality. In this study, we used a nonbiased microarray approach to identify novel circulating miRNAs in maternal plasma that may be associated with preeclampsia. Methods: Plasma samples were obtained at 16 and 28 weeks of gestation from 18 women who later developed preeclampsia (cases) and 18 matched women with normotensive pregnancies (controls). We studied miRNA expression profiles in plasma and subsequently confirmed miRNA and target gene expression in placenta samples. Placental samples were obtained from an independent cohort of 19 women with preeclampsia matched with 19 women with normotensive pregnancies. Results: From the microarray, we identified one miRNA that was significantly differentially expressed between cases and controls at 16 weeks of gestation and six miRNAs that were significantly differentially expressed at 28 weeks. Following qPCR validation, only one miR-206 was found to be significantly increased in 28-week samples in women who later developed preeclampsia (1.4-fold change±0.2). The trend for increase in miR-206 expression was mirrored within placental tissue from women with preeclampsia. In parallel, IGF-1, a target gene of miR-206, was also found to be downregulated (0.41±0.04) in placental tissue from women with preeclampsia. miR-206 expression was also detectable in myometrium tissue and trophoblast cell lines. Conclusion: Our pilot study has identified miRNA-206 as a novel factor upregulated in preeclampsia within the maternal circulation and in placental tissue.","author":[{"dropping-particle":"","family":"Akehurst","given":"Christine","non-dropping-particle":"","parse-names":false,"suffix":""},{"dropping-particle":"","family":"Small","given":"Heather Y.","non-dropping-particle":"","parse-names":false,"suffix":""},{"dropping-particle":"","family":"Sharafetdinova","given":"Liliya","non-dropping-particle":"","parse-names":false,"suffix":""},{"dropping-particle":"","family":"Forrest","given":"Rachel","non-dropping-particle":"","parse-names":false,"suffix":""},{"dropping-particle":"","family":"Beattie","given":"Wendy","non-dropping-particle":"","parse-names":false,"suffix":""},{"dropping-particle":"","family":"Brown","given":"Catriona E.","non-dropping-particle":"","parse-names":false,"suffix":""},{"dropping-particle":"","family":"Robinson","given":"Scott W.","non-dropping-particle":"","parse-names":false,"suffix":""},{"dropping-particle":"","family":"Mcclure","given":"John D.","non-dropping-particle":"","parse-names":false,"suffix":""},{"dropping-particle":"","family":"Work","given":"Lorraine M.","non-dropping-particle":"","parse-names":false,"suffix":""},{"dropping-particle":"","family":"Carty","given":"David M.","non-dropping-particle":"","parse-names":false,"suffix":""},{"dropping-particle":"","family":"Mcbride","given":"Martin W.","non-dropping-particle":"","parse-names":false,"suffix":""},{"dropping-particle":"","family":"Freeman","given":"Dilys J.","non-dropping-particle":"","parse-names":false,"suffix":""},{"dropping-particle":"","family":"Delles","given":"Christian","non-dropping-particle":"","parse-names":false,"suffix":""}],"container-title":"Journal of Hypertension","id":"ITEM-1","issue":"10","issued":{"date-parts":[["2015"]]},"page":"2068-2074","title":"Differential expression of microRNA-206 and its target genes in preeclampsia","type":"article-journal","volume":"33"},"uris":["http://www.mendeley.com/documents/?uuid=6d34ef99-cfd9-35d6-b2bc-1171cda8ba39"]}],"mendeley":{"formattedCitation":"(Akehurst et al., 2015)","plainTextFormattedCitation":"(Akehurst et al., 2015)","previouslyFormattedCitation":"(Akehurst et al., 2015)"},"properties":{"noteIndex":0},"schema":"https://github.com/citation-style-language/schema/raw/master/csl-citation.json"}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(Akehurst et al., 2015)</w:t>
            </w:r>
            <w:r>
              <w:rPr>
                <w:rFonts w:eastAsia="Times New Roman"/>
                <w:b/>
                <w:bCs/>
                <w:color w:val="000000"/>
                <w:sz w:val="18"/>
                <w:szCs w:val="18"/>
              </w:rPr>
              <w:fldChar w:fldCharType="end"/>
            </w:r>
          </w:p>
        </w:tc>
      </w:tr>
      <w:tr w:rsidR="00CD17F0" w:rsidRPr="00961E99" w:rsidTr="00DB48CC">
        <w:trPr>
          <w:trHeight w:val="438"/>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961E99" w:rsidRDefault="00CD17F0" w:rsidP="006D38DA">
            <w:pPr>
              <w:spacing w:before="0" w:after="0"/>
              <w:jc w:val="center"/>
              <w:rPr>
                <w:rFonts w:eastAsia="Times New Roman"/>
                <w:b/>
                <w:bCs/>
                <w:color w:val="000000"/>
                <w:sz w:val="18"/>
                <w:szCs w:val="18"/>
              </w:rPr>
            </w:pPr>
            <w:r w:rsidRPr="00961E99">
              <w:rPr>
                <w:rFonts w:eastAsia="Times New Roman"/>
                <w:b/>
                <w:bCs/>
                <w:color w:val="000000"/>
                <w:sz w:val="18"/>
                <w:szCs w:val="18"/>
              </w:rPr>
              <w:t>ACOG no year</w:t>
            </w:r>
          </w:p>
        </w:tc>
        <w:tc>
          <w:tcPr>
            <w:tcW w:w="873" w:type="dxa"/>
          </w:tcPr>
          <w:p w:rsidR="00CD17F0"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{"citationItems":[{"id":"ITEM-1","itemData":{"DOI":"10.1371/journal.pone.0122707","abstract":"Preeclampsia is a pregnancy specific hypertensive disease that confers significant maternal and fetal risks. While the exact pathophysiology of preeclampsia is unknown, it is widely accepted that placental dysfunction is mechanistically involved. Recent studies reported aberrant expression of placenta-specific microRNAs (miRNAs) in preeclampsia including miR-517a/b and miR-517c. Using placental biopsies from a preeclampsia case-control study, we found increased expression of miR-517a/b in term and preterm preeclampsia vs controls, while, miR-517c was increased only in preterm preeclampsia vs controls. To determine if miR-517a/b and miR-517c are regulated by hypoxia, we treated first trimester primary extravillous trophoblast cells (EVTs) with a hypoxia mimetic and found both were induced. To test for a mechanistic role in placental function, we overexpressed miR-517a/b or miR-517c in EVTs which resulted in decreased trophoblast invasion. Additionally, we found that miR-517a/b and miR-517c overexpression increased expression of the antiangiogenic protein, sFLT1. The regulation of sFLT1 is mostly unknown, however, TNFSF15, a cytokine involved in FLT1 splicing, was also increased by miR-517a/b and miR-517c in EVTs. In summary, we demonstrate that miR-517a/b and miR-517c contribute to the development of preeclampsia and suggest that these miRNAs play a critical role in regulating trophoblast and placental function.","author":[{"dropping-particle":"","family":"Anton","given":"Lauren","non-dropping-particle":"","parse-names":false,"suffix":""},{"dropping-particle":"","family":"Olarerin-George","given":"Anthony O.","non-dropping-particle":"","parse-names":false,"suffix":""},{"dropping-particle":"","family":"Hogenesch","given":"John B.","non-dropping-particle":"","parse-names":false,"suffix":""},{"dropping-particle":"","family":"Elovitz","given":"Michal A.","non-dropping-particle":"","parse-names":false,"suffix":""}],"container-title":"PLoS ONE","id":"ITEM-1","issue":"3","issued":{"date-parts":[["2015"]]},"page":"e0122707","title":"Placental expression of miR-517a/b and miR-517c contributes to trophoblast dysfunction and preeclampsia","type":"article-journal","volume":"10"},"uris":["http://www.mendeley.com/documents/?uuid=e9222dec-c02e-3e42-a2d6-bb6b69ad442d"]}],"mendeley":{"formattedCitation":"(Anton et al., 2015)","plainTextFormattedCitation":"(Anton et al., 2015)","previouslyFormattedCitation":"(Anton et al., 2015)"},"properties":{"noteIndex":0},"schema":"https://github.com/citation-style-language/schema/raw/master/csl-citation.json"}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(Anton et al., 2015)</w:t>
            </w:r>
            <w:r>
              <w:rPr>
                <w:rFonts w:eastAsia="Times New Roman"/>
                <w:b/>
                <w:bCs/>
                <w:color w:val="000000"/>
                <w:sz w:val="18"/>
                <w:szCs w:val="18"/>
              </w:rPr>
              <w:fldChar w:fldCharType="end"/>
            </w:r>
          </w:p>
          <w:p w:rsidR="005A42AA" w:rsidRDefault="00E33D6E" w:rsidP="006D38DA">
            <w:pPr>
              <w:spacing w:before="0" w:after="0"/>
              <w:jc w:val="center"/>
              <w:rPr>
                <w:rFonts w:eastAsia="Times New Roman"/>
                <w:bCs/>
                <w:color w:val="000000"/>
                <w:sz w:val="18"/>
                <w:szCs w:val="18"/>
              </w:rPr>
            </w:pPr>
            <w:r w:rsidRPr="00E33D6E">
              <w:rPr>
                <w:rFonts w:eastAsia="Times New Roman"/>
                <w:bCs/>
                <w:color w:val="000000"/>
                <w:sz w:val="18"/>
                <w:szCs w:val="18"/>
              </w:rPr>
              <w:t>Xueya 2020</w:t>
            </w:r>
          </w:p>
          <w:p w:rsidR="000F00DE" w:rsidRPr="005A42AA" w:rsidRDefault="000F00DE" w:rsidP="006D38DA">
            <w:pPr>
              <w:spacing w:before="0" w:after="0"/>
              <w:jc w:val="center"/>
              <w:rPr>
                <w:rFonts w:eastAsia="Times New Roman"/>
                <w:bCs/>
                <w:color w:val="000000"/>
                <w:sz w:val="18"/>
                <w:szCs w:val="18"/>
              </w:rPr>
            </w:pPr>
            <w:r>
              <w:rPr>
                <w:rFonts w:eastAsia="Times New Roman"/>
                <w:bCs/>
                <w:color w:val="000000"/>
                <w:sz w:val="18"/>
                <w:szCs w:val="18"/>
              </w:rPr>
              <w:t>Chu 2021</w:t>
            </w:r>
          </w:p>
        </w:tc>
      </w:tr>
      <w:tr w:rsidR="006D683A" w:rsidRPr="00961E99" w:rsidTr="00DB48CC">
        <w:trPr>
          <w:trHeight w:val="1362"/>
        </w:trPr>
        <w:tc>
          <w:tcPr>
            <w:tcW w:w="5542" w:type="dxa"/>
            <w:shd w:val="clear" w:color="auto" w:fill="auto"/>
            <w:vAlign w:val="bottom"/>
            <w:hideMark/>
          </w:tcPr>
          <w:p w:rsidR="006D683A" w:rsidRPr="00291E4E" w:rsidRDefault="006D683A"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blood pressure &gt; 140/90 mmHg in two determinations 4 hours apart that was associated with proteinuria &gt; 300 mg/24 h after 20 weeks of gestation</w:t>
            </w:r>
          </w:p>
          <w:p w:rsidR="006D683A" w:rsidRPr="00291E4E" w:rsidRDefault="006D683A" w:rsidP="006D38DA">
            <w:pPr>
              <w:spacing w:after="0"/>
              <w:jc w:val="center"/>
              <w:rPr>
                <w:rFonts w:eastAsia="Times New Roman"/>
                <w:color w:val="000000"/>
                <w:sz w:val="18"/>
                <w:szCs w:val="18"/>
              </w:rPr>
            </w:pPr>
          </w:p>
        </w:tc>
        <w:tc>
          <w:tcPr>
            <w:tcW w:w="3483" w:type="dxa"/>
            <w:shd w:val="clear" w:color="auto" w:fill="auto"/>
            <w:noWrap/>
            <w:vAlign w:val="bottom"/>
            <w:hideMark/>
          </w:tcPr>
          <w:p w:rsidR="006D683A" w:rsidRPr="00961E99" w:rsidRDefault="006D683A" w:rsidP="006D38DA">
            <w:pPr>
              <w:spacing w:before="0" w:after="0"/>
              <w:jc w:val="center"/>
              <w:rPr>
                <w:rFonts w:eastAsia="Times New Roman"/>
                <w:b/>
                <w:bCs/>
                <w:color w:val="000000"/>
                <w:sz w:val="18"/>
                <w:szCs w:val="18"/>
              </w:rPr>
            </w:pPr>
            <w:r w:rsidRPr="00961E99">
              <w:rPr>
                <w:rFonts w:eastAsia="Times New Roman"/>
                <w:b/>
                <w:bCs/>
                <w:color w:val="000000"/>
                <w:sz w:val="18"/>
                <w:szCs w:val="18"/>
              </w:rPr>
              <w:t>ACOG 2002</w:t>
            </w:r>
          </w:p>
          <w:p w:rsidR="006D683A" w:rsidRPr="00961E99" w:rsidRDefault="006D683A" w:rsidP="006D38DA">
            <w:pPr>
              <w:spacing w:after="0"/>
              <w:jc w:val="center"/>
              <w:rPr>
                <w:rFonts w:eastAsia="Times New Roman"/>
                <w:b/>
                <w:bCs/>
                <w:color w:val="000000"/>
                <w:sz w:val="18"/>
                <w:szCs w:val="18"/>
              </w:rPr>
            </w:pPr>
          </w:p>
        </w:tc>
        <w:tc>
          <w:tcPr>
            <w:tcW w:w="873" w:type="dxa"/>
          </w:tcPr>
          <w:p w:rsidR="006D683A" w:rsidRPr="00961E99"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{"citationItems":[{"id":"ITEM-1","itemData":{"DOI":"10.1371/journal.pone.0138383","abstract":"Aims. To demonstrate that pregnancy-related complications are associated with alterations in cardiovascular and cerebrovascular microRNA expression. Gene expression of 32 microRNAs (miR-1-3p, miR-16-5p, miR-17-5p, miR-20a-5p, miR-20b-5p, miR-21-5p, miR-23a-3p, miR-24-3p, miR-26a-5p, miR-29a-3p, miR-33a-5p, miR-92a-3p, miR-100-5p, miR-103a-3p, miR-122-5p, miR-125b-5p, miR-126-3p, miR-130b-3p, miR-133a-3p, miR-143-3p, miR- 145-5p, miR-146a-5p, miR-155-5p, miR-181a-5p, miR-195-5p, miR-199a-5p, miR-208a-3p, miR-210-3p, miR-221-3p, miR-342-3p, miR-499a-5p, and miR-574-3p) was assessed in placental tissues, compared between groups (35 gestational hypertension, 80 preeclampsia, 35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placental tissues affected by pregnancy-related complications have been carried out.","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PLoS ONE","id":"ITEM-1","issue":"9","issued":{"date-parts":[["2015"]]},"page":"e0138383","title":"Cardiovascular and cerebrovascular disease associated microRNAS are dysregulated in placental tissues affected with gestational hypertension, preeclampsia and intrauterine growth restriction","type":"article-journal","volume":"10"},"uris":["http://www.mendeley.com/documents/?uuid=6c37d6ae-29c0-329f-a584-7063ee1728eb"]}],"mendeley":{"formattedCitation":"(Hromadnikova et al., 2015a)","plainTextFormattedCitation":"(Hromadnikova et al., 2015a)","previouslyFormattedCitation":"(Hromadnikova et al., 2015a)"},"properties":{"noteIndex":0},"schema":"https://github.com/citation-style-language/schema/raw/master/csl-citation.json"}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(Hromadnikova et al., 2015a)</w:t>
            </w:r>
            <w:r>
              <w:rPr>
                <w:rFonts w:eastAsia="Times New Roman"/>
                <w:b/>
                <w:bCs/>
                <w:color w:val="000000"/>
                <w:sz w:val="18"/>
                <w:szCs w:val="18"/>
              </w:rPr>
              <w:fldChar w:fldCharType="end"/>
            </w:r>
          </w:p>
          <w:p w:rsidR="006D683A" w:rsidRPr="00961E99" w:rsidRDefault="00E33D6E" w:rsidP="006D38DA">
            <w:pPr>
              <w:spacing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{"citationItems":[{"id":"ITEM-1","itemData":{"DOI":"10.1089/dna.2014.2687","abstract":"To demonstrate that pregnancy-related complications are associated with alterations in placental microRNA expression. Gene expression of 15 C19MC microRNAs (miR-512-5p, miR-515-5p, miR-516-5p, miR-517-5p, miR-518b, miR-518f-5p, miR-519a, miR-519d, miR-519e-5p, miR-520a-5p, miR-520h, miR-524-5p, miR-525, miR-526a, and miR-526b) was assessed in placental tissues, compared between groups (21 gestational hypertension [GH], 63 preeclampsia, 36 fetal growth restriction [FGR], and 42 normal pregnancies), and correlated with the severity of the disease with respect to clinical signs, delivery date, and Doppler ultrasound parameters. The expression profile of microRNAs was different between pregnancy-related complications and controls. The downregulation of 4 of 15 (miR-517-5p, miR-519d, miR-520a-5p, and miR-525), 6 of 15 (miR-517-5p, miR-518f-5p, miR-519a, miR-519d, miR-520a-5p, and miR-525), and 11 of 15 (miR-515-5p, miR-517-5p, miR-518b, miR-518f-5p, miR-519a, miR-519d, miR-520a-5p, miR-520h, miR-524-5p, miR-525, and miR-526a) microRNAs was associated with GH, FGR, and preeclampsia, respectively. Sudden onset of severe preeclampsia requiring immediate termination of gestation and mild forms of preeclampsia (persisting for several weeks) were associated with similar microRNA expression profile (downregulation of miR-517-5p, miR-520a-5p, miR-524-5p, and miR-525). In addition, miR-519a was found to be associated with severe preeclampsia. The longer the pregnancy-related disorder lasted, the more extensive was the downregulation of microRNAs (miR-515-5p, miR-518b, miR-518f-5p, miR-519d, and miR-520h). The downregulation of some C19MC microRNAs is a common phenomenon shared between GH, preeclampsia, and FGR. On the other hand, some of the C19MC microRNAs are only downregulated just in preeclampsia.","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Pirkova","given":"Petr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Krofta","given":"Ladislav","non-dropping-particle":"","parse-names":false,"suffix":""}],"container-title":"DNA and Cell Biology","id":"ITEM-1","issue":"6","issued":{"date-parts":[["2015"]]},"page":"437-457","title":"Expression profile of C19MC microRNAs in placental tissue in pregnancy-related complications","type":"article-journal","volume":"34"},"uris":["http://www.mendeley.com/documents/?uuid=a11d294b-df0c-3d56-85cf-aa02ea7be6a4"]}],"mendeley":{"formattedCitation":"(Hromadnikova et al., 2015b)","plainTextFormattedCitation":"(Hromadnikova et al., 2015b)","previouslyFormattedCitation":"(Hromadnikova et al., 2015b)"},"properties":{"noteIndex":0},"schema":"https://github.com/citation-style-language/schema/raw/master/csl-citation.json"}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(Hromadnikova et al., 2015b)</w:t>
            </w:r>
            <w:r>
              <w:rPr>
                <w:rFonts w:eastAsia="Times New Roman"/>
                <w:b/>
                <w:bCs/>
                <w:color w:val="000000"/>
                <w:sz w:val="18"/>
                <w:szCs w:val="18"/>
              </w:rPr>
              <w:fldChar w:fldCharType="end"/>
            </w:r>
          </w:p>
        </w:tc>
      </w:tr>
      <w:tr w:rsidR="00CD17F0" w:rsidRPr="00291E4E" w:rsidTr="00DB48CC">
        <w:trPr>
          <w:trHeight w:val="1011"/>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is defined as the onset of gestational hypertension</w:t>
            </w:r>
            <w:r>
              <w:rPr>
                <w:rFonts w:eastAsia="Times New Roman"/>
                <w:color w:val="000000"/>
                <w:sz w:val="18"/>
                <w:szCs w:val="18"/>
              </w:rPr>
              <w:t xml:space="preserve"> </w:t>
            </w:r>
            <w:r w:rsidRPr="00291E4E">
              <w:rPr>
                <w:rFonts w:eastAsia="Times New Roman"/>
                <w:color w:val="000000"/>
                <w:sz w:val="18"/>
                <w:szCs w:val="18"/>
              </w:rPr>
              <w:t>and proteinuria after 20 weeks of gestation. Hypertension</w:t>
            </w:r>
            <w:r>
              <w:rPr>
                <w:rFonts w:eastAsia="Times New Roman"/>
                <w:color w:val="000000"/>
                <w:sz w:val="18"/>
                <w:szCs w:val="18"/>
              </w:rPr>
              <w:t xml:space="preserve"> </w:t>
            </w:r>
            <w:r w:rsidRPr="00291E4E">
              <w:rPr>
                <w:rFonts w:eastAsia="Times New Roman"/>
                <w:color w:val="000000"/>
                <w:sz w:val="18"/>
                <w:szCs w:val="18"/>
              </w:rPr>
              <w:t>was defined as two or more recordings of a diastolic</w:t>
            </w:r>
            <w:r>
              <w:rPr>
                <w:rFonts w:eastAsia="Times New Roman"/>
                <w:color w:val="000000"/>
                <w:sz w:val="18"/>
                <w:szCs w:val="18"/>
              </w:rPr>
              <w:t xml:space="preserve"> </w:t>
            </w:r>
            <w:r w:rsidRPr="00291E4E">
              <w:rPr>
                <w:rFonts w:eastAsia="Times New Roman"/>
                <w:color w:val="000000"/>
                <w:sz w:val="18"/>
                <w:szCs w:val="18"/>
              </w:rPr>
              <w:t>blood pressure of ≥90 mmHg taken ≥4 hours</w:t>
            </w:r>
            <w:r>
              <w:rPr>
                <w:rFonts w:eastAsia="Times New Roman"/>
                <w:color w:val="000000"/>
                <w:sz w:val="18"/>
                <w:szCs w:val="18"/>
              </w:rPr>
              <w:t xml:space="preserve"> </w:t>
            </w:r>
            <w:r w:rsidRPr="00291E4E">
              <w:rPr>
                <w:rFonts w:eastAsia="Times New Roman"/>
                <w:color w:val="000000"/>
                <w:sz w:val="18"/>
                <w:szCs w:val="18"/>
              </w:rPr>
              <w:t>apart. Proteinuria was defined as the excretion of≥300 mg of protein over 24 hours</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Lasabova Z, Zigo I, Svecova I, Szabo G, Stanclova A, Skerenova M, et al. (2014). Association of specific diplotypes defined by common rs1800682 and rare rs34995925 single nucleotide polymoprhisms within the STAT1 transcription binding site of theFAS gene promoter with preeclampsia. Gen PhysiolBiophys. 33:199–204.</w:t>
            </w:r>
          </w:p>
        </w:tc>
        <w:tc>
          <w:tcPr>
            <w:tcW w:w="873" w:type="dxa"/>
          </w:tcPr>
          <w:p w:rsidR="00CD17F0"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author":[{"dropping-particle":"","family":"Lasabová","given":"Zora","non-dropping-particle":"","parse-names":false,"suffix":""},{"dropping-particle":"","family":"Vážan","given":"Martin","non-dropping-particle":"","parse-names":false,"suffix":""},{"dropping-particle":"","family":"Zibolenová","given":"Jana","non-dropping-particle":"","parse-names":false,"suffix":""},{"dropping-particle":"","family":"Švecová","given":"Iveta","non-dropping-particle":"","parse-names":false,"suffix":""},{"dropping-particle":"","family":"Lasabová","given":"Assoc Zora","non-dropping-particle":"","parse-names":false,"suffix":""}],"container-title":"Neuroendocrinol Lett","id":"ITEM-1","issue":"7","issued":{"date-parts":[["2015"]]},"page":"26859593-360715","title":"Overexpression of miR-21 and miR-122 in preeclamptic placentas","type":"article-journal","volume":"36"},"uris":["http://www.mendeley.com/documents/?uuid=c1fe4180-9411-3afe-bae9-656bf63b5ef8"]}],"mendeley":{"formattedCitation":"(Lasabová et al., 2015)","plainTextFormattedCitation":"(Lasabová et al., 2015)","previouslyFormattedCitation":"(Lasabová et al., 2015)"},"properties":{"noteIndex":0},"schema":"https://github.com/citation-style-language/schema/raw/master/csl-citation.json"}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(Lasabová et al., 2015)</w:t>
            </w:r>
            <w:r>
              <w:rPr>
                <w:rFonts w:eastAsia="Times New Roman"/>
                <w:color w:val="000000"/>
                <w:sz w:val="18"/>
                <w:szCs w:val="18"/>
              </w:rPr>
              <w:fldChar w:fldCharType="end"/>
            </w:r>
          </w:p>
          <w:p w:rsidR="00661143" w:rsidRPr="00291E4E" w:rsidRDefault="00661143" w:rsidP="006D38DA">
            <w:pPr>
              <w:spacing w:before="0" w:after="0"/>
              <w:jc w:val="center"/>
              <w:rPr>
                <w:rFonts w:eastAsia="Times New Roman"/>
                <w:color w:val="000000"/>
                <w:sz w:val="18"/>
                <w:szCs w:val="18"/>
              </w:rPr>
            </w:pPr>
            <w:r>
              <w:rPr>
                <w:rFonts w:eastAsia="Times New Roman"/>
                <w:color w:val="000000"/>
                <w:sz w:val="18"/>
                <w:szCs w:val="18"/>
              </w:rPr>
              <w:t>Kolkova 2021</w:t>
            </w:r>
          </w:p>
        </w:tc>
      </w:tr>
      <w:tr w:rsidR="00CD17F0" w:rsidRPr="00291E4E" w:rsidTr="00DB48CC">
        <w:trPr>
          <w:trHeight w:val="717"/>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systolic pressure &gt;140 mmHg or diastolic</w:t>
            </w:r>
            <w:r>
              <w:rPr>
                <w:rFonts w:eastAsia="Times New Roman"/>
                <w:color w:val="000000"/>
                <w:sz w:val="18"/>
                <w:szCs w:val="18"/>
              </w:rPr>
              <w:t xml:space="preserve"> </w:t>
            </w:r>
            <w:r w:rsidRPr="00291E4E">
              <w:rPr>
                <w:rFonts w:eastAsia="Times New Roman"/>
                <w:color w:val="000000"/>
                <w:sz w:val="18"/>
                <w:szCs w:val="18"/>
              </w:rPr>
              <w:t>blood pressure &gt;90 mmHg in 2 different occasions with proteinuria (&gt;0.3 g/24 h) after the 20th gestation week</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{"citationItems":[{"id":"ITEM-1","itemData":{"DOI":"10.3892/br.2015.524","ISSN":"2049-9434","abstract":"To identify the specific serum preeclampsia (PE)-related biomarkers, 10 microRNAs (miRNAs) were selected based on their reported aberrant (4 upregulated and 6 downregulated) expression in PE placenta. A total of 1,035 pregnant patients were enrolled. Finally, 32 pregnancies with PE and 32 healthy pregnancies were incorporated in the study. The expression of these 10 miRNAs in the different trimesters was determined by SYBR-Green reverse transcription-quantitative polymerase chain reaction. Compared with that in the healthy controls, the expression levels of miR-152, miR-183 and miR-210 in PE serum were higher in the second and third trimester, whereas the expression of miR-182 was only higher in the third trimester. The expression levels of 6 miRNAs (miR-1, miR-328, miR-363, miR-377, miR-500 and miR-584) that were downregulated in PE placenta showed no significant differences between pregnancies complicated by PE and healthy pregnancies throughout the 3 trimesters. Areas under the receiver operating characteristic [standard error (SE)] during the 20-24th gestational week for predicting PE were miR-152: 0.94 (SE, 0.026), miR-183: 0.97 (SE, 0.031) and miR-210: 0.93 (SE, 0.018). In conclusion, the expression levels of serum miR-152, miR-183 and miR-210 were elevated since the second trimester in pregnancies complicated with PE, indicating their potentials as serum biomarkers for forecasting PE.","author":[{"dropping-particle":"","family":"LI","given":"QIAN","non-dropping-particle":"","parse-names":false,"suffix":""},{"dropping-particle":"","family":"LONG","given":"ANXIONG","non-dropping-particle":"","parse-names":false,"suffix":""},{"dropping-particle":"","family":"JIANG","given":"LIANSHENG","non-dropping-particle":"","parse-names":false,"suffix":""},{"dropping-particle":"","family":"CAI","given":"LEIMING","non-dropping-particle":"","parse-names":false,"suffix":""},{"dropping-particle":"","family":"XIE","given":"LI","non-dropping-particle":"","parse-names":false,"suffix":""},{"dropping-particle":"","family":"GU","given":"JI'AN","non-dropping-particle":"","parse-names":false,"suffix":""},{"dropping-particle":"","family":"CHEN","given":"XIONG","non-dropping-particle":"","parse-names":false,"suffix":""},{"dropping-particle":"","family":"TAN","given":"LONGYI","non-dropping-particle":"","parse-names":false,"suffix":""}],"container-title":"Biomedical Reports","id":"ITEM-1","issue":"6","issued":{"date-parts":[["2015"]]},"page":"792-796","title":"Quantification of preeclampsia-related microRNAs in maternal serum","type":"article-journal","volume":"3"},"uris":["http://www.mendeley.com/documents/?uuid=017d09fd-2a61-36a0-ad16-a32876f8fb74"]}],"mendeley":{"formattedCitation":"(LI et al., 2015)","plainTextFormattedCitation":"(LI et al., 2015)","previouslyFormattedCitation":"(LI et al., 2015)"},"properties":{"noteIndex":0},"schema":"https://github.com/citation-style-language/schema/raw/master/csl-citation.json"}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(LI et al., 2015)</w:t>
            </w:r>
            <w:r>
              <w:rPr>
                <w:rFonts w:eastAsia="Times New Roman"/>
                <w:color w:val="000000"/>
                <w:sz w:val="18"/>
                <w:szCs w:val="18"/>
              </w:rPr>
              <w:fldChar w:fldCharType="end"/>
            </w:r>
          </w:p>
        </w:tc>
      </w:tr>
      <w:tr w:rsidR="00CD17F0" w:rsidRPr="00291E4E" w:rsidTr="00DB48CC">
        <w:trPr>
          <w:trHeight w:val="71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systolic blood pressure ≥140 mmHg and diastolic blood pressure ≥90 mmHg with proteinuria &gt;300mg/24 hours or 1+ on repeat dipstick at the time of presentation to clinic or 120 admission/transfer to a participating research hospital</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based on PE-NET cohort diagnosticcriteria (no reference)</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(Murphy et al., 2015)</w:t>
            </w:r>
            <w:r>
              <w:rPr>
                <w:rFonts w:eastAsia="Times New Roman"/>
                <w:color w:val="000000"/>
                <w:sz w:val="18"/>
                <w:szCs w:val="18"/>
              </w:rPr>
              <w:fldChar w:fldCharType="end"/>
            </w:r>
          </w:p>
        </w:tc>
      </w:tr>
      <w:tr w:rsidR="00CD17F0" w:rsidRPr="00291E4E" w:rsidTr="00DB48CC">
        <w:trPr>
          <w:trHeight w:val="431"/>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w:t>
            </w:r>
            <w:r>
              <w:rPr>
                <w:rFonts w:eastAsia="Times New Roman"/>
                <w:color w:val="000000"/>
                <w:sz w:val="18"/>
                <w:szCs w:val="18"/>
              </w:rPr>
              <w:t xml:space="preserve"> </w:t>
            </w:r>
            <w:r w:rsidRPr="00291E4E">
              <w:rPr>
                <w:rFonts w:eastAsia="Times New Roman"/>
                <w:color w:val="000000"/>
                <w:sz w:val="18"/>
                <w:szCs w:val="18"/>
              </w:rPr>
              <w:t>was defined as blood pressure &gt;140/90mmHg in two determinations 4 h apart that was associated with proteinuria</w:t>
            </w:r>
            <w:r>
              <w:rPr>
                <w:rFonts w:eastAsia="Times New Roman"/>
                <w:color w:val="000000"/>
                <w:sz w:val="18"/>
                <w:szCs w:val="18"/>
              </w:rPr>
              <w:t>&gt;</w:t>
            </w:r>
            <w:r w:rsidRPr="00291E4E">
              <w:rPr>
                <w:rFonts w:eastAsia="Times New Roman"/>
                <w:color w:val="000000"/>
                <w:sz w:val="18"/>
                <w:szCs w:val="18"/>
              </w:rPr>
              <w:t>300 mg/24 h after 20 weeks of gestation</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C65098">
              <w:rPr>
                <w:rFonts w:eastAsia="Times New Roman"/>
                <w:b/>
                <w:bCs/>
                <w:color w:val="000000"/>
                <w:sz w:val="18"/>
                <w:szCs w:val="18"/>
              </w:rPr>
              <w:t>ACOG 2002</w:t>
            </w:r>
            <w:r>
              <w:rPr>
                <w:rFonts w:eastAsia="Times New Roman"/>
                <w:b/>
                <w:bCs/>
                <w:color w:val="000000"/>
                <w:sz w:val="18"/>
                <w:szCs w:val="18"/>
              </w:rPr>
              <w:t xml:space="preserve"> </w:t>
            </w:r>
            <w:r w:rsidRPr="00291E4E">
              <w:rPr>
                <w:rFonts w:eastAsia="Times New Roman"/>
                <w:color w:val="000000"/>
                <w:sz w:val="18"/>
                <w:szCs w:val="18"/>
              </w:rPr>
              <w:t>ACOG practice bulletin, Diagnosis and management of preeclampsia and eclampsia, Obstet. Gynecol. 99 (2002) 159–167.</w:t>
            </w:r>
          </w:p>
        </w:tc>
        <w:tc>
          <w:tcPr>
            <w:tcW w:w="873" w:type="dxa"/>
          </w:tcPr>
          <w:p w:rsidR="00CD17F0"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(Hromadnikova et al., 2016)</w:t>
            </w:r>
            <w:r>
              <w:rPr>
                <w:rFonts w:eastAsia="Times New Roman"/>
                <w:b/>
                <w:bCs/>
                <w:color w:val="000000"/>
                <w:sz w:val="18"/>
                <w:szCs w:val="18"/>
              </w:rPr>
              <w:fldChar w:fldCharType="end"/>
            </w:r>
          </w:p>
          <w:p w:rsidR="006D683A" w:rsidRDefault="00E33D6E" w:rsidP="006D38DA">
            <w:pPr>
              <w:spacing w:before="0" w:after="0"/>
              <w:jc w:val="center"/>
              <w:rPr>
                <w:rFonts w:eastAsia="Times New Roman"/>
                <w:bCs/>
                <w:color w:val="000000"/>
                <w:sz w:val="18"/>
                <w:szCs w:val="18"/>
              </w:rPr>
            </w:pPr>
            <w:r w:rsidRPr="00E33D6E">
              <w:rPr>
                <w:rFonts w:eastAsia="Times New Roman"/>
                <w:bCs/>
                <w:color w:val="000000"/>
                <w:sz w:val="18"/>
                <w:szCs w:val="18"/>
              </w:rPr>
              <w:t>Lip 2019</w:t>
            </w:r>
          </w:p>
          <w:p w:rsidR="00503844" w:rsidRPr="006D683A" w:rsidRDefault="00503844" w:rsidP="006D38DA">
            <w:pPr>
              <w:spacing w:before="0" w:after="0"/>
              <w:jc w:val="center"/>
              <w:rPr>
                <w:rFonts w:eastAsia="Times New Roman"/>
                <w:bCs/>
                <w:color w:val="000000"/>
                <w:sz w:val="18"/>
                <w:szCs w:val="18"/>
              </w:rPr>
            </w:pPr>
            <w:r>
              <w:rPr>
                <w:rFonts w:eastAsia="Times New Roman"/>
                <w:bCs/>
                <w:color w:val="000000"/>
                <w:sz w:val="18"/>
                <w:szCs w:val="18"/>
              </w:rPr>
              <w:t>Akgor 20</w:t>
            </w:r>
            <w:r w:rsidR="00FA3FCF">
              <w:rPr>
                <w:rFonts w:eastAsia="Times New Roman"/>
                <w:bCs/>
                <w:color w:val="000000"/>
                <w:sz w:val="18"/>
                <w:szCs w:val="18"/>
              </w:rPr>
              <w:t>20</w:t>
            </w:r>
          </w:p>
        </w:tc>
      </w:tr>
      <w:tr w:rsidR="00CD17F0" w:rsidRPr="00291E4E" w:rsidTr="00DB48CC">
        <w:trPr>
          <w:trHeight w:val="692"/>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pregnancy</w:t>
            </w:r>
            <w:r>
              <w:rPr>
                <w:rFonts w:eastAsia="Times New Roman"/>
                <w:color w:val="000000"/>
                <w:sz w:val="18"/>
                <w:szCs w:val="18"/>
              </w:rPr>
              <w:t xml:space="preserve"> </w:t>
            </w:r>
            <w:r w:rsidRPr="00291E4E">
              <w:rPr>
                <w:rFonts w:eastAsia="Times New Roman"/>
                <w:color w:val="000000"/>
                <w:sz w:val="18"/>
                <w:szCs w:val="18"/>
              </w:rPr>
              <w:t>induced</w:t>
            </w:r>
            <w:r>
              <w:rPr>
                <w:rFonts w:eastAsia="Times New Roman"/>
                <w:color w:val="000000"/>
                <w:sz w:val="18"/>
                <w:szCs w:val="18"/>
              </w:rPr>
              <w:t xml:space="preserve"> </w:t>
            </w:r>
            <w:r w:rsidRPr="00291E4E">
              <w:rPr>
                <w:rFonts w:eastAsia="Times New Roman"/>
                <w:color w:val="000000"/>
                <w:sz w:val="18"/>
                <w:szCs w:val="18"/>
              </w:rPr>
              <w:t>hypertension (blood pressure ≥140/90 mmHg) and proteinuria</w:t>
            </w:r>
            <w:r>
              <w:rPr>
                <w:rFonts w:eastAsia="Times New Roman"/>
                <w:color w:val="000000"/>
                <w:sz w:val="18"/>
                <w:szCs w:val="18"/>
              </w:rPr>
              <w:t xml:space="preserve"> </w:t>
            </w:r>
            <w:r w:rsidRPr="00291E4E">
              <w:rPr>
                <w:rFonts w:eastAsia="Times New Roman"/>
                <w:color w:val="000000"/>
                <w:sz w:val="18"/>
                <w:szCs w:val="18"/>
              </w:rPr>
              <w:t>(≥0.3 g/24 h or ≥1+ according to a routine urinalysis) in</w:t>
            </w:r>
            <w:r>
              <w:rPr>
                <w:rFonts w:eastAsia="Times New Roman"/>
                <w:color w:val="000000"/>
                <w:sz w:val="18"/>
                <w:szCs w:val="18"/>
              </w:rPr>
              <w:t xml:space="preserve"> </w:t>
            </w:r>
            <w:r w:rsidRPr="00291E4E">
              <w:rPr>
                <w:rFonts w:eastAsia="Times New Roman"/>
                <w:color w:val="000000"/>
                <w:sz w:val="18"/>
                <w:szCs w:val="18"/>
              </w:rPr>
              <w:t>women who were normotensive before pregnancy and had no</w:t>
            </w:r>
            <w:r>
              <w:rPr>
                <w:rFonts w:eastAsia="Times New Roman"/>
                <w:color w:val="000000"/>
                <w:sz w:val="18"/>
                <w:szCs w:val="18"/>
              </w:rPr>
              <w:t xml:space="preserve"> </w:t>
            </w:r>
            <w:r w:rsidRPr="00291E4E">
              <w:rPr>
                <w:rFonts w:eastAsia="Times New Roman"/>
                <w:color w:val="000000"/>
                <w:sz w:val="18"/>
                <w:szCs w:val="18"/>
              </w:rPr>
              <w:t>other underlying clinical problems such as renal disease</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{"citationItems":[{"id":"ITEM-1","itemData":{"DOI":"10.1016/j.placenta.2016.01.019","abstract":"Hydrogen sulfide (H2S) has been implicated to angiogenesis in various tissues. We sought to investigate the role of hydrogen sulfide (H2S) in regulating production of vascular endothelial growth factor (VEGF) proteins, the key factors of angiogenesis and vasculogenesis, in placenta. Methods Placental tissues were obtained from pregnant women with preeclampsia and healthy pregnant women who underwent elective cesarean section. Explants and trophoblasts were isolated from healthy placentas and treated with H2S donor and precursor. Western blotting was used to determine the levels of cystathionine β-synthase (CBS) and cystathionine γ-lyase (CSE). The levels of VEGF mRNA, miR miR-200c,-20a and -20b were determined by quantitative real time PCR. Results NaHS and l-cysteine increased VEGF but not placenta growth factor (PlGF) production in cultured explants and trophoblasts. Transfection of CBS and CSE siRNA reversed the stimulatory effect of l-cysteine on VEGF production in placental cells. H2S prolonged the half-life of VEGF mRNA and decreased the expression of miR-200c,-20a and -20b in placental cells. MiR-200c mimic and inhibitor affected VEGF mRNA and protein level, whereas miR-20a or -20b mimic and inhibitor affect VEGF protein release but not mRNA expression. The expression level of miR-200c,-20a and -20b as well as the level of CBS, CSE and VEGF were downregulated in preeclamptic placentas. Conclusion H2S produced via CSE and CBS plays a critical role in VEGF production in human placenta. Reduced expression of CSE and CBS may contribute to the abnormal production of angiogenic factors in preeclamptic placenta.","author":[{"dropping-particle":"","family":"Hu","given":"Tian Xiao","non-dropping-particle":"","parse-names":false,"suffix":""},{"dropping-particle":"","family":"Wang","given":"Gang","non-dropping-particle":"","parse-names":false,"suffix":""},{"dropping-particle":"","family":"Guo","given":"Xue Jing","non-dropping-particle":"","parse-names":false,"suffix":""},{"dropping-particle":"","family":"Sun","given":"Qian Qian","non-dropping-particle":"","parse-names":false,"suffix":""},{"dropping-particle":"","family":"He","given":"Ping","non-dropping-particle":"","parse-names":false,"suffix":""},{"dropping-particle":"","family":"Gu","given":"Hang","non-dropping-particle":"","parse-names":false,"suffix":""},{"dropping-particle":"","family":"Huang","given":"Ying","non-dropping-particle":"","parse-names":false,"suffix":""},{"dropping-particle":"","family":"Gao","given":"Lu","non-dropping-particle":"","parse-names":false,"suffix":""},{"dropping-particle":"","family":"Ni","given":"Xin","non-dropping-particle":"","parse-names":false,"suffix":""}],"container-title":"Placenta","id":"ITEM-1","issued":{"date-parts":[["2016"]]},"page":"101-110","title":"MiR 20a,-20b and -200c are involved in hydrogen sulfide stimulation of VEGF production in human placental trophoblasts","type":"article-journal","volume":"39"},"uris":["http://www.mendeley.com/documents/?uuid=6ff865a9-5fcc-39f6-a475-f40ae6b15921"]}],"mendeley":{"formattedCitation":"(Hu et al., 2016)","plainTextFormattedCitation":"(Hu et al., 2016)","previouslyFormattedCitation":"(Hu et al., 2016)"},"properties":{"noteIndex":0},"schema":"https://github.com/citation-style-language/schema/raw/master/csl-citation.json"}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(Hu et al., 2016)</w:t>
            </w:r>
            <w:r>
              <w:rPr>
                <w:rFonts w:eastAsia="Times New Roman"/>
                <w:color w:val="000000"/>
                <w:sz w:val="18"/>
                <w:szCs w:val="18"/>
              </w:rPr>
              <w:fldChar w:fldCharType="end"/>
            </w:r>
          </w:p>
        </w:tc>
      </w:tr>
      <w:tr w:rsidR="00CD17F0" w:rsidRPr="00291E4E" w:rsidTr="00DB48CC">
        <w:trPr>
          <w:trHeight w:val="965"/>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de novo hypertension after 20th week of</w:t>
            </w:r>
            <w:r>
              <w:rPr>
                <w:rFonts w:eastAsia="Times New Roman"/>
                <w:color w:val="000000"/>
                <w:sz w:val="18"/>
                <w:szCs w:val="18"/>
              </w:rPr>
              <w:t xml:space="preserve"> </w:t>
            </w:r>
            <w:r w:rsidRPr="00291E4E">
              <w:rPr>
                <w:rFonts w:eastAsia="Times New Roman"/>
                <w:color w:val="000000"/>
                <w:sz w:val="18"/>
                <w:szCs w:val="18"/>
              </w:rPr>
              <w:t>gestation plus proteinuria</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World Health Organization. Reproductive health and research.</w:t>
            </w:r>
            <w:r>
              <w:rPr>
                <w:rFonts w:eastAsia="Times New Roman"/>
                <w:color w:val="000000"/>
                <w:sz w:val="18"/>
                <w:szCs w:val="18"/>
              </w:rPr>
              <w:t xml:space="preserve"> </w:t>
            </w:r>
            <w:r w:rsidRPr="00291E4E">
              <w:rPr>
                <w:rFonts w:eastAsia="Times New Roman"/>
                <w:color w:val="000000"/>
                <w:sz w:val="18"/>
                <w:szCs w:val="18"/>
              </w:rPr>
              <w:t>Managing complications in pregnancy and childbirth: a guide for midwives and doctors. Geneva: World Health</w:t>
            </w:r>
            <w:r>
              <w:rPr>
                <w:rFonts w:eastAsia="Times New Roman"/>
                <w:color w:val="000000"/>
                <w:sz w:val="18"/>
                <w:szCs w:val="18"/>
              </w:rPr>
              <w:t xml:space="preserve"> </w:t>
            </w:r>
            <w:r w:rsidRPr="00291E4E">
              <w:rPr>
                <w:rFonts w:eastAsia="Times New Roman"/>
                <w:color w:val="000000"/>
                <w:sz w:val="18"/>
                <w:szCs w:val="18"/>
              </w:rPr>
              <w:t>Organization, Dept. of Reproductive Health and Research, 2003.</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{"citationItems":[{"id":"ITEM-1","itemData":{"DOI":"10.1016/j.trsl.2016.02.012","abstract":"Preeclampsia (PE) is one of the leading causes of maternal and perinatal morbidity and mortality worldwide. Abnormal expression of microRNAs (miRNAs) occurs in several pregnancy diseases including PE. Placental trophoblast cells express a specific set of miRNAs which changes during pregnancy. These miRNAs can be released within extracellular vesicles (EVs) and mediate intercellular communication. miR-141 is a pregnancy-related miRNA which is expressed by trophoblast cells at increased levels in maternal plasma in the third trimester. We hypothesize that miR-141 is abnormally expressed in PE placentae, controls trophoblast, and immune cell functions and is involved in the intercellular communication between fetal trophoblast and maternal immune cells. Expression of miR-141 was analyzed by quantitative real-time PCR (qPCR) in normal and preeclamptic placentae and in 2 different trophoblastic cell lines, JEG-3 and HTR-8/SVneo. Changes in JEG-3 and HTR-8/SVneo cell proliferation and invasion were investigated after miR-141 inhibition and overexpression by MTS-, BrdU-, and Matrigel assays. EVs from miR-141 transfected cells were isolated from supernatants and characterized by NanoSight analysis and qPCR. Proliferation of Jurkat T cells and invasion of HTR-8/SVneo cells were investigated after treatment with EVs containing different miR-141 levels. miR-141 expression was higher in placentae from PE patients compared with those from normal pregnancies. miR-141 inhibition in trophoblastic cells resulted in decreased cell viability and reduced invasion capability. After transfection with miR-141-mimic, trophoblastic cells secreted EVs with increased miR-141 content. These vesicles did not exert effects on trophoblastic cell invasion but reduced Jurkat T cell proliferation. In conclusion, miR-141 regulates major functions of trophoblastic and immune cells. Trophoblast cells release EVs whose miRNA content can be modified by transfection of origin cells. Furthermore, elevated levels of miR-141 can be transferred from trophoblast to immune cells by release and internalization of EVs suggesting their role in the immune regulation of normal and pathologic pregnancies.","author":[{"dropping-particle":"","family":"Ospina-Prieto","given":"Stephanie","non-dropping-particle":"","parse-names":false,"suffix":""},{"dropping-particle":"","family":"Chaiwangyen","given":"Wittaya","non-dropping-particle":"","parse-names":false,"suffix":""},{"dropping-particle":"","family":"Herrmann","given":"Jörg","non-dropping-particle":"","parse-names":false,"suffix":""},{"dropping-particle":"","family":"Groten","given":"Tanja","non-dropping-particle":"","parse-names":false,"suffix":""},{"dropping-particle":"","family":"Schleussner","given":"Ekkehard","non-dropping-particle":"","parse-names":false,"suffix":""},{"dropping-particle":"","family":"Markert","given":"Udo R.","non-dropping-particle":"","parse-names":false,"suffix":""},{"dropping-particle":"","family":"Morales-Prieto","given":"Diana M.","non-dropping-particle":"","parse-names":false,"suffix":""}],"container-title":"Translational Research","id":"ITEM-1","issued":{"date-parts":[["2016"]]},"page":"61-72","title":"MicroRNA-141 is upregulated in preeclamptic placentae and regulates trophoblast invasion and intercellular communication","type":"article-journal","volume":"172"},"uris":["http://www.mendeley.com/documents/?uuid=29ccca7b-f8d4-3b3b-a193-712e95225511"]}],"mendeley":{"formattedCitation":"(Ospina-Prieto et al., 2016)","plainTextFormattedCitation":"(Ospina-Prieto et al., 2016)","previouslyFormattedCitation":"(Ospina-Prieto et al., 2016)"},"properties":{"noteIndex":0},"schema":"https://github.com/citation-style-language/schema/raw/master/csl-citation.json"}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(Ospina-Prieto et al., 2016)</w:t>
            </w:r>
            <w:r>
              <w:rPr>
                <w:rFonts w:eastAsia="Times New Roman"/>
                <w:color w:val="000000"/>
                <w:sz w:val="18"/>
                <w:szCs w:val="18"/>
              </w:rPr>
              <w:fldChar w:fldCharType="end"/>
            </w:r>
          </w:p>
        </w:tc>
      </w:tr>
      <w:tr w:rsidR="00CD17F0" w:rsidRPr="00291E4E" w:rsidTr="00DB48CC">
        <w:trPr>
          <w:trHeight w:val="27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increased blood pressure (≥140 mmHg systolic or ≥90 mmHg diastolic on two or more measurements at least 6 hours apart) with significant proteinuria (≥0.3 g/24 hours) in a woman after 20 weeks of gestation,</w:t>
            </w:r>
            <w:r>
              <w:rPr>
                <w:rFonts w:eastAsia="Times New Roman"/>
                <w:color w:val="000000"/>
                <w:sz w:val="18"/>
                <w:szCs w:val="18"/>
              </w:rPr>
              <w:t xml:space="preserve"> </w:t>
            </w:r>
            <w:r w:rsidRPr="00291E4E">
              <w:rPr>
                <w:rFonts w:eastAsia="Times New Roman"/>
                <w:color w:val="000000"/>
                <w:sz w:val="18"/>
                <w:szCs w:val="18"/>
              </w:rPr>
              <w:t>in accordance with the guidelines of the NHBPEP</w:t>
            </w:r>
            <w:r>
              <w:rPr>
                <w:rFonts w:eastAsia="Times New Roman"/>
                <w:color w:val="000000"/>
                <w:sz w:val="18"/>
                <w:szCs w:val="18"/>
              </w:rPr>
              <w:t xml:space="preserve"> </w:t>
            </w:r>
            <w:r w:rsidRPr="00291E4E">
              <w:rPr>
                <w:rFonts w:eastAsia="Times New Roman"/>
                <w:color w:val="000000"/>
                <w:sz w:val="18"/>
                <w:szCs w:val="18"/>
              </w:rPr>
              <w:t>(National High Blood Pressure Education Program Working</w:t>
            </w:r>
            <w:r>
              <w:rPr>
                <w:rFonts w:eastAsia="Times New Roman"/>
                <w:color w:val="000000"/>
                <w:sz w:val="18"/>
                <w:szCs w:val="18"/>
              </w:rPr>
              <w:t xml:space="preserve"> </w:t>
            </w:r>
            <w:r w:rsidRPr="00291E4E">
              <w:rPr>
                <w:rFonts w:eastAsia="Times New Roman"/>
                <w:color w:val="000000"/>
                <w:sz w:val="18"/>
                <w:szCs w:val="18"/>
              </w:rPr>
              <w:t>Group on High Blood Pressure in Pregnancy).</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{"citationItems":[{"id":"ITEM-1","itemData":{"DOI":"10.1111/1471-0528.13903","abstract":"Objective To validate and to compare the circulating microRNA (miR) expression profiles between pre-eclampsia and healthy pregnant women, to perform correlation analysis of the differently expressed miRs with clinical and biochemical parameters, and to verify the extracellular localisation of miRs in apoptotic bodies, microvesicles, and exosomes. Design A case-control study with a replication study. Setting Pregnant women attending maternity hospitals in Southeastern Brazil. Population Two obstetric white populations: a case-control study (19 pre-eclampsia and 14 healthy pregnant) and a replication study (eight pre-eclampsia and eight healthy pregnant). Methods PCR-array with 84 different miRs was performed in plasma from five pre-eclampsia and four healthy pregnant women. In the case-control study, differently expressed miRs were validated using quantitative real-time reverse transcription polymerase chain reaction (qRT-PCR), and correlated with clinical and biochemical parameters. The plasma was then fractioned to study the extracellular localisation of miRs. Main outcome measures Gene expression profiles of miRs. Results From PCR-array, three miRs (miR-376c-3p, miR-19a-3p, and miR-19b-3p) were found to be down-regulated and the miR-885-5p was found to be up-regulated in pre-eclampsia compared with healthy pregnant women. In the validation step, miR-885-5p was the only significantly different miR (fold-change = 5.0, P &lt; 0.05), which was confirmed in the replication study (fold-change = 4.5, P &lt; 0.05). Moreover, miR-885-5p was significantly correlated with the hepatic enzyme aspartate transaminase (r = 0.66; P = 0.0034) and it was mostly associated with the exosomes (32-fold higher than apoptotic bodies). Conclusions miR-885-5p is increased in plasma from pre-eclampsia compared with healthy pregnant women, and it is released into circulation mainly inside exosomes. Tweetable Abstract miR-885-5p is increased in pre-eclampsia and is released into circulation mainly inside exosomes.","author":[{"dropping-particle":"","family":"Sandrim","given":"V C","non-dropping-particle":"","parse-names":false,"suffix":""},{"dropping-particle":"","family":"Luizon","given":"M R","non-dropping-particle":"","parse-names":false,"suffix":""},{"dropping-particle":"","family":"Palei","given":"A C","non-dropping-particle":"","parse-names":false,"suffix":""},{"dropping-particle":"","family":"Tanus-Santos","given":"J E","non-dropping-particle":"","parse-names":false,"suffix":""},{"dropping-particle":"","family":"Cavalli","given":"R C","non-dropping-particle":"","parse-names":false,"suffix":""}],"container-title":"BJOG","id":"ITEM-1","issue":"13","issued":{"date-parts":[["2016"]]},"page":"2120-2128","title":"Circulating microRNA expression profiles in pre-eclampsia: evidence of increased miR-885-5p levels","type":"article-journal","volume":"123"},"uris":["http://www.mendeley.com/documents/?uuid=fd65c838-1dce-3d33-a7a2-83bcd9a8b566"]}],"mendeley":{"formattedCitation":"(Sandrim et al., 2016b)","plainTextFormattedCitation":"(Sandrim et al., 2016b)","previouslyFormattedCitation":"(Sandrim et al., 2016b)"},"properties":{"noteIndex":0},"schema":"https://github.com/citation-style-language/schema/raw/master/csl-citation.json"}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(Sandrim et al., 2016b)</w:t>
            </w:r>
            <w:r>
              <w:rPr>
                <w:rFonts w:eastAsia="Times New Roman"/>
                <w:color w:val="000000"/>
                <w:sz w:val="18"/>
                <w:szCs w:val="18"/>
              </w:rPr>
              <w:fldChar w:fldCharType="end"/>
            </w:r>
          </w:p>
        </w:tc>
      </w:tr>
      <w:tr w:rsidR="00CD17F0" w:rsidRPr="00291E4E" w:rsidTr="00DB48CC">
        <w:trPr>
          <w:trHeight w:val="558"/>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lastRenderedPageBreak/>
              <w:t>Diagnosis of preeclampsia was defined as follows: a sustained systolic blood pressure of ≥ 140 mm Hg or a sustained diastolic blood pressure of ≥90 mm Hg on two separate readings; proteinuria measurement of 1+ or more on dipstick; or 24-hour</w:t>
            </w:r>
            <w:r>
              <w:rPr>
                <w:rFonts w:eastAsia="Times New Roman"/>
                <w:color w:val="000000"/>
                <w:sz w:val="18"/>
                <w:szCs w:val="18"/>
              </w:rPr>
              <w:t xml:space="preserve"> </w:t>
            </w:r>
            <w:r w:rsidRPr="00291E4E">
              <w:rPr>
                <w:rFonts w:eastAsia="Times New Roman"/>
                <w:color w:val="000000"/>
                <w:sz w:val="18"/>
                <w:szCs w:val="18"/>
              </w:rPr>
              <w:t>urine protein collection with ≥300 mg in the specimen</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{"citationItems":[{"id":"ITEM-1","itemData":{"DOI":"10.1111/aji.12589","abstract":"Problem: To determine whether miR-203 mediates endothelial inflammatory response in preeclampsia. Method of study: Maternal vessel miR-203 expression was assessed by in situ hybridization. Suppressor of cytokine signaling-3 (SOCS-3) and ICAM expression was determined by immunostaining. Subcutaneous fat tissue sections from normal and preeclamptic pregnant women were used. miR-203-induced inflammatory response was evaluated by the measurements of IL-6, IL-8, ICAM, and VCAM expression and production and neutrophil adhesion in the endothelial cells (EC) transfected with miR-203 precursor, pre-miR-203. SOCS3 expression was also determined. Results: Up-regulation of miR-203 and ICAM expression and down-regulation of SOCS-3 expression were demonstrated in maternal vessel endothelium in preeclampsia. Overexpression of miR-203 resulted in down-regulation of SOCS-3 expression and increases in the production of IL-6, IL-8, ICAM, and VCAM and neutrophil adhesion in ECs. Conclusion: As miR-203 is an inflammatory microRNA, increased miR-203 production/expression in ECs could diminish an anti-inflammatory activity and increase the endothelial inflammatory response in preeclampsia.","author":[{"dropping-particle":"","family":"Wang","given":"Yuping","non-dropping-particle":"","parse-names":false,"suffix":""},{"dropping-particle":"","family":"Dong","given":"Qin","non-dropping-particle":"","parse-names":false,"suffix":""},{"dropping-particle":"","family":"Gu","given":"Yang","non-dropping-particle":"","parse-names":false,"suffix":""},{"dropping-particle":"","family":"Groome","given":"Lynn J.","non-dropping-particle":"","parse-names":false,"suffix":""}],"container-title":"American Journal of Reproductive Immunology","id":"ITEM-1","issue":"6","issued":{"date-parts":[["2016"]]},"page":"482-490","title":"Up-regulation of miR-203 expression induces endothelial inflammatory response: Potential role in preeclampsia","type":"article-journal","volume":"76"},"uris":["http://www.mendeley.com/documents/?uuid=b1069d6b-275e-3214-9789-f16db26aee89"]}],"mendeley":{"formattedCitation":"(Wang et al., 2016a)","plainTextFormattedCitation":"(Wang et al., 2016a)","previouslyFormattedCitation":"(Wang et al., 2016a)"},"properties":{"noteIndex":0},"schema":"https://github.com/citation-style-language/schema/raw/master/csl-citation.json"}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(Wang et al., 2016a)</w:t>
            </w:r>
            <w:r>
              <w:rPr>
                <w:rFonts w:eastAsia="Times New Roman"/>
                <w:color w:val="000000"/>
                <w:sz w:val="18"/>
                <w:szCs w:val="18"/>
              </w:rPr>
              <w:fldChar w:fldCharType="end"/>
            </w:r>
          </w:p>
        </w:tc>
      </w:tr>
      <w:tr w:rsidR="00CD17F0" w:rsidRPr="00291E4E" w:rsidTr="00DB48CC">
        <w:trPr>
          <w:trHeight w:val="506"/>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Schroeder BM. ACOG practice bulletin on diagnosing and managing preeclampsia</w:t>
            </w:r>
            <w:r>
              <w:rPr>
                <w:rFonts w:eastAsia="Times New Roman"/>
                <w:color w:val="000000"/>
                <w:sz w:val="18"/>
                <w:szCs w:val="18"/>
              </w:rPr>
              <w:t xml:space="preserve"> </w:t>
            </w:r>
            <w:r w:rsidRPr="00291E4E">
              <w:rPr>
                <w:rFonts w:eastAsia="Times New Roman"/>
                <w:color w:val="000000"/>
                <w:sz w:val="18"/>
                <w:szCs w:val="18"/>
              </w:rPr>
              <w:t>and eclampsia. American College of Obstetricians and Gynecologists. Am Fam Physician 2002; 66(2): 330–331.</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{"citationItems":[{"id":"ITEM-1","itemData":{"DOI":"10.1038/jp.2015.192","abstract":"Objective: To identify the specific microRNA (miRNA) biomarkers of preeclampsia (PE), the miRNA profiles analysis were performed. Study Design: The blood samples were obtained from five PE patients and five normal healthy pregnant women. The small RNA profiles were analyzed to identify miRNA expression levels and find out miRNAs that may associate with PE. The quantitative reverse transcriptase-PCR (qRT-PCR) assay was used to validate differentially expressed peripheral leucocyte miRNAs in a new cohort. Result: The data analysis showed that 10 peripheral leucocyte miRNAs were significantly differently expressed in severe PE patients. Four differently expressed miRNAs were successfully validated using qRT-PCR method. Conclusion: We successfully constructed a model with high accuracy to predict PE. A combination of four peripheral leucocyte miRNAs has great potential to serve as diagnostic biomarkers of PE.","author":[{"dropping-particle":"","family":"Wang","given":"Yonghong","non-dropping-particle":"","parse-names":false,"suffix":""},{"dropping-particle":"","family":"Yang","given":"Xukui","non-dropping-particle":"","parse-names":false,"suffix":""},{"dropping-particle":"","family":"Yang","given":"Yuanyuan","non-dropping-particle":"","parse-names":false,"suffix":""},{"dropping-particle":"","family":"Wang","given":"Wenjun","non-dropping-particle":"","parse-names":false,"suffix":""},{"dropping-particle":"","family":"Zhao","given":"Meiling","non-dropping-particle":"","parse-names":false,"suffix":""},{"dropping-particle":"","family":"Liu","given":"Huiqiang","non-dropping-particle":"","parse-names":false,"suffix":""},{"dropping-particle":"","family":"Li","given":"Dongyan","non-dropping-particle":"","parse-names":false,"suffix":""},{"dropping-particle":"","family":"Hao","given":"Min","non-dropping-particle":"","parse-names":false,"suffix":""}],"container-title":"Journal of Perinatology","id":"ITEM-1","issue":"4","issued":{"date-parts":[["2016"]]},"page":"263-267","title":"High-throughput deep screening and identification of four peripheral leucocyte microRNAs as novel potential combination biomarkers for preeclampsia","type":"article-journal","volume":"36"},"uris":["http://www.mendeley.com/documents/?uuid=dfa47a2b-7e4f-3141-ae04-c71e1d745929"]}],"mendeley":{"formattedCitation":"(Wang et al., 2016b)","plainTextFormattedCitation":"(Wang et al., 2016b)","previouslyFormattedCitation":"(Wang et al., 2016b)"},"properties":{"noteIndex":0},"schema":"https://github.com/citation-style-language/schema/raw/master/csl-citation.json"}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(Wang et al., 2016b)</w:t>
            </w:r>
            <w:r>
              <w:rPr>
                <w:rFonts w:eastAsia="Times New Roman"/>
                <w:color w:val="000000"/>
                <w:sz w:val="18"/>
                <w:szCs w:val="18"/>
              </w:rPr>
              <w:fldChar w:fldCharType="end"/>
            </w:r>
          </w:p>
        </w:tc>
      </w:tr>
      <w:tr w:rsidR="00CD17F0" w:rsidRPr="00291E4E" w:rsidTr="00DB48CC">
        <w:trPr>
          <w:trHeight w:val="976"/>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systolic blood pressure (SBP) ≥ 140 mmHg and/or diastolic blood pressure (DBP) ≥ 90 mmHg on 2 occasions at least 4 hours apart with proteinuria ≥ 300 mg/day from 24 h urine collection occurring after the 20th week of gestation but resolving by the 12th week postpartum</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{"citationItems":[{"id":"ITEM-1","itemData":{"DOI":"10.1038/srep19910","abstract":"Preeclampsia (PE) is a leading cause of maternal mortality worldwide. Several studies have detected some differentially expressed microRNAs in the preeclamptic placenta, but few of the identified microRNAs demonstrated consistent findings among different research studies. In this study, high-throughput microRNA sequencing (HTS) of 9 preeclamptic and 9 normal placentas was performed. Seventeen microRNAs were identified to be up-regulated, and 8 down-regulated in preeclamptic placentas. Eight differentially expressed microRNAs except one identified in our study were determined to be consistent with at least one previous study, while sixteen were newly found. We performed qRT-PCR with independent 22 preeclamptic placentas and 20 control placentas to verify the differentially expressed microRNAs, and ten microRNAs were validated. The predicted target genes of the aberrantly expressed miR-193b-3p were enriched in the following gene ontology categories: cell motility and migration, cell proliferation and angiogenesis. We also found that miR-193b-3p significantly decreased the migration and invasion of trophoblast (HTR-8/SVneo) cells and that miR-193b-3p could regulate trophoblasts migration and invasion through binding onto the 3′UTR target site of TGF-β2. In conclusion, we identified a list of differentially expressed microRNAs in PE placentas by HTS and provided preliminary evidence for the role of miR-193b-3p in the pathogenesis of preeclampsia.","author":[{"dropping-particle":"","family":"Zhou","given":"Xinyao","non-dropping-particle":"","parse-names":false,"suffix":""},{"dropping-particle":"","family":"Li","given":"Qiaoli","non-dropping-particle":"","parse-names":false,"suffix":""},{"dropping-particle":"","family":"Xu","given":"Jiawei","non-dropping-particle":"","parse-names":false,"suffix":""},{"dropping-particle":"","family":"Zhang","given":"Xiaojing","non-dropping-particle":"","parse-names":false,"suffix":""},{"dropping-particle":"","family":"Zhang","given":"Huijuan","non-dropping-particle":"","parse-names":false,"suffix":""},{"dropping-particle":"","family":"Xiang","given":"Yuqian","non-dropping-particle":"","parse-names":false,"suffix":""},{"dropping-particle":"","family":"Fang","given":"Chuantao","non-dropping-particle":"","parse-names":false,"suffix":""},{"dropping-particle":"","family":"Wang","given":"Teng","non-dropping-particle":"","parse-names":false,"suffix":""},{"dropping-particle":"","family":"Xia","given":"Shihui","non-dropping-particle":"","parse-names":false,"suffix":""},{"dropping-particle":"","family":"Zhang","given":"Qiang","non-dropping-particle":"","parse-names":false,"suffix":""},{"dropping-particle":"","family":"Xing","given":"Qinghe","non-dropping-particle":"","parse-names":false,"suffix":""},{"dropping-particle":"","family":"He","given":"Lin","non-dropping-particle":"","parse-names":false,"suffix":""},{"dropping-particle":"","family":"Wang","given":"Lei","non-dropping-particle":"","parse-names":false,"suffix":""},{"dropping-particle":"","family":"Xu","given":"Mingqing","non-dropping-particle":"","parse-names":false,"suffix":""},{"dropping-particle":"","family":"Zhao","given":"Xinzhi","non-dropping-particle":"","parse-names":false,"suffix":""}],"container-title":"Scientific Reports","id":"ITEM-1","issued":{"date-parts":[["2016"]]},"page":"19910","title":"The aberrantly expressed miR-193b-3p contributes to preeclampsia through regulating transforming growth factor-β signaling","type":"article-journal","volume":"6"},"uris":["http://www.mendeley.com/documents/?uuid=6e0d5290-9dbb-3d5b-aa7c-4f38711f799d"]}],"mendeley":{"formattedCitation":"(Zhou et al., 2016)","plainTextFormattedCitation":"(Zhou et al., 2016)","previouslyFormattedCitation":"(Zhou et al., 2016)"},"properties":{"noteIndex":0},"schema":"https://github.com/citation-style-language/schema/raw/master/csl-citation.json"}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(Zhou et al., 2016)</w:t>
            </w:r>
            <w:r>
              <w:rPr>
                <w:rFonts w:eastAsia="Times New Roman"/>
                <w:color w:val="000000"/>
                <w:sz w:val="18"/>
                <w:szCs w:val="18"/>
              </w:rPr>
              <w:fldChar w:fldCharType="end"/>
            </w:r>
          </w:p>
        </w:tc>
      </w:tr>
      <w:tr w:rsidR="00CD17F0" w:rsidRPr="00291E4E" w:rsidTr="00DB48CC">
        <w:trPr>
          <w:trHeight w:val="82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diagnosed as systolic blood pressure ≥160mm Hg or diastolic blood pressure ≥110mm Hg on at least 2 occasions, accompanying severe proteinuria (≥2g/24 hours) at 20 to 34 weeks of gestation</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{"citationItems":[{"id":"ITEM-1","itemData":{"DOI":"10.1097/MD.0000000000007515","abstract":"Pre-eclampsia (PE) is one of the leading causes of maternal and neonatal morbidity and mortality. In recent years, many studies have shown that microRNAs (miRNA) play important roles in the development of PE. However, the molecular pathogenesis of PE remains unknown. In the present study, we performed a case-control study to verify the differential expression of 4 candidate miRNAs (miR-210, miR-155, miR-125b-5p, and miR-125a-5p) in 20 PE pregnancies and 20 healthy pregnancies. The real-time quantitative reverse transcriptase-polymerase chain reaction has been utilized to estimate the C t values in both groups. Our results have shown that miR-210 and miR-155 were upregulated in serum of PE pregnancies, which suggest a potential association between these 2 miRNAs and the pathogenesis of PE. Further studies showed that the area under the receiver operating characteristic curve (AUC) of miR-210 and miR-155 were 0.750 and 0.703, respectively. The AUC of the expression ratio of miR-210 (serum/urine) and miR-155 (serum/urine) were 0.761 and 0.718, respectively. Moreover, 24-hour urine proteins have positive correlation with urine miR-210 and miR-155. Our findings indicated that serum miR-210 and miR-155 could be 2 sensitivity and specificity biomarkers for the diagnosis of PE while urine miR-210 and miR-155 both could be used to evaluate the severity of kidney injury. Using these miRNAs may provide a novel diagnosis method for identifying pregnant women who are at risk for developing PE.","author":[{"dropping-particle":"","family":"Gan","given":"Lu","non-dropping-particle":"","parse-names":false,"suffix":""},{"dropping-particle":"","family":"Liu","given":"Zheng","non-dropping-particle":"","parse-names":false,"suffix":""},{"dropping-particle":"","family":"Wei","given":"Ming","non-dropping-particle":"","parse-names":false,"suffix":""},{"dropping-particle":"","family":"Chen","given":"Yulong","non-dropping-particle":"","parse-names":false,"suffix":""},{"dropping-particle":"","family":"Yang","given":"Xiaomei","non-dropping-particle":"","parse-names":false,"suffix":""},{"dropping-particle":"","family":"Chen","given":"Lihong","non-dropping-particle":"","parse-names":false,"suffix":""},{"dropping-particle":"","family":"Xiao","given":"Xiaomin","non-dropping-particle":"","parse-names":false,"suffix":""}],"container-title":"Medicine (United States)","id":"ITEM-1","issue":"28","issued":{"date-parts":[["2017"]]},"page":"e7515","title":"MIR-210 and miR-155 as potential diagnostic markers for pre-eclampsia pregnancies","type":"article-journal","volume":"96"},"uris":["http://www.mendeley.com/documents/?uuid=0d24b97b-fb39-36a2-8846-33f38c52d419"]}],"mendeley":{"formattedCitation":"(Gan et al., 2017)","plainTextFormattedCitation":"(Gan et al., 2017)","previouslyFormattedCitation":"(Gan et al., 2017)"},"properties":{"noteIndex":0},"schema":"https://github.com/citation-style-language/schema/raw/master/csl-citation.json"}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(Gan et al., 2017)</w:t>
            </w:r>
            <w:r>
              <w:rPr>
                <w:rFonts w:eastAsia="Times New Roman"/>
                <w:color w:val="000000"/>
                <w:sz w:val="18"/>
                <w:szCs w:val="18"/>
              </w:rPr>
              <w:fldChar w:fldCharType="end"/>
            </w:r>
          </w:p>
        </w:tc>
      </w:tr>
      <w:tr w:rsidR="00CD17F0" w:rsidRPr="00C65098" w:rsidTr="00DB48CC">
        <w:trPr>
          <w:trHeight w:val="1237"/>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is indicated in a previously normotensive pregnant woman who after 20 weeks of gestation displays a systolic blood pressure ≥140 mmHg and/or a diastolic blood pressure ≥90 mmHg twice more than 4 h apart and presents with 300 mg proteinuria in a 24-h period (or a protein/creatinine rate of at least 0.3 or proteinuria ≥1+) or with ≥1 severe features in the absence of proteinuria</w:t>
            </w:r>
          </w:p>
        </w:tc>
        <w:tc>
          <w:tcPr>
            <w:tcW w:w="3483" w:type="dxa"/>
            <w:shd w:val="clear" w:color="auto" w:fill="auto"/>
            <w:noWrap/>
            <w:vAlign w:val="bottom"/>
            <w:hideMark/>
          </w:tcPr>
          <w:p w:rsidR="00CD17F0" w:rsidRPr="00C65098" w:rsidRDefault="00CD17F0" w:rsidP="003F2CFC">
            <w:pPr>
              <w:spacing w:before="0" w:after="0"/>
              <w:jc w:val="center"/>
              <w:rPr>
                <w:rFonts w:eastAsia="Times New Roman"/>
                <w:b/>
                <w:bCs/>
                <w:color w:val="000000"/>
                <w:sz w:val="18"/>
                <w:szCs w:val="18"/>
              </w:rPr>
            </w:pPr>
            <w:r w:rsidRPr="00C65098">
              <w:rPr>
                <w:rFonts w:eastAsia="Times New Roman"/>
                <w:b/>
                <w:bCs/>
                <w:color w:val="000000"/>
                <w:sz w:val="18"/>
                <w:szCs w:val="18"/>
              </w:rPr>
              <w:t>ACOG 2013</w:t>
            </w:r>
          </w:p>
        </w:tc>
        <w:tc>
          <w:tcPr>
            <w:tcW w:w="873" w:type="dxa"/>
          </w:tcPr>
          <w:p w:rsidR="00CD17F0"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{"citationItems":[{"id":"ITEM-1","itemData":{"DOI":"10.1080/10641963.2016.1210619","abstract":"Objective: To investigate the possible relationship between miR-942 levels and the pathogenesis of preeclampsia using in vitro assays and to investigate circulating miR-942 levels in the early phase of mid-of pregnancy in women who later developed preeclampsia and in women with uncomplicated pregnancies. Methods: Plasma samples were collected from pregnant women between 12 and 20 weeks of gestation. MiR-942 levels were determined by stem-loop real-time PCR for 26 cases who subsequently developed preeclampsia as well as for 52 controls. Bioinformatics software was used to predict the target genes of miR-942, and a dual-luciferase reporter system was utilized to validate target gene regulation. Finally, MTT proliferation assays, transwell invasion assays, and endothelial cell tube formation assays were performed to further explore the function of miR-942 using a human extravillous trophoblast cell line (TEV-1). Result: Circulating miR-942 levels were significantly lower in mid-pregnancy (12–20 weeks gestation) in women who later developed preeclampsia compared with those with an uncomplicated pregnancy (p &lt; 0.05). Endoglin (ENG) is an miR-942 target gene. MiR-942 had a sensitivity of 0.673, a specificity of 0.875, and an area under the receiver operating characteristic curve (AUC) of 0.718 [95% CI, 0.594–0.822] for the possible screening of preeclampsia. In vitro, decreased miR-942 expression decreased the invasive ability of TEV-1 cells, and inhibited the HUVEC angiogenesis assay, both effects that are similar to what is observed in preeclampsia (both p &lt;0.05). Conclusion: MiR-942 may be involved in the pathogenesis of preeclampsia via the regulation of its target gene ENG. Multicenter studies must be performed and a greater number of samples must be analyzed to ascertain whether circulating miR-942 levels can serve as a novel early diagnostic marker for preeclampsia.","author":[{"dropping-particle":"","family":"Zhang","given":"Yonggang","non-dropping-particle":"","parse-names":false,"suffix":""},{"dropping-particle":"","family":"Huang","given":"Guoqing","non-dropping-particle":"","parse-names":false,"suffix":""},{"dropping-particle":"","family":"Zhang","given":"Yipeng","non-dropping-particle":"","parse-names":false,"suffix":""},{"dropping-particle":"","family":"Yang","given":"Hongling","non-dropping-particle":"","parse-names":false,"suffix":""},{"dropping-particle":"","family":"Long","given":"Yan","non-dropping-particle":"","parse-names":false,"suffix":""},{"dropping-particle":"","family":"Liang","given":"Qihua","non-dropping-particle":"","parse-names":false,"suffix":""},{"dropping-particle":"","family":"Zheng","given":"Zaoxiong","non-dropping-particle":"","parse-names":false,"suffix":""}],"container-title":"Clinical and Experimental Hypertension","id":"ITEM-1","issue":"2","issued":{"date-parts":[["2017"]]},"page":"108-113","title":"MiR-942 decreased before 20 weeks gestation in women with preeclampsia and was associated with the pathophysiology of preeclampsia in vitro","type":"article-journal","volume":"39"},"uris":["http://www.mendeley.com/documents/?uuid=62b2a38e-1788-37fb-862c-66a33b744b56"]}],"mendeley":{"formattedCitation":"(Zhang et al., 2017)","plainTextFormattedCitation":"(Zhang et al., 2017)","previouslyFormattedCitation":"(Zhang et al., 2017)"},"properties":{"noteIndex":0},"schema":"https://github.com/citation-style-language/schema/raw/master/csl-citation.json"}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(Zhang et al., 2017)</w:t>
            </w:r>
            <w:r>
              <w:rPr>
                <w:rFonts w:eastAsia="Times New Roman"/>
                <w:b/>
                <w:bCs/>
                <w:color w:val="000000"/>
                <w:sz w:val="18"/>
                <w:szCs w:val="18"/>
              </w:rPr>
              <w:fldChar w:fldCharType="end"/>
            </w:r>
          </w:p>
          <w:p w:rsidR="00264072" w:rsidRDefault="00E33D6E" w:rsidP="006D38DA">
            <w:pPr>
              <w:spacing w:before="0" w:after="0"/>
              <w:jc w:val="center"/>
              <w:rPr>
                <w:rFonts w:eastAsia="Times New Roman"/>
                <w:bCs/>
                <w:color w:val="000000"/>
                <w:sz w:val="18"/>
                <w:szCs w:val="18"/>
              </w:rPr>
            </w:pPr>
            <w:r w:rsidRPr="00E33D6E">
              <w:rPr>
                <w:rFonts w:eastAsia="Times New Roman"/>
                <w:bCs/>
                <w:color w:val="000000"/>
                <w:sz w:val="18"/>
                <w:szCs w:val="18"/>
              </w:rPr>
              <w:t>Demirer 2019</w:t>
            </w:r>
          </w:p>
          <w:p w:rsidR="00641EA0" w:rsidRDefault="003F2CFC" w:rsidP="0055365D">
            <w:pPr>
              <w:spacing w:before="0" w:after="0"/>
              <w:jc w:val="center"/>
              <w:rPr>
                <w:rFonts w:eastAsia="Times New Roman"/>
                <w:bCs/>
                <w:color w:val="000000"/>
                <w:sz w:val="18"/>
                <w:szCs w:val="18"/>
              </w:rPr>
            </w:pPr>
            <w:r>
              <w:rPr>
                <w:rFonts w:eastAsia="Times New Roman"/>
                <w:bCs/>
                <w:color w:val="000000"/>
                <w:sz w:val="18"/>
                <w:szCs w:val="18"/>
              </w:rPr>
              <w:t>Sheng 2020</w:t>
            </w:r>
          </w:p>
          <w:p w:rsidR="00641EA0" w:rsidRPr="00264072" w:rsidRDefault="00641EA0" w:rsidP="0055365D">
            <w:pPr>
              <w:spacing w:before="0" w:after="0"/>
              <w:jc w:val="center"/>
              <w:rPr>
                <w:rFonts w:eastAsia="Times New Roman"/>
                <w:bCs/>
                <w:color w:val="000000"/>
                <w:sz w:val="18"/>
                <w:szCs w:val="18"/>
              </w:rPr>
            </w:pPr>
            <w:r>
              <w:rPr>
                <w:rFonts w:eastAsia="Times New Roman"/>
                <w:bCs/>
                <w:color w:val="000000"/>
                <w:sz w:val="18"/>
                <w:szCs w:val="18"/>
              </w:rPr>
              <w:t>Luizon 2021</w:t>
            </w:r>
          </w:p>
        </w:tc>
      </w:tr>
      <w:tr w:rsidR="00871AAB" w:rsidRPr="00C65098" w:rsidTr="00DB48CC">
        <w:trPr>
          <w:trHeight w:val="300"/>
        </w:trPr>
        <w:tc>
          <w:tcPr>
            <w:tcW w:w="5542" w:type="dxa"/>
            <w:shd w:val="clear" w:color="auto" w:fill="auto"/>
            <w:noWrap/>
            <w:vAlign w:val="bottom"/>
            <w:hideMark/>
          </w:tcPr>
          <w:p w:rsidR="00871AAB" w:rsidRPr="00871AAB" w:rsidRDefault="00E33D6E" w:rsidP="006D38DA">
            <w:pPr>
              <w:spacing w:before="0" w:after="0"/>
              <w:jc w:val="center"/>
              <w:rPr>
                <w:rFonts w:eastAsia="Times New Roman"/>
                <w:color w:val="000000"/>
                <w:sz w:val="18"/>
                <w:szCs w:val="18"/>
              </w:rPr>
            </w:pPr>
            <w:r w:rsidRPr="00E33D6E">
              <w:rPr>
                <w:rFonts w:cs="Times"/>
                <w:color w:val="000000"/>
                <w:sz w:val="18"/>
                <w:szCs w:val="18"/>
              </w:rPr>
              <w:t>The diagnostic criteria for PE followed that of the American College of Obstetricians and Gynecologists, with either severe hypertension (≥160 mmHg and/or 110 mmHg) plus mild proteinuria or mild hypertension plus severe proteinuria (&gt;2 g/24 h or &gt;2+)</w:t>
            </w:r>
          </w:p>
        </w:tc>
        <w:tc>
          <w:tcPr>
            <w:tcW w:w="3483" w:type="dxa"/>
            <w:shd w:val="clear" w:color="auto" w:fill="auto"/>
            <w:noWrap/>
            <w:vAlign w:val="bottom"/>
            <w:hideMark/>
          </w:tcPr>
          <w:p w:rsidR="00871AAB" w:rsidRPr="00C65098" w:rsidRDefault="00871AAB" w:rsidP="006D38DA">
            <w:pPr>
              <w:spacing w:before="0" w:after="0"/>
              <w:jc w:val="center"/>
              <w:rPr>
                <w:rFonts w:eastAsia="Times New Roman"/>
                <w:b/>
                <w:bCs/>
                <w:color w:val="000000"/>
                <w:sz w:val="18"/>
                <w:szCs w:val="18"/>
              </w:rPr>
            </w:pPr>
            <w:r>
              <w:rPr>
                <w:rFonts w:eastAsia="Times New Roman"/>
                <w:b/>
                <w:bCs/>
                <w:color w:val="000000"/>
                <w:sz w:val="18"/>
                <w:szCs w:val="18"/>
              </w:rPr>
              <w:t>ACOG no year</w:t>
            </w:r>
          </w:p>
        </w:tc>
        <w:tc>
          <w:tcPr>
            <w:tcW w:w="873" w:type="dxa"/>
          </w:tcPr>
          <w:p w:rsidR="00871AAB" w:rsidRDefault="00E33D6E" w:rsidP="006D38DA">
            <w:pPr>
              <w:spacing w:before="0" w:after="0"/>
              <w:jc w:val="center"/>
              <w:rPr>
                <w:rFonts w:eastAsia="Times New Roman"/>
                <w:bCs/>
                <w:color w:val="000000"/>
                <w:sz w:val="18"/>
                <w:szCs w:val="18"/>
              </w:rPr>
            </w:pPr>
            <w:r w:rsidRPr="00E33D6E">
              <w:rPr>
                <w:rFonts w:eastAsia="Times New Roman"/>
                <w:bCs/>
                <w:color w:val="000000"/>
                <w:sz w:val="18"/>
                <w:szCs w:val="18"/>
              </w:rPr>
              <w:t>Zheng W 2020</w:t>
            </w:r>
          </w:p>
          <w:p w:rsidR="000F66DD" w:rsidRPr="00871AAB" w:rsidRDefault="008343C9" w:rsidP="00DE63CB">
            <w:pPr>
              <w:spacing w:before="0" w:after="0"/>
              <w:jc w:val="center"/>
              <w:rPr>
                <w:rFonts w:eastAsia="Times New Roman"/>
                <w:bCs/>
                <w:color w:val="000000"/>
                <w:sz w:val="18"/>
                <w:szCs w:val="18"/>
              </w:rPr>
            </w:pPr>
            <w:r>
              <w:rPr>
                <w:rFonts w:eastAsia="Times New Roman"/>
                <w:bCs/>
                <w:color w:val="000000"/>
                <w:sz w:val="18"/>
                <w:szCs w:val="18"/>
              </w:rPr>
              <w:t>Zhao 2021</w:t>
            </w:r>
            <w:r w:rsidR="000F66DD">
              <w:rPr>
                <w:rFonts w:eastAsia="Times New Roman"/>
                <w:bCs/>
                <w:color w:val="000000"/>
                <w:sz w:val="18"/>
                <w:szCs w:val="18"/>
              </w:rPr>
              <w:t>a</w:t>
            </w:r>
          </w:p>
        </w:tc>
      </w:tr>
      <w:tr w:rsidR="00CD17F0" w:rsidRPr="00C65098" w:rsidTr="00DB48CC">
        <w:trPr>
          <w:trHeight w:val="30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noWrap/>
            <w:vAlign w:val="bottom"/>
            <w:hideMark/>
          </w:tcPr>
          <w:p w:rsidR="00CD17F0" w:rsidRPr="00C65098" w:rsidRDefault="00CD17F0" w:rsidP="006D38DA">
            <w:pPr>
              <w:spacing w:before="0" w:after="0"/>
              <w:jc w:val="center"/>
              <w:rPr>
                <w:rFonts w:eastAsia="Times New Roman"/>
                <w:b/>
                <w:bCs/>
                <w:color w:val="000000"/>
                <w:sz w:val="18"/>
                <w:szCs w:val="18"/>
              </w:rPr>
            </w:pPr>
            <w:r w:rsidRPr="00C65098">
              <w:rPr>
                <w:rFonts w:eastAsia="Times New Roman"/>
                <w:b/>
                <w:bCs/>
                <w:color w:val="000000"/>
                <w:sz w:val="18"/>
                <w:szCs w:val="18"/>
              </w:rPr>
              <w:t>ACOG 2013</w:t>
            </w:r>
          </w:p>
        </w:tc>
        <w:tc>
          <w:tcPr>
            <w:tcW w:w="873" w:type="dxa"/>
          </w:tcPr>
          <w:p w:rsidR="00CD17F0" w:rsidRPr="00C65098"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{"citationItems":[{"id":"ITEM-1","itemData":{"DOI":"10.1080/10641955.2016.1259627","abstract":"Defects in angiogenesis and mitochondrial function in the placenta contribute to the pathogenesis of preeclampsia; however upstream regulators of these pathways are not known. It has been argued that placental hypoxia secondary to abnormal spiral artery remodeling may play a causal role in the angiogenic and mitochondrial abnormalities noted in preeclampsia. The aim of this study was to evaluate the relationship between hypoxia-inducible factor-1α (HIF-1α) ¸ a surrogate of hypoxia, and soluble fms-tyrosine kinase 1 (sFlt1), a circulating anti-angiogenic factor, and microRNA 210 (miR-210), a microRNA that regulates mitochondrial function, in human placentas from preeclamptic and non-hypertensive pregnancies. We first confirmed a 2.5-fold upregulation of HIF-1α protein in placentas from preeclampsia when compared to non-hypertensive controls. Consistent with prior studies, we also observed a 10-fold upregulated sFlt1 mRNA and 2-fold upregulated miR-210 in preeclamptic tissue. Interestingly, while sFlt1 mRNA correlated with miR-210 in preeclampsia (R2 = 0.77, p = 0.0004), there were no significant correlations between these molecules and HIF1α expression. We conclude that non-hypoxia pathways may be involved in the abnormal angiogenic and metabolic alterations noted in preeclampsia.","author":[{"dropping-particle":"","family":"Korkes","given":"Henri Augusto","non-dropping-particle":"","parse-names":false,"suffix":""},{"dropping-particle":"","family":"Oliveira","given":"Leandro","non-dropping-particle":"De","parse-names":false,"suffix":""},{"dropping-particle":"","family":"Sass","given":"Nelson","non-dropping-particle":"","parse-names":false,"suffix":""},{"dropping-particle":"","family":"Salahuddin","given":"Saira","non-dropping-particle":"","parse-names":false,"suffix":""},{"dropping-particle":"","family":"Karumanchi","given":"S. Ananth","non-dropping-particle":"","parse-names":false,"suffix":""},{"dropping-particle":"","family":"Rajakumar","given":"Augustine","non-dropping-particle":"","parse-names":false,"suffix":""}],"container-title":"Hypertension in Pregnancy","id":"ITEM-1","issue":"2","issued":{"date-parts":[["2017"]]},"page":"145-150","title":"Relationship between hypoxia and downstream pathogenic pathways in preeclampsia","type":"article-journal","volume":"36"},"uris":["http://www.mendeley.com/documents/?uuid=62bd4900-d67a-31de-bedf-cda2ed50b0d0"]}],"mendeley":{"formattedCitation":"(Korkes et al., 2017)","plainTextFormattedCitation":"(Korkes et al., 2017)","previouslyFormattedCitation":"(Korkes et al., 2017)"},"properties":{"noteIndex":0},"schema":"https://github.com/citation-style-language/schema/raw/master/csl-citation.json"}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(Korkes et al., 2017)</w:t>
            </w:r>
            <w:r>
              <w:rPr>
                <w:rFonts w:eastAsia="Times New Roman"/>
                <w:b/>
                <w:bCs/>
                <w:color w:val="000000"/>
                <w:sz w:val="18"/>
                <w:szCs w:val="18"/>
              </w:rPr>
              <w:fldChar w:fldCharType="end"/>
            </w:r>
          </w:p>
        </w:tc>
      </w:tr>
      <w:tr w:rsidR="00CD17F0" w:rsidRPr="00291E4E" w:rsidTr="00DB48CC">
        <w:trPr>
          <w:trHeight w:val="65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either severe hypertension or severe proteinuria in accordance with the International Society for the Study of Hypertension in Pregnancy</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{"citationItems":[{"id":"ITEM-1","itemData":{"DOI":"10.1016/j.biopha.2017.07.082","abstract":"Preeclampsia (PE) is a pregnancy-specific disorder representing a major cause of maternal and perinatal morbidity and mortality. MicroRNAs (miRNAs) have emerged as critical regulators in PE. However, the precise role of miRNAs in PE remains poorly understood. In this study, we aimed to investigate the potential role of miR-23a and the underlying mechanism in regulating trophoblast cell apoptosis. We found a significant increase of miR-23a expression in placental tissues from PE patients. Lentivirus-mediated miR-23a overexpression significantly induced apoptosis in trophoblast cells in vitro. X-linked inhibitor of apoptosis (XIAP) was identified as a target gene of miR-23a by bioinformatics analysis and dual-luciferase reporter assay. Overexpression of miR-23a significantly inhibited XIAP expression. Knockdown of XIAP also induced trophoblast cell apoptosis. Moreover, restoration of XIAP expression significantly abolished the miR-23 overexpression-induced trophoblast cell apoptosis. Taken together, our study demonstrates that miR-23a induces trophoblast cell apoptosis by inhibiting XIAP, which may contribute to PE. Our findings provide novel insights into understanding the pathogenesis of PE and suggest a potential therapeutic target in PE.","author":[{"dropping-particle":"","family":"Li","given":"Lichun","non-dropping-particle":"","parse-names":false,"suffix":""},{"dropping-particle":"","family":"Hou","given":"Aiqin","non-dropping-particle":"","parse-names":false,"suffix":""},{"dropping-particle":"","family":"Gao","given":"Xia","non-dropping-particle":"","parse-names":false,"suffix":""},{"dropping-particle":"","family":"Zhang","given":"Juan","non-dropping-particle":"","parse-names":false,"suffix":""},{"dropping-particle":"","family":"Zhang","given":"Liping","non-dropping-particle":"","parse-names":false,"suffix":""},{"dropping-particle":"","family":"Wang","given":"Juan","non-dropping-particle":"","parse-names":false,"suffix":""},{"dropping-particle":"","family":"Li","given":"Hua","non-dropping-particle":"","parse-names":false,"suffix":""},{"dropping-particle":"","family":"Song","given":"Yanbin","non-dropping-particle":"","parse-names":false,"suffix":""}],"container-title":"Biomedicine and Pharmacotherapy","id":"ITEM-1","issued":{"date-parts":[["2017"]]},"page":"412-417","title":"Lentivirus-mediated miR-23a overexpression induces trophoblast cell apoptosis through inhibiting X-linked inhibitor of apoptosis","type":"article-journal","volume":"94"},"uris":["http://www.mendeley.com/documents/?uuid=f168f405-2c83-34fa-ac4a-3eda44eb60fe"]}],"mendeley":{"formattedCitation":"(Li et al., 2017a)","plainTextFormattedCitation":"(Li et al., 2017a)","previouslyFormattedCitation":"(Li et al., 2017a)"},"properties":{"noteIndex":0},"schema":"https://github.com/citation-style-language/schema/raw/master/csl-citation.json"}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(Li et al., 2017a)</w:t>
            </w:r>
            <w:r>
              <w:rPr>
                <w:rFonts w:eastAsia="Times New Roman"/>
                <w:color w:val="000000"/>
                <w:sz w:val="18"/>
                <w:szCs w:val="18"/>
              </w:rPr>
              <w:fldChar w:fldCharType="end"/>
            </w:r>
          </w:p>
        </w:tc>
      </w:tr>
      <w:tr w:rsidR="00CD17F0" w:rsidRPr="00291E4E" w:rsidTr="00DB48CC">
        <w:trPr>
          <w:trHeight w:val="692"/>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gestational hypertension (systolic pressure &gt; 140 mmHg or diastolic blood pressure &gt; 90 mmHg on two or more occasions after gestational week 20) with proteinuria (&gt; 0.3g/day)</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{"citationItems":[{"id":"ITEM-1","itemData":{"DOI":"10.1159/000478069","abstract":"Background/Aims: Mesenchymal stem cells (MSCs) play an important role in regulating angiogenesis and immune balance. Abnormal proliferation and function of MSCs were reported at maternal fetal interface in patients with pre-eclampsia (PE). Micro-RNA-495 was known to be upregulated in the MSCs derived from patients with PE. However, it is not clear whether the up-regulated miR-495 is related to the pathogenesis of PE. Methods: We analyzed the expression of miR-495 in MSCs and umbilical cords derived from healthy pregnancies (NC) and PE, then we upregulated or downregulated the expression of miR-495 in MSCs derived from NC and tested the proliferation, apoptosis, migration, invasion, tube formation and senescence. Results: In the current study, we found that the expression of miR-495 was significantly increased in both umbilical cord tissues and MSCs in patients with severe PE. Overexpressing miR-495 arrested cell cycle in S phase and promoted cell apoptosis. The supernatants from miR-495-overexpressed-MSCs inhibited the migration of MSCs and HTR-8/SVneo, invasion of HTR-8/SVneo and tube formation of HUVEC, while si-miR-495 had the opposite effects. Furthermore, we analyzed the senescence related β-galactosidase activity and CD146 and found that miR-495 induced the senescence of MSCs. Molecular mechanism studies confirmed that Bmi-1 mediated these effects of miR-495 on MSCs. Conclusion: Taken together, our data demonstrated that miR-495 induced senescence of MSCs may be involved in the pathogenesis of PE.","author":[{"dropping-particle":"","family":"Li","given":"Xiujun","non-dropping-particle":"","parse-names":false,"suffix":""},{"dropping-particle":"","family":"Song","given":"Yuxian","non-dropping-particle":"","parse-names":false,"suffix":""},{"dropping-particle":"","family":"Liu","given":"Dan","non-dropping-particle":"","parse-names":false,"suffix":""},{"dropping-particle":"","family":"Zhao","given":"Jiaojiao","non-dropping-particle":"","parse-names":false,"suffix":""},{"dropping-particle":"","family":"Xu","given":"Jingjing","non-dropping-particle":"","parse-names":false,"suffix":""},{"dropping-particle":"","family":"Ren","given":"Jing","non-dropping-particle":"","parse-names":false,"suffix":""},{"dropping-particle":"","family":"Hu","given":"Yali","non-dropping-particle":"","parse-names":false,"suffix":""},{"dropping-particle":"","family":"Wang","given":"Zhiqun","non-dropping-particle":"","parse-names":false,"suffix":""},{"dropping-particle":"","family":"Hou","given":"Yayi","non-dropping-particle":"","parse-names":false,"suffix":""},{"dropping-particle":"","family":"Zhao","given":"Guangfeng","non-dropping-particle":"","parse-names":false,"suffix":""}],"container-title":"Cellular Physiology and Biochemistry","id":"ITEM-1","issue":"2","issued":{"date-parts":[["2017"]]},"page":"780-796","title":"MiR-495 Promotes Senescence of Mesenchymal Stem Cells by Targeting Bmi-1","type":"article-journal","volume":"42"},"uris":["http://www.mendeley.com/documents/?uuid=dac6ead1-ed52-38ec-84ad-6e9f0907095e"]}],"mendeley":{"formattedCitation":"(Li et al., 2017b)","plainTextFormattedCitation":"(Li et al., 2017b)","previouslyFormattedCitation":"(Li et al., 2017b)"},"properties":{"noteIndex":0},"schema":"https://github.com/citation-style-language/schema/raw/master/csl-citation.json"}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(Li et al., 2017b)</w:t>
            </w:r>
            <w:r>
              <w:rPr>
                <w:rFonts w:eastAsia="Times New Roman"/>
                <w:color w:val="000000"/>
                <w:sz w:val="18"/>
                <w:szCs w:val="18"/>
              </w:rPr>
              <w:fldChar w:fldCharType="end"/>
            </w:r>
          </w:p>
          <w:p w:rsidR="00CD17F0" w:rsidRDefault="00CD17F0" w:rsidP="006D38DA">
            <w:pPr>
              <w:spacing w:before="0" w:after="0"/>
              <w:jc w:val="center"/>
              <w:rPr>
                <w:rFonts w:eastAsia="Times New Roman"/>
                <w:color w:val="000000"/>
                <w:sz w:val="18"/>
                <w:szCs w:val="18"/>
              </w:rPr>
            </w:pPr>
            <w:r>
              <w:rPr>
                <w:rFonts w:eastAsia="Times New Roman"/>
                <w:color w:val="000000"/>
                <w:sz w:val="18"/>
                <w:szCs w:val="18"/>
              </w:rPr>
              <w:t>Ayoub2019</w:t>
            </w:r>
          </w:p>
          <w:p w:rsidR="008343C9" w:rsidRPr="00291E4E" w:rsidRDefault="008343C9" w:rsidP="006D38DA">
            <w:pPr>
              <w:spacing w:before="0" w:after="0"/>
              <w:jc w:val="center"/>
              <w:rPr>
                <w:rFonts w:eastAsia="Times New Roman"/>
                <w:color w:val="000000"/>
                <w:sz w:val="18"/>
                <w:szCs w:val="18"/>
              </w:rPr>
            </w:pPr>
          </w:p>
        </w:tc>
      </w:tr>
      <w:tr w:rsidR="00CD17F0" w:rsidRPr="00C65098" w:rsidTr="00DB48CC">
        <w:trPr>
          <w:trHeight w:val="30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noWrap/>
            <w:vAlign w:val="bottom"/>
            <w:hideMark/>
          </w:tcPr>
          <w:p w:rsidR="00CD17F0" w:rsidRPr="00C65098" w:rsidRDefault="00CD17F0" w:rsidP="006D38DA">
            <w:pPr>
              <w:spacing w:before="0" w:after="0"/>
              <w:jc w:val="center"/>
              <w:rPr>
                <w:rFonts w:eastAsia="Times New Roman"/>
                <w:b/>
                <w:bCs/>
                <w:color w:val="000000"/>
                <w:sz w:val="18"/>
                <w:szCs w:val="18"/>
              </w:rPr>
            </w:pPr>
            <w:r w:rsidRPr="00C65098">
              <w:rPr>
                <w:rFonts w:eastAsia="Times New Roman"/>
                <w:b/>
                <w:bCs/>
                <w:color w:val="000000"/>
                <w:sz w:val="18"/>
                <w:szCs w:val="18"/>
              </w:rPr>
              <w:t>ACOG no year</w:t>
            </w:r>
          </w:p>
        </w:tc>
        <w:tc>
          <w:tcPr>
            <w:tcW w:w="873" w:type="dxa"/>
          </w:tcPr>
          <w:p w:rsidR="00CD17F0" w:rsidRPr="00C65098"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{"citationItems":[{"id":"ITEM-1","itemData":{"abstract":"Preeclampsia (","author":[{"dropping-particle":"","family":"Luo","given":"Shouling","non-dropping-particle":"","parse-names":false,"suffix":""},{"dropping-particle":"","family":"Li","given":"Han","non-dropping-particle":"","parse-names":false,"suffix":""},{"dropping-particle":"","family":"Cao","given":"Nannan","non-dropping-particle":"","parse-names":false,"suffix":""},{"dropping-particle":"","family":"Tang","given":"Yao","non-dropping-particle":"","parse-names":false,"suffix":""},{"dropping-particle":"","family":"Gu","given":"Weirong","non-dropping-particle":"","parse-names":false,"suffix":""}],"container-title":"Int J Clin Exp Pathol","id":"ITEM-1","issue":"5","issued":{"date-parts":[["2017"]]},"page":"5205-5212","title":"MicroRNA-148a affects functions of placental trophoblast cells in preeclampsia by regulating HLA-G","type":"article-journal","volume":"10"},"uris":["http://www.mendeley.com/documents/?uuid=1e0cc94c-10be-3f74-8f97-e32f1c0b807a"]}],"mendeley":{"formattedCitation":"(Luo et al., 2017b)","plainTextFormattedCitation":"(Luo et al., 2017b)","previouslyFormattedCitation":"(Luo et al., 2017b)"},"properties":{"noteIndex":0},"schema":"https://github.com/citation-style-language/schema/raw/master/csl-citation.json"}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(Luo et al., 2017b)</w:t>
            </w:r>
            <w:r>
              <w:rPr>
                <w:rFonts w:eastAsia="Times New Roman"/>
                <w:b/>
                <w:bCs/>
                <w:color w:val="000000"/>
                <w:sz w:val="18"/>
                <w:szCs w:val="18"/>
              </w:rPr>
              <w:fldChar w:fldCharType="end"/>
            </w:r>
          </w:p>
        </w:tc>
      </w:tr>
      <w:tr w:rsidR="00CD17F0" w:rsidRPr="00291E4E" w:rsidTr="00DB48CC">
        <w:trPr>
          <w:trHeight w:val="557"/>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new-onset hypertension [(BP) blood</w:t>
            </w:r>
            <w:r>
              <w:rPr>
                <w:rFonts w:eastAsia="Times New Roman"/>
                <w:color w:val="000000"/>
                <w:sz w:val="18"/>
                <w:szCs w:val="18"/>
              </w:rPr>
              <w:t xml:space="preserve"> </w:t>
            </w:r>
            <w:r w:rsidRPr="00291E4E">
              <w:rPr>
                <w:rFonts w:eastAsia="Times New Roman"/>
                <w:color w:val="000000"/>
                <w:sz w:val="18"/>
                <w:szCs w:val="18"/>
              </w:rPr>
              <w:t>pressure ≥140/90mmHg on two separate occasions at least 6 h apart or BP ≥160/110mmHg)]and proteinuria (&gt;300mg/24h) after 20 weeks of gestation in previously normotensive women</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{"citationItems":[{"id":"ITEM-1","itemData":{"DOI":"10.1210/jc.2017-00672","abstract":"Context: There is a need to develop strategies for early prediction of patients who will develop preeclampsia (PE) to establish preventive strategies to reduce the prevalence and severity of the disease and their associated complications. Objective: The objective of this study was to investigate whether exosomes and their microRNA cargo present in maternal circulation can be used as early biomarker for PE. Design, Setting, Patients, and Interventions: A retrospective stratified study design was used to quantify total exosomes and placenta-derived exosomes present in maternal plasma of normal (n = 32 per time point) and PE (n = 15 per time point) pregnancies. Exosomes present in maternal circulation were determined by nanoparticle tracking analysis. An Illumina TruSeq® Small RNA Library Prep Kit was used to construct a small RNA library from exosomal RNA obtained from plasma samples. Results: In presymptomatic women, who subsequently developed PE, the concentration of total exosomes and placenta-derived exosomes in maternal plasma was significantly greater than those observed in controls, throughout pregnancy. The area under the receiver operating characteristic curves for total exosome and placenta-derived exosome concentrations were 0.745 6 0.094 and 0.829 6 0.077, respectively. In total, over 300 microRNAs were identified in exosomes across gestation, where hsa-miR-486-1-5p and hsa-miR-486-2-5p were identified as the candidate microRNAs. Conclusions: Although the role of exosomes during PE remains to be fully elucidated, we suggest that the concentration and content of exosomes may be of diagnostic utility for women at risk for developing PE.","author":[{"dropping-particle":"","family":"Salomon","given":"Carlos","non-dropping-particle":"","parse-names":false,"suffix":""},{"dropping-particle":"","family":"Guanzon","given":"Dominic","non-dropping-particle":"","parse-names":false,"suffix":""},{"dropping-particle":"","family":"Scholz-Romero","given":"Katherin","non-dropping-particle":"","parse-names":false,"suffix":""},{"dropping-particle":"","family":"Longo","given":"Sherri","non-dropping-particle":"","parse-names":false,"suffix":""},{"dropping-particle":"","family":"Correa","given":"Paula","non-dropping-particle":"","parse-names":false,"suffix":""},{"dropping-particle":"","family":"Illanes","given":"Sebastian E.","non-dropping-particle":"","parse-names":false,"suffix":""},{"dropping-particle":"","family":"Rice","given":"Gregory E.","non-dropping-particle":"","parse-names":false,"suffix":""}],"container-title":"Journal of Clinical Endocrinology and Metabolism","id":"ITEM-1","issue":"9","issued":{"date-parts":[["2017"]]},"page":"3182-3194","title":"Placental exosomes as early biomarker of preeclampsia: Potential role of exosomalmicrornas across gestation","type":"article-journal","volume":"102"},"uris":["http://www.mendeley.com/documents/?uuid=1b5c5d99-53ec-3a49-a34c-49eb06865b59"]}],"mendeley":{"formattedCitation":"(Salomon et al., 2017)","plainTextFormattedCitation":"(Salomon et al., 2017)","previouslyFormattedCitation":"(Salomon et al., 2017)"},"properties":{"noteIndex":0},"schema":"https://github.com/citation-style-language/schema/raw/master/csl-citation.json"}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(Salomon et al., 2017)</w:t>
            </w:r>
            <w:r>
              <w:rPr>
                <w:rFonts w:eastAsia="Times New Roman"/>
                <w:color w:val="000000"/>
                <w:sz w:val="18"/>
                <w:szCs w:val="18"/>
              </w:rPr>
              <w:fldChar w:fldCharType="end"/>
            </w:r>
          </w:p>
        </w:tc>
      </w:tr>
      <w:tr w:rsidR="00CD17F0" w:rsidRPr="00291E4E" w:rsidTr="00DB48CC">
        <w:trPr>
          <w:trHeight w:val="27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new-onset hypertension [(BP) blood</w:t>
            </w:r>
            <w:r>
              <w:rPr>
                <w:rFonts w:eastAsia="Times New Roman"/>
                <w:color w:val="000000"/>
                <w:sz w:val="18"/>
                <w:szCs w:val="18"/>
              </w:rPr>
              <w:t xml:space="preserve"> </w:t>
            </w:r>
            <w:r w:rsidRPr="00291E4E">
              <w:rPr>
                <w:rFonts w:eastAsia="Times New Roman"/>
                <w:color w:val="000000"/>
                <w:sz w:val="18"/>
                <w:szCs w:val="18"/>
              </w:rPr>
              <w:t xml:space="preserve">pressure </w:t>
            </w:r>
            <w:r>
              <w:rPr>
                <w:rFonts w:eastAsia="Times New Roman"/>
                <w:color w:val="000000"/>
                <w:sz w:val="18"/>
                <w:szCs w:val="18"/>
              </w:rPr>
              <w:t>≥</w:t>
            </w:r>
            <w:r w:rsidRPr="00291E4E">
              <w:rPr>
                <w:rFonts w:eastAsia="Times New Roman"/>
                <w:color w:val="000000"/>
                <w:sz w:val="18"/>
                <w:szCs w:val="18"/>
              </w:rPr>
              <w:t xml:space="preserve">140/90mmHg on two separate occasions at least 6h apart or BP </w:t>
            </w:r>
            <w:r>
              <w:rPr>
                <w:rFonts w:eastAsia="Times New Roman"/>
                <w:color w:val="000000"/>
                <w:sz w:val="18"/>
                <w:szCs w:val="18"/>
              </w:rPr>
              <w:t>≥</w:t>
            </w:r>
            <w:r w:rsidRPr="00291E4E">
              <w:rPr>
                <w:rFonts w:eastAsia="Times New Roman"/>
                <w:color w:val="000000"/>
                <w:sz w:val="18"/>
                <w:szCs w:val="18"/>
              </w:rPr>
              <w:t>160/110mmHg)]and proteinuria (&gt;300mg/24h) after 20 weeks of gestation in previously normotensive</w:t>
            </w:r>
            <w:r>
              <w:rPr>
                <w:rFonts w:eastAsia="Times New Roman"/>
                <w:color w:val="000000"/>
                <w:sz w:val="18"/>
                <w:szCs w:val="18"/>
              </w:rPr>
              <w:t xml:space="preserve"> </w:t>
            </w:r>
            <w:r w:rsidRPr="00291E4E">
              <w:rPr>
                <w:rFonts w:eastAsia="Times New Roman"/>
                <w:color w:val="000000"/>
                <w:sz w:val="18"/>
                <w:szCs w:val="18"/>
              </w:rPr>
              <w:t>women</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The International Society for the Study of</w:t>
            </w:r>
            <w:r>
              <w:rPr>
                <w:rFonts w:eastAsia="Times New Roman"/>
                <w:color w:val="000000"/>
                <w:sz w:val="18"/>
                <w:szCs w:val="18"/>
              </w:rPr>
              <w:t xml:space="preserve"> </w:t>
            </w:r>
            <w:r w:rsidRPr="00291E4E">
              <w:rPr>
                <w:rFonts w:eastAsia="Times New Roman"/>
                <w:color w:val="000000"/>
                <w:sz w:val="18"/>
                <w:szCs w:val="18"/>
              </w:rPr>
              <w:t xml:space="preserve">Hypertension in Pregnancy </w:t>
            </w:r>
            <w:r w:rsidRPr="00291E4E">
              <w:rPr>
                <w:rFonts w:eastAsia="Times New Roman"/>
                <w:b/>
                <w:bCs/>
                <w:color w:val="000000"/>
                <w:sz w:val="18"/>
                <w:szCs w:val="18"/>
              </w:rPr>
              <w:t>ISSHP 2013</w:t>
            </w:r>
            <w:r>
              <w:rPr>
                <w:rFonts w:eastAsia="Times New Roman"/>
                <w:b/>
                <w:bCs/>
                <w:color w:val="000000"/>
                <w:sz w:val="18"/>
                <w:szCs w:val="18"/>
              </w:rPr>
              <w:t xml:space="preserve"> </w:t>
            </w:r>
            <w:r w:rsidRPr="00291E4E">
              <w:rPr>
                <w:rFonts w:eastAsia="Times New Roman"/>
                <w:color w:val="000000"/>
                <w:sz w:val="18"/>
                <w:szCs w:val="18"/>
              </w:rPr>
              <w:t>Tranquilli AL, Brown MA, Zeeman GG, Dekker G, Sibai BM. The definition of severe and early-onset</w:t>
            </w:r>
            <w:r>
              <w:rPr>
                <w:rFonts w:eastAsia="Times New Roman"/>
                <w:color w:val="000000"/>
                <w:sz w:val="18"/>
                <w:szCs w:val="18"/>
              </w:rPr>
              <w:t xml:space="preserve"> </w:t>
            </w:r>
            <w:r w:rsidRPr="00291E4E">
              <w:rPr>
                <w:rFonts w:eastAsia="Times New Roman"/>
                <w:color w:val="000000"/>
                <w:sz w:val="18"/>
                <w:szCs w:val="18"/>
              </w:rPr>
              <w:t>preeclampsia. Statements from the International Society for the Study of Hypertension in Pregnancy</w:t>
            </w:r>
            <w:r>
              <w:rPr>
                <w:rFonts w:eastAsia="Times New Roman"/>
                <w:color w:val="000000"/>
                <w:sz w:val="18"/>
                <w:szCs w:val="18"/>
              </w:rPr>
              <w:t xml:space="preserve"> </w:t>
            </w:r>
            <w:r w:rsidRPr="00291E4E">
              <w:rPr>
                <w:rFonts w:eastAsia="Times New Roman"/>
                <w:color w:val="000000"/>
                <w:sz w:val="18"/>
                <w:szCs w:val="18"/>
              </w:rPr>
              <w:t>(</w:t>
            </w:r>
            <w:r w:rsidRPr="007A218E">
              <w:rPr>
                <w:rFonts w:eastAsia="Times New Roman"/>
                <w:b/>
                <w:bCs/>
                <w:color w:val="000000"/>
                <w:sz w:val="18"/>
                <w:szCs w:val="18"/>
              </w:rPr>
              <w:t>ISSHP</w:t>
            </w:r>
            <w:r w:rsidRPr="00291E4E">
              <w:rPr>
                <w:rFonts w:eastAsia="Times New Roman"/>
                <w:color w:val="000000"/>
                <w:sz w:val="18"/>
                <w:szCs w:val="18"/>
              </w:rPr>
              <w:t>). Pregnancy Hypertens. 2013; 3(1):44±7.</w:t>
            </w:r>
          </w:p>
        </w:tc>
        <w:tc>
          <w:tcPr>
            <w:tcW w:w="873" w:type="dxa"/>
          </w:tcPr>
          <w:p w:rsidR="00CD17F0"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{"citationItems":[{"id":"ITEM-1","itemData":{"DOI":"10.1371/journal.pone.0174514","abstract":"Our understanding of how cells communicate has undergone a paradigm shift since the recent recognition of the role of exosomes in intercellular signaling. In this study, we investigated whether oxygen tension alters the exosome release and miRNA profile from extravillous trophoblast (EVT) cells, modifying their bioactivity on endothelial cells (EC). Furthermore, we have established the exosomal miRNA profile at early gestation in women who develop pre-eclampsia (PE) and spontaneous preterm birth (SPTB). HTR-8/SVneo cells were used as an EVT model. The effect of oxygen tension (i.e. 8% and 1% oxygen) on exosome release was quantified using nanocrystals (Qdot®) coupled to CD63 by fluorescence NTA. A real-Time, live-cell imaging system (Incucyte™) was used to establish the effect of exosomes on EC. Plasma samples were obtained at early gestation (&gt;18 weeks) and classified according to pregnancy outcomes. An Illumina TrueSeq Small RNA kit was used to construct a small RNA library from exosomal RNA obtained from EVT and plasma samples. The number of exosomes was significantly higher in EVT cultured under 1% compared to 8% oxygen. In total, 741 miRNA were identified in exosomes from EVT. Bioinformatic analysis revealed that these miRNA were associated with cell migration and cytokine production. Interestingly, exosomes isolated from EVT cultured at 8% oxygen increased EC migration, whilst exosomes cultured at 1% oxygen decreased EC migration. These changes were inversely proportional to TNF-α released from EC. Finally, we have identified a set of unique miRNAs in exosomes from EVT cultured at 1% oxygen and exosomes isolated from the circulation of mothers at early gestation, who later developed PE and SPTB. We suggest that aberrant exosomal signalling by placental cells is a common aetiological factor in pregnancy complications characterised by incomplete SpA remodeling and is therefore a clinically relevant biomarker of pregnancy complications.","author":[{"dropping-particle":"","family":"Truong","given":"Grace","non-dropping-particle":"","parse-names":false,"suffix":""},{"dropping-particle":"","family":"Guanzon","given":"Dominic","non-dropping-particle":"","parse-names":false,"suffix":""},{"dropping-particle":"","family":"Kinhal","given":"Vyjayanthi","non-dropping-particle":"","parse-names":false,"suffix":""},{"dropping-particle":"","family":"Elfeky","given":"Omar","non-dropping-particle":"","parse-names":false,"suffix":""},{"dropping-particle":"","family":"Lai","given":"Andrew","non-dropping-particle":"","parse-names":false,"suffix":""},{"dropping-particle":"","family":"Longo","given":"Sherri","non-dropping-particle":"","parse-names":false,"suffix":""},{"dropping-particle":"","family":"Nuzhat","given":"Zarin","non-dropping-particle":"","parse-names":false,"suffix":""},{"dropping-particle":"","family":"Palma","given":"Carlos","non-dropping-particle":"","parse-names":false,"suffix":""},{"dropping-particle":"","family":"Scholz-Romero","given":"Katherin","non-dropping-particle":"","parse-names":false,"suffix":""},{"dropping-particle":"","family":"Menon","given":"Ramkumar","non-dropping-particle":"","parse-names":false,"suffix":""},{"dropping-particle":"","family":"Mol","given":"Ben W.","non-dropping-particle":"","parse-names":false,"suffix":""},{"dropping-particle":"","family":"Rice","given":"Gregory E.","non-dropping-particle":"","parse-names":false,"suffix":""},{"dropping-particle":"","family":"Salomon","given":"Carlos","non-dropping-particle":"","parse-names":false,"suffix":""}],"container-title":"PLoS ONE","id":"ITEM-1","issue":"3","issued":{"date-parts":[["2017"]]},"page":"e0174514","title":"Oxygen tension regulates the miRNA profile and bioactivity of exosomes released from extravillous trophoblast cells-Liquid biopsies for monitoring complications of pregnancy","type":"article-journal","volume":"12"},"uris":["http://www.mendeley.com/documents/?uuid=68d9c6e9-76d4-317e-9dd9-923f1c4bd178"]}],"mendeley":{"formattedCitation":"(Truong et al., 2017)","plainTextFormattedCitation":"(Truong et al., 2017)","previouslyFormattedCitation":"(Truong et al., 2017)"},"properties":{"noteIndex":0},"schema":"https://github.com/citation-style-language/schema/raw/master/csl-citation.json"}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(Truong et al., 2017)</w:t>
            </w:r>
            <w:r>
              <w:rPr>
                <w:rFonts w:eastAsia="Times New Roman"/>
                <w:color w:val="000000"/>
                <w:sz w:val="18"/>
                <w:szCs w:val="18"/>
              </w:rPr>
              <w:fldChar w:fldCharType="end"/>
            </w:r>
          </w:p>
          <w:p w:rsidR="00726BC6" w:rsidRDefault="00726BC6" w:rsidP="006D38DA">
            <w:pPr>
              <w:spacing w:before="0" w:after="0"/>
              <w:jc w:val="center"/>
              <w:rPr>
                <w:rFonts w:eastAsia="Times New Roman"/>
                <w:color w:val="000000"/>
                <w:sz w:val="18"/>
                <w:szCs w:val="18"/>
              </w:rPr>
            </w:pPr>
            <w:r>
              <w:rPr>
                <w:rFonts w:eastAsia="Times New Roman"/>
                <w:color w:val="000000"/>
                <w:sz w:val="18"/>
                <w:szCs w:val="18"/>
              </w:rPr>
              <w:t>Jelena 2020</w:t>
            </w:r>
          </w:p>
          <w:p w:rsidR="008464BE" w:rsidRPr="00291E4E" w:rsidRDefault="008464BE" w:rsidP="006D38DA">
            <w:pPr>
              <w:spacing w:before="0" w:after="0"/>
              <w:jc w:val="center"/>
              <w:rPr>
                <w:rFonts w:eastAsia="Times New Roman"/>
                <w:color w:val="000000"/>
                <w:sz w:val="18"/>
                <w:szCs w:val="18"/>
              </w:rPr>
            </w:pPr>
            <w:r>
              <w:rPr>
                <w:rFonts w:eastAsia="Times New Roman"/>
                <w:color w:val="000000"/>
                <w:sz w:val="18"/>
                <w:szCs w:val="18"/>
              </w:rPr>
              <w:t>Brodowski 2021</w:t>
            </w:r>
          </w:p>
        </w:tc>
      </w:tr>
      <w:tr w:rsidR="00CD17F0" w:rsidRPr="00291E4E" w:rsidTr="00DB48CC">
        <w:trPr>
          <w:trHeight w:val="946"/>
        </w:trPr>
        <w:tc>
          <w:tcPr>
            <w:tcW w:w="5542" w:type="dxa"/>
            <w:shd w:val="clear" w:color="auto" w:fill="auto"/>
            <w:vAlign w:val="bottom"/>
            <w:hideMark/>
          </w:tcPr>
          <w:p w:rsidR="00CD17F0" w:rsidRPr="00291E4E" w:rsidRDefault="00CD17F0" w:rsidP="00582E4F">
            <w:pPr>
              <w:spacing w:before="0" w:after="0"/>
              <w:jc w:val="center"/>
              <w:rPr>
                <w:rFonts w:eastAsia="Times New Roman"/>
                <w:color w:val="000000"/>
                <w:sz w:val="18"/>
                <w:szCs w:val="18"/>
              </w:rPr>
            </w:pPr>
            <w:r w:rsidRPr="00291E4E">
              <w:rPr>
                <w:rFonts w:eastAsia="Times New Roman"/>
                <w:color w:val="000000"/>
                <w:sz w:val="18"/>
                <w:szCs w:val="18"/>
              </w:rPr>
              <w:lastRenderedPageBreak/>
              <w:t>Preeclampsia was defined as</w:t>
            </w:r>
            <w:r>
              <w:rPr>
                <w:rFonts w:eastAsia="Times New Roman"/>
                <w:color w:val="000000"/>
                <w:sz w:val="18"/>
                <w:szCs w:val="18"/>
              </w:rPr>
              <w:t xml:space="preserve"> </w:t>
            </w:r>
            <w:r w:rsidRPr="00291E4E">
              <w:rPr>
                <w:rFonts w:eastAsia="Times New Roman"/>
                <w:color w:val="000000"/>
                <w:sz w:val="18"/>
                <w:szCs w:val="18"/>
              </w:rPr>
              <w:t xml:space="preserve">hypertension (systolic blood pressure </w:t>
            </w:r>
            <w:r w:rsidR="00582E4F">
              <w:rPr>
                <w:rFonts w:eastAsia="Times New Roman" w:cs="Times New Roman"/>
                <w:color w:val="000000"/>
                <w:sz w:val="18"/>
                <w:szCs w:val="18"/>
              </w:rPr>
              <w:t>≥</w:t>
            </w:r>
            <w:r w:rsidRPr="00291E4E">
              <w:rPr>
                <w:rFonts w:eastAsia="Times New Roman"/>
                <w:color w:val="000000"/>
                <w:sz w:val="18"/>
                <w:szCs w:val="18"/>
              </w:rPr>
              <w:t xml:space="preserve">140 mm Hg or diastolic blood pressure </w:t>
            </w:r>
            <w:r w:rsidR="00582E4F">
              <w:rPr>
                <w:rFonts w:eastAsia="Times New Roman" w:cs="Times New Roman"/>
                <w:color w:val="000000"/>
                <w:sz w:val="18"/>
                <w:szCs w:val="18"/>
              </w:rPr>
              <w:t>≥</w:t>
            </w:r>
            <w:r w:rsidRPr="00291E4E">
              <w:rPr>
                <w:rFonts w:eastAsia="Times New Roman"/>
                <w:color w:val="000000"/>
                <w:sz w:val="18"/>
                <w:szCs w:val="18"/>
              </w:rPr>
              <w:t>90 mmHg on at least2 occasions taken  4 h apart) and proteinuria ( 300 mg in a 24-hour urine collection or 1 dipstick</w:t>
            </w:r>
            <w:r>
              <w:rPr>
                <w:rFonts w:eastAsia="Times New Roman"/>
                <w:color w:val="000000"/>
                <w:sz w:val="18"/>
                <w:szCs w:val="18"/>
              </w:rPr>
              <w:t xml:space="preserve"> </w:t>
            </w:r>
            <w:r w:rsidRPr="00291E4E">
              <w:rPr>
                <w:rFonts w:eastAsia="Times New Roman"/>
                <w:color w:val="000000"/>
                <w:sz w:val="18"/>
                <w:szCs w:val="18"/>
              </w:rPr>
              <w:t>measurement of  +2) occurring after 20 weeks of gestation in a previously normotensive woman</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{"citationItems":[{"id":"ITEM-1","itemData":{"DOI":"10.3390/ijms18071570","abstract":"Several miRNAs are expressed in human gestational tissue, and some have been shown to be associated with placental dysfunction and complicated pregnancy outcomes. To investigate the roles of miR-346 and miR-582-3p in adverse obstetric events, we analyzed these 2 miRNAs in three samples (maternal blood, umbilical cord blood and placenta) obtained from pregnant women in four groups, including healthy control (n = 60), preeclampsia (n = 31), preterm delivery (n = 29) and small for gestational age (n = 19) patients. The expression levels of miR-346 and miR-582-3p in all included adverse obstetric outcome groups were significantly higher in the maternal plasma samples but lower in the placenta samples (all p value &lt; 0.05). In addition, the miR-346 expression levels in fetal cord blood were also significantly lower in all of the included adverse obstetric outcome groups (all p &lt; 0.05). Multivariate analysis of the three specimens after adjusting for maternal age and gestational age at delivery gave the same results. In conclusion, aberrant miR-346 and miR-582-3p expression level in pregnancy was associated with multiple maternal and fetal complications. Their differential expression in maternal blood, umbilical cord blood and placenta could be potential biomarkers or therapeutic targets for adverse obstetric outcomes.","author":[{"dropping-particle":"","family":"Tsai","given":"Pei Yin","non-dropping-particle":"","parse-names":false,"suffix":""},{"dropping-particle":"","family":"Li","given":"Sheng Hsiang","non-dropping-particle":"","parse-names":false,"suffix":""},{"dropping-particle":"","family":"Chen","given":"Wan Ni","non-dropping-particle":"","parse-names":false,"suffix":""},{"dropping-particle":"","family":"Tsai","given":"Hui Ling","non-dropping-particle":"","parse-names":false,"suffix":""},{"dropping-particle":"","family":"Su","given":"Mei Tsz","non-dropping-particle":"","parse-names":false,"suffix":""}],"container-title":"International Journal of Molecular Sciences","id":"ITEM-1","issue":"7","issued":{"date-parts":[["2017"]]},"page":"1570","title":"Differential miR-346 and miR-582-3p expression in association with selected maternal and fetal complications","type":"article-journal","volume":"18"},"uris":["http://www.mendeley.com/documents/?uuid=b2cee63e-4218-3c83-86e3-6982aa4b4300"]}],"mendeley":{"formattedCitation":"(Tsai et al., 2017)","plainTextFormattedCitation":"(Tsai et al., 2017)","previouslyFormattedCitation":"(Tsai et al., 2017)"},"properties":{"noteIndex":0},"schema":"https://github.com/citation-style-language/schema/raw/master/csl-citation.json"}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(Tsai et al., 2017)</w:t>
            </w:r>
            <w:r>
              <w:rPr>
                <w:rFonts w:eastAsia="Times New Roman"/>
                <w:color w:val="000000"/>
                <w:sz w:val="18"/>
                <w:szCs w:val="18"/>
              </w:rPr>
              <w:fldChar w:fldCharType="end"/>
            </w:r>
          </w:p>
        </w:tc>
      </w:tr>
      <w:tr w:rsidR="00CD17F0" w:rsidRPr="00291E4E" w:rsidTr="00DB48CC">
        <w:trPr>
          <w:trHeight w:val="880"/>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The criteria used for diagnosis of pre</w:t>
            </w:r>
            <w:r w:rsidRPr="00291E4E">
              <w:rPr>
                <w:rFonts w:eastAsia="Times New Roman"/>
                <w:color w:val="000000"/>
                <w:sz w:val="18"/>
                <w:szCs w:val="18"/>
              </w:rPr>
              <w:noBreakHyphen/>
              <w:t>eclampsia were as</w:t>
            </w:r>
            <w:r>
              <w:rPr>
                <w:rFonts w:eastAsia="Times New Roman"/>
                <w:color w:val="000000"/>
                <w:sz w:val="18"/>
                <w:szCs w:val="18"/>
              </w:rPr>
              <w:t xml:space="preserve"> </w:t>
            </w:r>
            <w:r w:rsidRPr="00291E4E">
              <w:rPr>
                <w:rFonts w:eastAsia="Times New Roman"/>
                <w:color w:val="000000"/>
                <w:sz w:val="18"/>
                <w:szCs w:val="18"/>
              </w:rPr>
              <w:t>follows: i) Systolic blood pressure of ≥140 mm Hg or diastolic blood pressure of ≥90 mm Hg occurring 20 weeks post</w:t>
            </w:r>
            <w:r w:rsidRPr="00291E4E">
              <w:rPr>
                <w:rFonts w:eastAsia="Times New Roman"/>
                <w:color w:val="000000"/>
                <w:sz w:val="18"/>
                <w:szCs w:val="18"/>
              </w:rPr>
              <w:noBreakHyphen/>
              <w:t>gestation in a woman whose blood pressure was previously normal; and ii) proteinuria, with excretion of ≥0.3 g in a 24</w:t>
            </w:r>
            <w:r w:rsidRPr="00291E4E">
              <w:rPr>
                <w:rFonts w:eastAsia="Times New Roman"/>
                <w:color w:val="000000"/>
                <w:sz w:val="18"/>
                <w:szCs w:val="18"/>
              </w:rPr>
              <w:noBreakHyphen/>
              <w:t>h period</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{"citationItems":[{"id":"ITEM-1","itemData":{"DOI":"10.3892/etm.2017.5067","abstract":"Abnormal expression of hypoxia inducible factor-1α (HIF-1α) is closely associated with various diseases. By detecting the mRNA and protein expression levels of microRNA 18b (miR-18b) and HIF-1α in placental tissues of preeclampsia (PE) patients and studying the effects of miR-18b on total cellular metabolic activity, migration and invasion in normal human trophoblast cell lines (HTR-8/SVneo), the present study aimed to investigate the effect of miR-18b on targeted regulation of HIF-1α and its clinical significance in the development of PE. Expression levels of miR-18b and HIF-1α mRNA in PE placental tissues were detected by reverse transcription-quantitative polymerase chain reaction and corresponding expression levels of HIF-1α protein were analyzed by western blotting. miR-18b overexpression and inhibited miR-18b expression in HTR-8/SVneo cells, which were constructed by transfecting miR-18b mimic and inhibitor, respectively, were investigated and the total cellular metabolic activity, migration and invasion abilities in different groups of cells were compared. Expression levels of miR</w:instrText>
            </w:r>
            <w:r w:rsidR="00460963">
              <w:rPr>
                <w:rFonts w:ascii="MS Mincho" w:eastAsia="MS Mincho" w:hAnsi="MS Mincho" w:cs="MS Mincho" w:hint="eastAsia"/>
                <w:color w:val="000000"/>
                <w:sz w:val="18"/>
                <w:szCs w:val="18"/>
              </w:rPr>
              <w:instrText>‑</w:instrText>
            </w:r>
            <w:r w:rsidR="00460963">
              <w:rPr>
                <w:rFonts w:eastAsia="Times New Roman" w:cs="Times New Roman"/>
                <w:color w:val="000000"/>
                <w:sz w:val="18"/>
                <w:szCs w:val="18"/>
              </w:rPr>
              <w:instrText>18b were significantly reduced in PE placental tissues and miR-18b inhibitor-transfected HTR-8/SVneo cells, whereas the expression levels of HIF-1α were significantly increas</w:instrText>
            </w:r>
            <w:r w:rsidR="00460963">
              <w:rPr>
                <w:rFonts w:eastAsia="Times New Roman"/>
                <w:color w:val="000000"/>
                <w:sz w:val="18"/>
                <w:szCs w:val="18"/>
              </w:rPr>
              <w:instrText>ed in PE placental tissues and significantly decreased in miR</w:instrText>
            </w:r>
            <w:r w:rsidR="00460963">
              <w:rPr>
                <w:rFonts w:ascii="MS Mincho" w:eastAsia="MS Mincho" w:hAnsi="MS Mincho" w:cs="MS Mincho" w:hint="eastAsia"/>
                <w:color w:val="000000"/>
                <w:sz w:val="18"/>
                <w:szCs w:val="18"/>
              </w:rPr>
              <w:instrText>‑</w:instrText>
            </w:r>
            <w:r w:rsidR="00460963">
              <w:rPr>
                <w:rFonts w:eastAsia="Times New Roman" w:cs="Times New Roman"/>
                <w:color w:val="000000"/>
                <w:sz w:val="18"/>
                <w:szCs w:val="18"/>
              </w:rPr>
              <w:instrText>18b mimic-transfected HTR-8/SVneo cells. Overexpression of miR-18b inhibited the expression of HIF-1α and reduced the cell invasion, migration and viability of HTR-8/SVneo cells. However, inhibi</w:instrText>
            </w:r>
            <w:r w:rsidR="00460963">
              <w:rPr>
                <w:rFonts w:eastAsia="Times New Roman"/>
                <w:color w:val="000000"/>
                <w:sz w:val="18"/>
                <w:szCs w:val="18"/>
              </w:rPr>
              <w:instrText>tion of miR-18b expression promoted the expression of HIF-1α and increased the cell invasion, migration and total cellular metabolic activity of HTR-8/SVneo cells. The present study indicated that abnormal expression of HIF-1α exhibited in PE placental tissues was regulated by miR-18b. Furthermore miR-18b expression was demonstrated to affect cell invasion, migration and viability through target regulation of HIF-1α. The results of the present study suggest that miR-18b and HIF-1α may have important roles in the development of PE.","author":[{"dropping-particle":"","family":"Wang","given":"Shenglan","non-dropping-particle":"","parse-names":false,"suffix":""},{"dropping-particle":"","family":"Wang","given":"Xuemei","non-dropping-particle":"","parse-names":false,"suffix":""},{"dropping-particle":"","family":"Weng","given":"Zhanping","non-dropping-particle":"","parse-names":false,"suffix":""},{"dropping-particle":"","family":"Zhang","given":"Shuping","non-dropping-particle":"","parse-names":false,"suffix":""},{"dropping-particle":"","family":"Ning","given":"Hui","non-dropping-particle":"","parse-names":false,"suffix":""},{"dropping-particle":"","family":"Li","given":"Baolai","non-dropping-particle":"","parse-names":false,"suffix":""}],"container-title":"Experimental and Therapeutic Medicine","id":"ITEM-1","issue":"5","issued":{"date-parts":[["2017"]]},"page":"4554-4560","title":"Expression and role of microRNA 18b and hypoxia inducible factor</w:instrText>
            </w:r>
            <w:r w:rsidR="00460963">
              <w:rPr>
                <w:rFonts w:ascii="MS Mincho" w:eastAsia="MS Mincho" w:hAnsi="MS Mincho" w:cs="MS Mincho" w:hint="eastAsia"/>
                <w:color w:val="000000"/>
                <w:sz w:val="18"/>
                <w:szCs w:val="18"/>
              </w:rPr>
              <w:instrText>‑</w:instrText>
            </w:r>
            <w:r w:rsidR="00460963">
              <w:rPr>
                <w:rFonts w:eastAsia="Times New Roman" w:cs="Times New Roman"/>
                <w:color w:val="000000"/>
                <w:sz w:val="18"/>
                <w:szCs w:val="18"/>
              </w:rPr>
              <w:instrText>1α in placental tissues of preeclampsia patients","type":"article-journa</w:instrText>
            </w:r>
            <w:r w:rsidR="00460963">
              <w:rPr>
                <w:rFonts w:eastAsia="Times New Roman"/>
                <w:color w:val="000000"/>
                <w:sz w:val="18"/>
                <w:szCs w:val="18"/>
              </w:rPr>
              <w:instrText>l","volume":"14"},"uris":["http://www.mendeley.com/documents/?uuid=6c203ae5-e5d5-31ba-be1e-5b9cf9b81a44"]}],"mendeley":{"formattedCitation":"(Wang et al., 2017)","plainTextFormattedCitation":"(Wang et al., 2017)","previouslyFormattedCitation":"(Wang et al., 2017)"},"properties":{"noteIndex":0},"schema":"https://github.com/citation-style-language/schema/raw/master/csl-citation.json"}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(Wang et al., 2017)</w:t>
            </w:r>
            <w:r>
              <w:rPr>
                <w:rFonts w:eastAsia="Times New Roman"/>
                <w:color w:val="000000"/>
                <w:sz w:val="18"/>
                <w:szCs w:val="18"/>
              </w:rPr>
              <w:fldChar w:fldCharType="end"/>
            </w:r>
          </w:p>
        </w:tc>
      </w:tr>
      <w:tr w:rsidR="00CD17F0" w:rsidRPr="007A218E" w:rsidTr="00DB48CC">
        <w:trPr>
          <w:trHeight w:val="1261"/>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The diagnostic criteria for preeclampsia was new-onset of hypertension after 20 weeks of gestation (defined</w:t>
            </w:r>
            <w:r>
              <w:rPr>
                <w:rFonts w:eastAsia="Times New Roman"/>
                <w:color w:val="000000"/>
                <w:sz w:val="18"/>
                <w:szCs w:val="18"/>
              </w:rPr>
              <w:t xml:space="preserve"> </w:t>
            </w:r>
            <w:r w:rsidRPr="00291E4E">
              <w:rPr>
                <w:rFonts w:eastAsia="Times New Roman"/>
                <w:color w:val="000000"/>
                <w:sz w:val="18"/>
                <w:szCs w:val="18"/>
              </w:rPr>
              <w:t>as systolic blood pressure ≥ 140 mmHg or diastolic blood pressure ≥ 90 mmHg on two occasions, at least 4 hours apart), accompanied with one or more of the following symptoms, new-onset proteinuria (&gt;0.3 gram per 24 hours), new-onset thrombocytopenia (platelet count &lt; 100,000/μl), impaired liver function, renal insufficiency, pulmonary edema and visual or cerebral disturbances</w:t>
            </w:r>
          </w:p>
        </w:tc>
        <w:tc>
          <w:tcPr>
            <w:tcW w:w="3483" w:type="dxa"/>
            <w:shd w:val="clear" w:color="auto" w:fill="auto"/>
            <w:noWrap/>
            <w:vAlign w:val="bottom"/>
            <w:hideMark/>
          </w:tcPr>
          <w:p w:rsidR="00CD17F0" w:rsidRPr="007A218E" w:rsidRDefault="00CD17F0" w:rsidP="006D38DA">
            <w:pPr>
              <w:spacing w:before="0" w:after="0"/>
              <w:jc w:val="center"/>
              <w:rPr>
                <w:rFonts w:eastAsia="Times New Roman"/>
                <w:b/>
                <w:bCs/>
                <w:color w:val="000000"/>
                <w:sz w:val="18"/>
                <w:szCs w:val="18"/>
              </w:rPr>
            </w:pPr>
            <w:r w:rsidRPr="007A218E">
              <w:rPr>
                <w:rFonts w:eastAsia="Times New Roman"/>
                <w:b/>
                <w:bCs/>
                <w:color w:val="000000"/>
                <w:sz w:val="18"/>
                <w:szCs w:val="18"/>
              </w:rPr>
              <w:t>ACOG 2013</w:t>
            </w:r>
          </w:p>
        </w:tc>
        <w:tc>
          <w:tcPr>
            <w:tcW w:w="873" w:type="dxa"/>
          </w:tcPr>
          <w:p w:rsidR="00CD17F0"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{"citationItems":[{"id":"ITEM-1","itemData":{"DOI":"10.1038/s41598-017-14180-8","abstract":"To profile the small RNA cargo carried by trophoblast debris derived from the placenta during normal and preeclamptic pregnancies and to determine whether trophoblast debris can deliver its small RNAs to endothelial cells with functional consequences. We confirmed that trophoblast debris can deliver its small RNAs contents to recipient endothelial cells during the co-culture. Next generation sequencing was employed to profile the small RNA contents in both normotensive and preeclamptic trophoblast debris. We identified 1278 mature miRNAs and 2646 non-miRNA small RNA fragments contained. Differential expression analysis identified 16 miRNAs (including miR-145), 5 tRNA fragments from 3 different tRNAs, 13 snRNA fragments and 85 rRNA fragments that were present in different levels between preeclamptic and normotensive trophoblast debris. We loaded a miR-145 mimic into normotensive trophoblast debris via transfection of placental explants from which the debris was derived and found the miR-145 loaded debris induced transcriptomic changes in endothelial cells similar to those induced by preeclamptic trophoblast debris. Trophoblast debris deported into maternal circulation can deliver its small RNA contents to maternal cells thereby contributing to feto-maternal communication. Small RNAs that are dysregulated in preeclamptic trophoblast debris might contribute to the endothelial cell activation which is a hallmark of preeclampsia.","author":[{"dropping-particle":"","family":"Wei","given":"Jia","non-dropping-particle":"","parse-names":false,"suffix":""},{"dropping-particle":"","family":"Blenkiron","given":"Cherie","non-dropping-particle":"","parse-names":false,"suffix":""},{"dropping-particle":"","family":"Tsai","given":"Peter","non-dropping-particle":"","parse-names":false,"suffix":""},{"dropping-particle":"","family":"James","given":"Joanna L.","non-dropping-particle":"","parse-names":false,"suffix":""},{"dropping-particle":"","family":"Chen","given":"Qi","non-dropping-particle":"","parse-names":false,"suffix":""},{"dropping-particle":"","family":"Stone","given":"Peter R.","non-dropping-particle":"","parse-names":false,"suffix":""},{"dropping-particle":"","family":"Chamley","given":"Lawrence W.","non-dropping-particle":"","parse-names":false,"suffix":""}],"container-title":"Scientific Reports","id":"ITEM-1","issue":"1","issued":{"date-parts":[["2017"]]},"page":"14681","title":"Placental trophoblast debris mediated feto-maternal signalling via small RNA delivery: Implications for preeclampsia","type":"article-journal","volume":"7"},"uris":["http://www.mendeley.com/documents/?uuid=c1892c6e-fa0e-3f5e-a9ce-d6edb57a2268"]}],"mendeley":{"formattedCitation":"(Wei et al., 2017)","plainTextFormattedCitation":"(Wei et al., 2017)","previouslyFormattedCitation":"(Wei et al., 2017)"},"properties":{"noteIndex":0},"schema":"https://github.com/citation-style-language/schema/raw/master/csl-citation.json"}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(Wei et al., 2017)</w:t>
            </w:r>
            <w:r>
              <w:rPr>
                <w:rFonts w:eastAsia="Times New Roman"/>
                <w:b/>
                <w:bCs/>
                <w:color w:val="000000"/>
                <w:sz w:val="18"/>
                <w:szCs w:val="18"/>
              </w:rPr>
              <w:fldChar w:fldCharType="end"/>
            </w:r>
          </w:p>
          <w:p w:rsidR="00C605FA" w:rsidRDefault="00E33D6E" w:rsidP="006D38DA">
            <w:pPr>
              <w:spacing w:before="0" w:after="0"/>
              <w:jc w:val="center"/>
              <w:rPr>
                <w:rFonts w:eastAsia="Times New Roman"/>
                <w:bCs/>
                <w:color w:val="000000"/>
                <w:sz w:val="18"/>
                <w:szCs w:val="18"/>
              </w:rPr>
            </w:pPr>
            <w:r w:rsidRPr="00E33D6E">
              <w:rPr>
                <w:rFonts w:eastAsia="Times New Roman"/>
                <w:bCs/>
                <w:color w:val="000000"/>
                <w:sz w:val="18"/>
                <w:szCs w:val="18"/>
              </w:rPr>
              <w:t>Devor 2020</w:t>
            </w:r>
          </w:p>
          <w:p w:rsidR="004A3296" w:rsidRPr="00C605FA" w:rsidRDefault="004A3296" w:rsidP="006D38DA">
            <w:pPr>
              <w:spacing w:before="0" w:after="0"/>
              <w:jc w:val="center"/>
              <w:rPr>
                <w:rFonts w:eastAsia="Times New Roman"/>
                <w:bCs/>
                <w:color w:val="000000"/>
                <w:sz w:val="18"/>
                <w:szCs w:val="18"/>
              </w:rPr>
            </w:pPr>
            <w:r>
              <w:rPr>
                <w:rFonts w:eastAsia="Times New Roman"/>
                <w:bCs/>
                <w:color w:val="000000"/>
                <w:sz w:val="18"/>
                <w:szCs w:val="18"/>
              </w:rPr>
              <w:t>Fan 2020</w:t>
            </w:r>
          </w:p>
        </w:tc>
      </w:tr>
      <w:tr w:rsidR="00CD17F0" w:rsidRPr="00291E4E" w:rsidTr="00DB48CC">
        <w:trPr>
          <w:trHeight w:val="113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(PE) was diagnosed when patients had no history of preexisting or chronic hypertension, but they</w:t>
            </w:r>
            <w:r>
              <w:rPr>
                <w:rFonts w:eastAsia="Times New Roman"/>
                <w:color w:val="000000"/>
                <w:sz w:val="18"/>
                <w:szCs w:val="18"/>
              </w:rPr>
              <w:t xml:space="preserve"> </w:t>
            </w:r>
            <w:r w:rsidRPr="00291E4E">
              <w:rPr>
                <w:rFonts w:eastAsia="Times New Roman"/>
                <w:color w:val="000000"/>
                <w:sz w:val="18"/>
                <w:szCs w:val="18"/>
              </w:rPr>
              <w:t>showed systolic blood pressure of &gt;140 mm Hg or diastolic blood pressure of &gt;90 mm Hg on at least 2 occasions, accompanied by significant proteinuria (&gt;2 g per 24 h in 2 samples collected at &gt;4 h intervals) after 20 weeks of gestation</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{"citationItems":[{"id":"ITEM-1","itemData":{"DOI":"10.1016/j.ymthe.2018.07.009","abstract":"Preeclampsia (PE) is the leading cause of maternal and neonatal morbidity and mortality. Defects in trophoblast invasion, differentiation of endovascular extravillous trophoblasts (enEVTs), and spiral artery remodeling are key factors in PE development. There are no markers clinically available to predict PE, leaving expedited delivery as the only effective therapy. Dysregulation of miRNA in clinical tissues and maternal circulation have opened a new avenue for biomarker discovery. In this study, we investigated the role of miR-218-5p in PE development. miR-218-5p was highly expressed in EVTs and significantly downregulated in PE placentas. Using first-trimester trophoblast cell lines and human placental explants, we found that miR-218-5p overexpression promoted, whereas anti-miR-218-5p suppressed, trophoblast invasion, EVT outgrowth, and enEVT differentiation. Furthermore, miR-218-5p accelerated spiral artery remodeling in a decidua-placenta co-culture. The effect of miR-218-5p was mediated by the suppression of transforming growth factor (TGF)-β2 signaling. Silencing of TGFB2 mimicked, whereas treatment with TGF-β2 partially reversed, the effects of miR-218-5p. Taken together, these findings demonstrate that miR-218-5p promotes trophoblast invasion and enEVT differentiation through a novel miR-218-5p-TGF-β2 pathway. This study elucidates the role of an miRNA in enEVT differentiation and spiral artery remodeling and suggests that downregulation of miR-218-5p contributes to PE development. Defects in endovascular trophoblast (enEVT) differentiation and subsequent spiral artery remodeling are major causes of preeclampsia. Brkić et al. elucidate how an miRNA regulates enEVT differentiation. Their findings suggest a critical role of miR-218-5p in normal spiral artery remodeling and in the pathogenesis of preeclampsia.","author":[{"dropping-particle":"","family":"Brkić","given":"Jelena","non-dropping-particle":"","parse-names":false,"suffix":""},{"dropping-particle":"","family":"Dunk","given":"Caroline","non-dropping-particle":"","parse-names":false,"suffix":""},{"dropping-particle":"","family":"O'Brien","given":"Jacob","non-dropping-particle":"","parse-names":false,"suffix":""},{"dropping-particle":"","family":"Fu","given":"Guodong","non-dropping-particle":"","parse-names":false,"suffix":""},{"dropping-particle":"","family":"Nadeem","given":"Lubna","non-dropping-particle":"","parse-names":false,"suffix":""},{"dropping-particle":"","family":"Wang","given":"Yan ling","non-dropping-particle":"","parse-names":false,"suffix":""},{"dropping-particle":"","family":"Rosman","given":"David","non-dropping-particle":"","parse-names":false,"suffix":""},{"dropping-particle":"","family":"Salem","given":"Mohamed","non-dropping-particle":"","parse-names":false,"suffix":""},{"dropping-particle":"","family":"Shynlova","given":"Oksana","non-dropping-particle":"","parse-names":false,"suffix":""},{"dropping-particle":"","family":"Yougbaré","given":"Issaka","non-dropping-particle":"","parse-names":false,"suffix":""},{"dropping-particle":"","family":"Ni","given":"Heyu","non-dropping-particle":"","parse-names":false,"suffix":""},{"dropping-particle":"","family":"Lye","given":"Stephen J.","non-dropping-particle":"","parse-names":false,"suffix":""},{"dropping-particle":"","family":"Peng","given":"Chun","non-dropping-particle":"","parse-names":false,"suffix":""}],"container-title":"Molecular Therapy","id":"ITEM-1","issue":"9","issued":{"date-parts":[["2018"]]},"page":"2189-2205","title":"MicroRNA-218-5p Promotes Endovascular Trophoblast Differentiation and Spiral Artery Remodeling","type":"article-journal","volume":"26"},"uris":["http://www.mendeley.com/documents/?uuid=2146ec15-632a-3de5-a05e-e20d2f8b35f2"]}],"mendeley":{"formattedCitation":"(Brkić et al., 2018)","plainTextFormattedCitation":"(Brkić et al., 2018)","previouslyFormattedCitation":"(Brkić et al.,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(Brkić et al., 2018)</w:t>
            </w:r>
            <w:r>
              <w:rPr>
                <w:rFonts w:eastAsia="Times New Roman"/>
                <w:color w:val="000000"/>
                <w:sz w:val="18"/>
                <w:szCs w:val="18"/>
              </w:rPr>
              <w:fldChar w:fldCharType="end"/>
            </w:r>
          </w:p>
        </w:tc>
      </w:tr>
      <w:tr w:rsidR="00CD17F0" w:rsidRPr="00291E4E" w:rsidTr="00DB48CC">
        <w:trPr>
          <w:trHeight w:val="333"/>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 xml:space="preserve">diagnosis of PE, </w:t>
            </w:r>
            <w:r>
              <w:rPr>
                <w:rFonts w:eastAsia="Times New Roman"/>
                <w:color w:val="000000"/>
                <w:sz w:val="18"/>
                <w:szCs w:val="18"/>
              </w:rPr>
              <w:t>systolic blood pressure &gt;140 mm</w:t>
            </w:r>
            <w:r w:rsidRPr="00291E4E">
              <w:rPr>
                <w:rFonts w:eastAsia="Times New Roman"/>
                <w:color w:val="000000"/>
                <w:sz w:val="18"/>
                <w:szCs w:val="18"/>
              </w:rPr>
              <w:t>Hg</w:t>
            </w:r>
            <w:r>
              <w:rPr>
                <w:rFonts w:eastAsia="Times New Roman"/>
                <w:color w:val="000000"/>
                <w:sz w:val="18"/>
                <w:szCs w:val="18"/>
              </w:rPr>
              <w:t xml:space="preserve"> </w:t>
            </w:r>
            <w:r w:rsidRPr="00291E4E">
              <w:rPr>
                <w:rFonts w:eastAsia="Times New Roman"/>
                <w:color w:val="000000"/>
                <w:sz w:val="18"/>
                <w:szCs w:val="18"/>
              </w:rPr>
              <w:t>and diastolic blood pressure &gt;90 mmHg</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{"citationItems":[{"id":"ITEM-1","itemData":{"DOI":"10.3892/etm.2018.6890","abstract":"Preeclampsia (PE) is the leading cause of maternal and fetal mortality and morbidity. Furthermore, recent studies have reported that miR-145 within the preeclamptic trophoblast debris may cause the high blood pressure via interacting with the maternal endothelium. The aim of the present study was to investigate the functions of miR-145 in PE. Reverse transcription-quantitative polymerase chain reaction and western blotting were used to assess the expression of miR-145 and mucin (MUC1), respectively. TargetScan, miRBase and miRWalk were used to predict the targets of miR-145. Constructed miR-145 mimic plasmids were transfected into HTR-8/SVneo cells for further experiments, including an MTT assay for cell proliferation, Transwell assay for cell invasion and flow cytometry for cell apoptosis analysis. Additionally, the luciferase reporter gene system was employed for target verification. The results demonstrated that miR-145 is downregulated and MUC1 is upregulated in PE tissues and cells compared with normal placenta tissues and cells. The correlation analysis suggests that the expression of miR-145 is negatively correlated with MUC1. Meanwhile, increased proliferation, enhanced invasion and decreased apoptosis of HTR-8/SVneo cells was observed in miR-145 mimic groups compared with mimic control group. Also, the decreased luciferase activity in the miR-145 mimic group indicates that MUC1 may be a target of miR-145. In summary, the results of the present study suggest that miR-145 may serve key roles in the regulation of trophoblast cell proliferation and invasion by targeting MUC1.","author":[{"dropping-particle":"","family":"Chi","given":"Zhenjing","non-dropping-particle":"","parse-names":false,"suffix":""},{"dropping-particle":"","family":"Zhang","given":"Muling","non-dropping-particle":"","parse-names":false,"suffix":""}],"container-title":"Experimental and Therapeutic Medicine","id":"ITEM-1","issue":"6","issued":{"date-parts":[["2018"]]},"page":"5298-5304","title":"Exploration of the regulation and control mechanisms of mir-145 in trophoblast cell proliferation and invasion","type":"article-journal","volume":"16"},"uris":["http://www.mendeley.com/documents/?uuid=f445d8e2-7dd4-3c8d-88bc-72d773a0a647"]}],"mendeley":{"formattedCitation":"(Chi and Zhang, 2018)","plainTextFormattedCitation":"(Chi and Zhang, 2018)","previouslyFormattedCitation":"(Chi and Zhang,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(Chi and Zhang, 2018)</w:t>
            </w:r>
            <w:r>
              <w:rPr>
                <w:rFonts w:eastAsia="Times New Roman"/>
                <w:color w:val="000000"/>
                <w:sz w:val="18"/>
                <w:szCs w:val="18"/>
              </w:rPr>
              <w:fldChar w:fldCharType="end"/>
            </w:r>
          </w:p>
        </w:tc>
      </w:tr>
      <w:tr w:rsidR="00CD17F0" w:rsidRPr="00291E4E" w:rsidTr="00DB48CC">
        <w:trPr>
          <w:trHeight w:val="699"/>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a sustained blood pressure of ≥ 140/90mmHg with proteinuria of at least 300 mg after 20 weeks of pregnancy</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Tranquilli A, Dekker G, Magee L, Roberts J, Sibai B, Steyn W; et al. The classification, diagnosis and anagement of the hypertensive disorders of pregnancy: a revised statement from the ISSHP. Pregnancy Hypertension. 2014;4(2):97–104.</w:t>
            </w:r>
          </w:p>
        </w:tc>
        <w:tc>
          <w:tcPr>
            <w:tcW w:w="873" w:type="dxa"/>
          </w:tcPr>
          <w:p w:rsidR="00CD17F0"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{"citationItems":[{"id":"ITEM-1","itemData":{"DOI":"10.1080/10641963.2018.1431257","abstract":"Objectives: The objective of this study was to determine microRNAs (miRNAs) expression levels in placental tissue and serum samples from preeclampsia (PE) and gestational hypertensive (GH) patients. Study design: Using a targeted qPCR method, the selected miRNAs putatively involved in the PE and GH were examined from normotensive (n = 32), PE (n = 32) and GH (n = 28) in South African women. Western blot analysis of protein expressions of AKT and PI3K was performed in the placental tissue of all three groups. Results: qPCR results of serum miR-222 expression levels showed a significant decrease in PE compared to GH and normotensive groups. miR-29a expression levels were significantly increased in PE and GH groups compared to normotensives. Serum expression levels of miR-181a in GH showed a significant increase compared to the PE and normotensive groups. Placental tissue expression levels of miR-181a were significantly increased in PE and GH groups compared to normotensives. Western blot results of placental tissue showed a decrease in the expression levels of AKT-serine and threonine in the PE groups compared to the normotensives and a significantly higher expression in the GH groups compared to normotensives. Phosphatidyl-inositol-3 kinase (PI3K) expression levels were significantly decreased in PE and GH groups compared to normotensives. Conclusion: The present study, interestingly, demonstrates the differential expression of circulating miRNA in GH and a correlation between the expression levels of miRNAs with AKT/PI3K in the insulin signaling pathway, reinforcing the presence of metabolic dysregulation in PE and GH.","author":[{"dropping-particle":"","family":"Khaliq","given":"Olive P.","non-dropping-particle":"","parse-names":false,"suffix":""},{"dropping-particle":"","family":"Murugesan","given":"Saravanakumar","non-dropping-particle":"","parse-names":false,"suffix":""},{"dropping-particle":"","family":"Moodley","given":"Jagidesa","non-dropping-particle":"","parse-names":false,"suffix":""},{"dropping-particle":"","family":"Mackraj","given":"Irene","non-dropping-particle":"","parse-names":false,"suffix":""}],"container-title":"Clinical and Experimental Hypertension","id":"ITEM-1","issue":"8","issued":{"date-parts":[["2018"]]},"page":"744-751","title":"Differential expression of miRNAs are associated with the insulin signaling pathway in preeclampsia and gestational hypertension","type":"article-journal","volume":"40"},"uris":["http://www.mendeley.com/documents/?uuid=1d4c407f-1244-3042-b679-81ec7fae086f"]}],"mendeley":{"formattedCitation":"(Khaliq et al., 2018)","plainTextFormattedCitation":"(Khaliq et al., 2018)","previouslyFormattedCitation":"(Khaliq et al.,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(Khaliq et al., 2018)</w:t>
            </w:r>
            <w:r>
              <w:rPr>
                <w:rFonts w:eastAsia="Times New Roman"/>
                <w:color w:val="000000"/>
                <w:sz w:val="18"/>
                <w:szCs w:val="18"/>
              </w:rPr>
              <w:fldChar w:fldCharType="end"/>
            </w:r>
          </w:p>
          <w:p w:rsidR="005F3DD0" w:rsidRPr="00291E4E" w:rsidRDefault="005F3DD0" w:rsidP="006D38DA">
            <w:pPr>
              <w:spacing w:before="0" w:after="0"/>
              <w:jc w:val="center"/>
              <w:rPr>
                <w:rFonts w:eastAsia="Times New Roman"/>
                <w:color w:val="000000"/>
                <w:sz w:val="18"/>
                <w:szCs w:val="18"/>
              </w:rPr>
            </w:pPr>
            <w:r>
              <w:rPr>
                <w:rFonts w:eastAsia="Times New Roman"/>
                <w:color w:val="000000"/>
                <w:sz w:val="18"/>
                <w:szCs w:val="18"/>
              </w:rPr>
              <w:t>Witvrouwen 2021</w:t>
            </w:r>
          </w:p>
        </w:tc>
      </w:tr>
      <w:tr w:rsidR="00CD17F0" w:rsidRPr="00291E4E" w:rsidTr="00DB48CC">
        <w:trPr>
          <w:trHeight w:val="416"/>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by clinical diagnosis with systolic blood pressure &gt;140 mmHg or diastolic blood pressure ≥90 mmHg and proteinuria ≥0.3 g/24 h</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{"citationItems":[{"id":"ITEM-1","itemData":{"DOI":"10.1074/jbc.RA118.005197","abstract":"Inflammatory cytokines, including tumor necrosis factor- (TNF), were elevated in patients with cardiovascular diseases and are also considered as crucial factors in the pathogenesis of preeclampsia; however, the underlying pathogenic mechanism has not been clearly elucidated. This study provides novel evidence that TNF leads to endothelial dysfunction associated with hypertension and vascular remodeling in preeclampsia through down-regulation of endothelial nitric-oxide synthase (eNOS) by NF-B– dependent biogenesis of microRNA (miR)-31-5p, which targets eNOS mRNA. In this study, we found that miR-31-5p was up-regulated in sera from patients with preeclampsia and in human endothelial cells treated with TNF. TNF-mediated induction of miR-31-5p was blocked by an NF-B inhibitor and NF-B p65 knockdown but not by mito-gen-activated protein kinase (MAPK) and phosphatidylinositol 3-kinase inhibitors, indicating that NF-B is essential for biogenesis of miR-31-5p. The treatment of human endothelial cells with TNF or miR-31-5p mimics decreased endothelial nitric-oxide synthase (eNOS) mRNA stability without affecting eNOS promoter activity, resulting in inhibition of eNOS expression and NO/cGMP production through blocking of the functional activity of the eNOS mRNA 3-UTR. Moreover, TNF and miR-31-5p mimic evoked endothelial dysfunction associated with defects in angiogenesis, trophoblastic invasion, and vasorelaxation in an ex vivo cultured model of human placental arterial vessels, which are typical features of preeclampsia. These results suggest that NF-B–responsive miR-31-5p elicits endothelial dysfunction, hypertension, and vascular remodeling via post-transcriptional down-regulation of eNOS and is a molecular risk factor in the pathogenesis and development of preeclampsia.","author":[{"dropping-particle":"","family":"Kim","given":"Suji","non-dropping-particle":"","parse-names":false,"suffix":""},{"dropping-particle":"","family":"Lee","given":"Kyu Sun","non-dropping-particle":"","parse-names":false,"suffix":""},{"dropping-particle":"","family":"Choi","given":"Seunghwan","non-dropping-particle":"","parse-names":false,"suffix":""},{"dropping-particle":"","family":"Kim","given":"Joohwan","non-dropping-particle":"","parse-names":false,"suffix":""},{"dropping-particle":"","family":"Lee","given":"Dong Keon","non-dropping-particle":"","parse-names":false,"suffix":""},{"dropping-particle":"","family":"Park","given":"Minsik","non-dropping-particle":"","parse-names":false,"suffix":""},{"dropping-particle":"","family":"Park","given":"Wonjin","non-dropping-particle":"","parse-names":false,"suffix":""},{"dropping-particle":"","family":"Kim","given":"Tae Hoon","non-dropping-particle":"","parse-names":false,"suffix":""},{"dropping-particle":"","family":"Hwang","given":"Jong Yun","non-dropping-particle":"","parse-names":false,"suffix":""},{"dropping-particle":"","family":"Won","given":"Moo Ho","non-dropping-particle":"","parse-names":false,"suffix":""},{"dropping-particle":"","family":"Lee","given":"Hansoo","non-dropping-particle":"","parse-names":false,"suffix":""},{"dropping-particle":"","family":"Ryoo","given":"Sungwoo","non-dropping-particle":"","parse-names":false,"suffix":""},{"dropping-particle":"","family":"Ha","given":"Kwon Soo","non-dropping-particle":"","parse-names":false,"suffix":""},{"dropping-particle":"","family":"Kwon","given":"Young Guen","non-dropping-particle":"","parse-names":false,"suffix":""},{"dropping-particle":"","family":"Kim","given":"Young Myeong","non-dropping-particle":"","parse-names":false,"suffix":""}],"container-title":"Journal of Biological Chemistry","id":"ITEM-1","issue":"49","issued":{"date-parts":[["2018"]]},"page":"18989-19000","title":"NF-B–responsive miRNA-31-5p elicits endothelial dysfunction associated with preeclampsia via downregulation of endothelial nitric-oxide synthase","type":"article-journal","volume":"293"},"uris":["http://www.mendeley.com/documents/?uuid=65610dd4-910f-3657-82e7-15f9e3dde696"]}],"mendeley":{"formattedCitation":"(Kim et al., 2018)","plainTextFormattedCitation":"(Kim et al., 2018)","previouslyFormattedCitation":"(Kim et al.,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(Kim et al., 2018)</w:t>
            </w:r>
            <w:r>
              <w:rPr>
                <w:rFonts w:eastAsia="Times New Roman"/>
                <w:color w:val="000000"/>
                <w:sz w:val="18"/>
                <w:szCs w:val="18"/>
              </w:rPr>
              <w:fldChar w:fldCharType="end"/>
            </w:r>
          </w:p>
        </w:tc>
      </w:tr>
      <w:tr w:rsidR="00CD17F0" w:rsidRPr="00291E4E" w:rsidTr="00DB48CC">
        <w:trPr>
          <w:trHeight w:val="30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b/>
                <w:bCs/>
                <w:color w:val="000000"/>
                <w:sz w:val="18"/>
                <w:szCs w:val="18"/>
              </w:rPr>
            </w:pPr>
            <w:r w:rsidRPr="00291E4E">
              <w:rPr>
                <w:rFonts w:eastAsia="Times New Roman"/>
                <w:b/>
                <w:bCs/>
                <w:color w:val="000000"/>
                <w:sz w:val="18"/>
                <w:szCs w:val="18"/>
              </w:rPr>
              <w:t>ACOG 2013</w:t>
            </w:r>
          </w:p>
        </w:tc>
        <w:tc>
          <w:tcPr>
            <w:tcW w:w="873" w:type="dxa"/>
          </w:tcPr>
          <w:p w:rsidR="00CD17F0" w:rsidRPr="00291E4E"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{"citationItems":[{"id":"ITEM-1","itemData":{"DOI":"10.3892/etm.2018.6394","abstract":"The study aims to investigate the clinical significance of regulating the expression of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hydroxyvitamin D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 via microRNA (miRNA)</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376c i</w:instrText>
            </w:r>
            <w:r w:rsidR="00460963">
              <w:rPr>
                <w:rFonts w:eastAsia="Times New Roman"/>
                <w:b/>
                <w:bCs/>
                <w:color w:val="000000"/>
                <w:sz w:val="18"/>
                <w:szCs w:val="18"/>
              </w:rPr>
              <w:instrText>n the occurrence and development of preeclampsia (PE) in pregnant women. Peripheral blood and placental tissues were collected from pregnant women in 4 groups, including 67 normal pregnant women, 41 pregnant women with gestational hypertension, 40 pregnant women with mild PE and 51 pregnant women with severe PE. The expression of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 and miRNA</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376c in peripheral blood were analyzed via reverse transcription-quantitative polymerase chain reaction (RT-qPCR); the protein expression of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 was analyze</w:instrText>
            </w:r>
            <w:r w:rsidR="00460963">
              <w:rPr>
                <w:rFonts w:eastAsia="Times New Roman"/>
                <w:b/>
                <w:bCs/>
                <w:color w:val="000000"/>
                <w:sz w:val="18"/>
                <w:szCs w:val="18"/>
              </w:rPr>
              <w:instrText>d via western blotting, and the clinical significance of its expression was also analyzed. The expression of miRNA</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376c in peripheral blood in pregnant women was decreased (P&lt;0.01), and the expression of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 in peripheral blood was significantly decre</w:instrText>
            </w:r>
            <w:r w:rsidR="00460963">
              <w:rPr>
                <w:rFonts w:eastAsia="Times New Roman"/>
                <w:b/>
                <w:bCs/>
                <w:color w:val="000000"/>
                <w:sz w:val="18"/>
                <w:szCs w:val="18"/>
              </w:rPr>
              <w:instrText>ased (P&lt;0.01); there was a significantly positive correlation between the expression of miRNA</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376c and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 (P&lt;0.01). There was a significantly positive correlation between miRNA</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376c and the protein expression of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 in placental tissues (P&lt;0.01)</w:instrText>
            </w:r>
            <w:r w:rsidR="00460963">
              <w:rPr>
                <w:rFonts w:eastAsia="Times New Roman"/>
                <w:b/>
                <w:bCs/>
                <w:color w:val="000000"/>
                <w:sz w:val="18"/>
                <w:szCs w:val="18"/>
              </w:rPr>
              <w:instrText>. The downregulation of miRNA</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 xml:space="preserve">376c expression in peripheral blood and placental tissues in pregnant women had significantly positive correlations with gestational age, plasma albumin level and fetal weight, but had significantly negative correlations with </w:instrText>
            </w:r>
            <w:r w:rsidR="00460963">
              <w:rPr>
                <w:rFonts w:eastAsia="Times New Roman"/>
                <w:b/>
                <w:bCs/>
                <w:color w:val="000000"/>
                <w:sz w:val="18"/>
                <w:szCs w:val="18"/>
              </w:rPr>
              <w:instrText>blood pressure and urinary protein level. (P&lt;0.01). The downregulation of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 expression in placental tissues also had such correlations. The low expression of miRNA</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376c in PE patients is involved in the occurrence and development of PE through downr</w:instrText>
            </w:r>
            <w:r w:rsidR="00460963">
              <w:rPr>
                <w:rFonts w:eastAsia="Times New Roman"/>
                <w:b/>
                <w:bCs/>
                <w:color w:val="000000"/>
                <w:sz w:val="18"/>
                <w:szCs w:val="18"/>
              </w:rPr>
              <w:instrText>egulating the expression of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OH</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VD.","author":[{"dropping-particle":"","family":"Li","given":"Jinlan","non-dropping-particle":"","parse-names":false,"suffix":""},{"dropping-particle":"","family":"Du","given":"Jiangdong","non-dropping-particle":"","parse-</w:instrText>
            </w:r>
            <w:r w:rsidR="00460963">
              <w:rPr>
                <w:rFonts w:eastAsia="Times New Roman"/>
                <w:b/>
                <w:bCs/>
                <w:color w:val="000000"/>
                <w:sz w:val="18"/>
                <w:szCs w:val="18"/>
              </w:rPr>
              <w:instrText>names":false,"suffix":""},{"dropping-particle":"","family":"Wang","given":"Zhan","non-dropping-particle":"","parse-names":false,"suffix":""},{"dropping-particle":"","family":"Wang","given":"Chenghong","non-dropping-particle":"","parse-names":false,"suffix":""},{"dropping-particle":"","family":"Bai","given":"Jianhua","non-dropping-particle":"","parse-names":false,"suffix":""},{"dropping-particle":"","family":"Zhang","given":"Su","non-dropping-particle":"","parse-names":false,"suffix":""}],"container-title":"Experimental and Therapeutic Medicine","id":"ITEM-1","issue":"3","issued":{"date-parts":[["2018"]]},"page":"1701-1706","title":"Expression of miR</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376 in blood of pregnant women with preeclampsia and its effect on 25</w:instrText>
            </w:r>
            <w:r w:rsidR="00460963">
              <w:rPr>
                <w:rFonts w:ascii="MS Mincho" w:eastAsia="MS Mincho" w:hAnsi="MS Mincho" w:cs="MS Mincho" w:hint="eastAsia"/>
                <w:b/>
                <w:bCs/>
                <w:color w:val="000000"/>
                <w:sz w:val="18"/>
                <w:szCs w:val="18"/>
              </w:rPr>
              <w:instrText>‑</w:instrText>
            </w:r>
            <w:r w:rsidR="00460963">
              <w:rPr>
                <w:rFonts w:eastAsia="Times New Roman" w:cs="Times New Roman"/>
                <w:b/>
                <w:bCs/>
                <w:color w:val="000000"/>
                <w:sz w:val="18"/>
                <w:szCs w:val="18"/>
              </w:rPr>
              <w:instrText>hydroxyvitamin D","type":"article-journa</w:instrText>
            </w:r>
            <w:r w:rsidR="00460963">
              <w:rPr>
                <w:rFonts w:eastAsia="Times New Roman"/>
                <w:b/>
                <w:bCs/>
                <w:color w:val="000000"/>
                <w:sz w:val="18"/>
                <w:szCs w:val="18"/>
              </w:rPr>
              <w:instrText>l","volume":"16"},"uris":["http://www.mendeley.com/documents/?uuid=9434166f-47f7-3ab6-a838-30cdf6f44afc"]}],"mendeley":{"formattedCitation":"(Li et al., 2018)","plainTextFormattedCitation":"(Li et al., 2018)","previouslyFormattedCitation":"(Li et al., 2018)"},"properties":{"noteIndex":0},"schema":"https://github.com/citation-style-language/schema/raw/master/csl-citation.json"}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(Li et al., 2018)</w:t>
            </w:r>
            <w:r>
              <w:rPr>
                <w:rFonts w:eastAsia="Times New Roman"/>
                <w:b/>
                <w:bCs/>
                <w:color w:val="000000"/>
                <w:sz w:val="18"/>
                <w:szCs w:val="18"/>
              </w:rPr>
              <w:fldChar w:fldCharType="end"/>
            </w:r>
          </w:p>
        </w:tc>
      </w:tr>
      <w:tr w:rsidR="00CD17F0" w:rsidRPr="00291E4E" w:rsidTr="00DB48CC">
        <w:trPr>
          <w:trHeight w:val="1191"/>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hypertension (blood pressure ≥140/90 mmHg) in two determinations, 4 hours apart associated with proteinuria (&gt; 300 mg/24 h or ≥1+, according to a routine urinalysis) after 20 weeks of gestation in previously normotensive women. In the a</w:t>
            </w:r>
            <w:r>
              <w:rPr>
                <w:rFonts w:eastAsia="Times New Roman"/>
                <w:color w:val="000000"/>
                <w:sz w:val="18"/>
                <w:szCs w:val="18"/>
              </w:rPr>
              <w:t>b</w:t>
            </w:r>
            <w:r w:rsidRPr="00291E4E">
              <w:rPr>
                <w:rFonts w:eastAsia="Times New Roman"/>
                <w:color w:val="000000"/>
                <w:sz w:val="18"/>
                <w:szCs w:val="18"/>
              </w:rPr>
              <w:t>sence of proteinuria, PE was characterized based on the new modified guidelines recommended by the task force on Hypertension in pregnancy.</w:t>
            </w:r>
          </w:p>
        </w:tc>
        <w:tc>
          <w:tcPr>
            <w:tcW w:w="3483" w:type="dxa"/>
            <w:shd w:val="clear" w:color="auto" w:fill="auto"/>
            <w:vAlign w:val="bottom"/>
            <w:hideMark/>
          </w:tcPr>
          <w:p w:rsidR="00CD17F0"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C.M. Brown, V.D. Garovic, Mechanisms and management of hypertension in pregnant women, Current 317 hypertension reports 13(5) (2011) 338-46.</w:t>
            </w:r>
          </w:p>
          <w:p w:rsidR="00CD17F0" w:rsidRPr="00291E4E" w:rsidRDefault="00CD17F0" w:rsidP="006D38DA">
            <w:pPr>
              <w:spacing w:before="0" w:after="0"/>
              <w:jc w:val="center"/>
              <w:rPr>
                <w:rFonts w:eastAsia="Times New Roman"/>
                <w:color w:val="000000"/>
                <w:sz w:val="18"/>
                <w:szCs w:val="18"/>
              </w:rPr>
            </w:pPr>
            <w:r w:rsidRPr="00A6605F">
              <w:rPr>
                <w:rFonts w:eastAsia="Times New Roman"/>
                <w:b/>
                <w:bCs/>
                <w:color w:val="000000"/>
                <w:sz w:val="18"/>
                <w:szCs w:val="18"/>
              </w:rPr>
              <w:t>ACOG 2013</w:t>
            </w:r>
            <w:r w:rsidRPr="00291E4E">
              <w:rPr>
                <w:rFonts w:eastAsia="Times New Roman"/>
                <w:color w:val="000000"/>
                <w:sz w:val="18"/>
                <w:szCs w:val="18"/>
              </w:rPr>
              <w:t>. American College of, Gynecologists, P. Task Force on Hypertension in, Hypertension in pregnancy. Report of the American College of Obstetricians and Gynecologists' Task Force on Hypertension in Pregnancy, Obstetrics and gynecology 122(5) (2013) 1122-31.</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{"citationItems":[{"id":"ITEM-1","itemData":{"DOI":"10.1016/j.placenta.2017.11.005","abstract":"Introduction To determine the miRNA expression profile in placentas complicated by Preeclampsia (PE) and compare it to uncomplicated pregnancies. Methods Sixteen placentas from women with PE, [11 with early onset PE (EOPE) and 5 with late onset PE (LOPE)], as well as 8 placentas from uncomplicated pregnancies were analyzed using miRNA microarrays. For statistical analyses the MATLAB® simulation environment was applied. The over-expression of miR-518a-5p was verified using Quantitative Real-Time Polymerase Chain Reaction. Results Forty four miRNAs were found dysregulated in PE complicated placentas. Statistical analysis revealed that miR-431, miR-518a-5p and miR-124* were over-expressed in EOPE complicated placentas as compared to controls, whereas miR-544 and miR-3942 were down-regulated in EOPE. When comparing the miRNA expression profile in cases with PE and PE-growth restricted fetuses (FGR), miR-431 and miR-518a-5p were found over-expressed in pregnancies complicated by FGR. Discussion Since specific miRNAs can differentiate EOPE and LOPE from uncomplicated placentas, they may be considered as putative PE-specific biomarkers. MiR-518a-5p emerged as a potential diagnostic indicator for EOPE cases as well as for PE-FGR complicated placentas, indicating a potential link to the severity of the disease.","author":[{"dropping-particle":"","family":"Lykoudi","given":"Alexandra","non-dropping-particle":"","parse-names":false,"suffix":""},{"dropping-particle":"","family":"Kolialexi","given":"Aggeliki","non-dropping-particle":"","parse-names":false,"suffix":""},{"dropping-particle":"","family":"Lambrou","given":"George I.","non-dropping-particle":"","parse-names":false,"suffix":""},{"dropping-particle":"","family":"Braoudaki","given":"Maria","non-dropping-particle":"","parse-names":false,"suffix":""},{"dropping-particle":"","family":"Siristatidis","given":"Charalampos","non-dropping-particle":"","parse-names":false,"suffix":""},{"dropping-particle":"","family":"Papaioanou","given":"George Konstantinos","non-dropping-particle":"","parse-names":false,"suffix":""},{"dropping-particle":"","family":"Tzetis","given":"Maria","non-dropping-particle":"","parse-names":false,"suffix":""},{"dropping-particle":"","family":"Mavrou","given":"Ariadni","non-dropping-particle":"","parse-names":false,"suffix":""},{"dropping-particle":"","family":"Papantoniou","given":"Nikolas","non-dropping-particle":"","parse-names":false,"suffix":""}],"container-title":"Placenta","id":"ITEM-1","issued":{"date-parts":[["2018"]]},"page":"24-32","title":"Dysregulated placental microRNAs in Early and Late onset Preeclampsia","type":"article-journal","volume":"61"},"uris":["http://www.mendeley.com/documents/?uuid=9e213bee-2ca7-32d4-a8b1-eba28751d842"]}],"mendeley":{"formattedCitation":"(Lykoudi et al., 2018)","plainTextFormattedCitation":"(Lykoudi et al., 2018)","previouslyFormattedCitation":"(Lykoudi et al.,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(Lykoudi et al., 2018)</w:t>
            </w:r>
            <w:r>
              <w:rPr>
                <w:rFonts w:eastAsia="Times New Roman"/>
                <w:color w:val="000000"/>
                <w:sz w:val="18"/>
                <w:szCs w:val="18"/>
              </w:rPr>
              <w:fldChar w:fldCharType="end"/>
            </w:r>
          </w:p>
        </w:tc>
      </w:tr>
      <w:tr w:rsidR="00CD17F0" w:rsidRPr="00291E4E" w:rsidTr="00DB48CC">
        <w:trPr>
          <w:trHeight w:val="80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the presence of hypertension (systolic blood pressure (BP) ≥ 140 mmHg or diastolic BP ≥ 90 mmHg on at least two occasions, 4 hours to 1 week apart) and proteinuria (≥ 300 mg in a 24-hour urine collection or one dipstick measurement ≥ 2+).</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{"citationItems":[{"id":"ITEM-1","itemData":{"DOI":"10.1016/j.abb.2018.09.023","abstract":"Background: Pre-eclampsia (PE) is one of the most threatening pregnancy complications. So far neither a secure, competent therapy for PE nor effective biomarkers for a premature discovery has been achieved. However, currently, the use of released microRNAs (miRNAs) as potential biomarkers and therapy targets for various diseases is the dominating area of research. The aim of our study was to identify miRNAs 136, 494 and 495 genes expression in exosomes of peripheral blood compared to umbilical cord mesenchymal stem cells (UCMSCs) conditioned media released exososomes in patients with PE, as valuable markers for PE early prediction. Methods: Blood samples were collected from 100 patients with PE and 100 control with normal pregnancies. Thirty fresh umbilical cord samples of women with healthy pregnancies (n = 15) and PE patients (n = 15) were retrieved during caesarean deliveries and UCMSCs were isolated from Wharton jelly. The expression of miRNAs 136, 494 and 495 in exosomes of peripheral blood and UCMSCs conditioned media was measured using quantitative real-time PCR method. Unpaired t-test, Pearson correlation test and Receiver operator characteristic (ROC) analysis were used for data analysis. Results: Our study revealed a significantly higher expression levels of miRNAs 136, 494 and 495 in exosomes of peripheral blood and matched with UCMSCs released exosomes from patients with PE compared to normal pregnancies (p = 0.000). In peripheral blood of PE, they were 6.4, 3.9 and 2.1 folds higher, respectively. ROC analysis revealed that the sensitivity and specificity values of miRNA-136 were 95% and 100%, respectively, with a cut-off value of 2.55. The sensitivity and specificity values of miRNA-494 were 86% and 95%, respectively, with a cut-off value of 0.47. The sensitivity and specificity values of miRNA-495 were 90% and 83%, respectively, with a cut-off value of 1.287. Conclusion: Our findings suggest that exosomes derived miRNA-136, miRNA-494 and miRNA-495 could be promising circulating biomarkers in early detection of PE. Furthermore, UCMSCs released exosomes miRNA-136, miRNA-494 and miRNA-495 genes expression confirmed peripheral blood results analysis.","author":[{"dropping-particle":"","family":"Motawi","given":"Tarek M.k.","non-dropping-particle":"","parse-names":false,"suffix":""},{"dropping-particle":"","family":"Sabry","given":"Dina","non-dropping-particle":"","parse-names":false,"suffix":""},{"dropping-particle":"","family":"Maurice","given":"Nadine W.","non-dropping-particle":"","parse-names":false,"suffix":""},{"dropping-particle":"","family":"Rizk","given":"Sherine M.","non-dropping-particle":"","parse-names":false,"suffix":""}],"container-title":"Archives of Biochemistry and Biophysics","id":"ITEM-1","issued":{"date-parts":[["2018"]]},"page":"13-21","title":"Role of mesenchymal stem cells exosomes derived microRNAs; miR-136, miR-494 and miR-495 in pre-eclampsia diagnosis and evaluation","type":"article-journal","volume":"659"},"uris":["http://www.mendeley.com/documents/?uuid=b8191eb7-28d5-3790-85bd-bd5fb443c4a3"]}],"mendeley":{"formattedCitation":"(Motawi et al., 2018)","plainTextFormattedCitation":"(Motawi et al., 2018)","previouslyFormattedCitation":"(Motawi et al.,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(Motawi et al., 2018)</w:t>
            </w:r>
            <w:r>
              <w:rPr>
                <w:rFonts w:eastAsia="Times New Roman"/>
                <w:color w:val="000000"/>
                <w:sz w:val="18"/>
                <w:szCs w:val="18"/>
              </w:rPr>
              <w:fldChar w:fldCharType="end"/>
            </w:r>
          </w:p>
        </w:tc>
      </w:tr>
      <w:tr w:rsidR="00CD17F0" w:rsidRPr="00291E4E" w:rsidTr="00DB48CC">
        <w:trPr>
          <w:trHeight w:val="926"/>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Cunningham FG, Leveno KJ, Bloom SL, Spong CY, Dashe JS,Hoffman BL, CaseyBM and Sheffield JS: Hypertensive disorders.In: Williams Obstetrics. 24th edition. McGraw</w:t>
            </w:r>
            <w:r w:rsidRPr="00291E4E">
              <w:rPr>
                <w:rFonts w:eastAsia="Times New Roman"/>
                <w:color w:val="000000"/>
                <w:sz w:val="18"/>
                <w:szCs w:val="18"/>
              </w:rPr>
              <w:noBreakHyphen/>
              <w:t>Hill Education,New York, NY, pp729</w:t>
            </w:r>
            <w:r w:rsidRPr="00291E4E">
              <w:rPr>
                <w:rFonts w:eastAsia="Times New Roman"/>
                <w:color w:val="000000"/>
                <w:sz w:val="18"/>
                <w:szCs w:val="18"/>
              </w:rPr>
              <w:noBreakHyphen/>
              <w:t>731, 2014</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{"citationItems":[{"id":"ITEM-1","itemData":{"DOI":"10.3892/ijmm.2018.3367","abstract":"Preeclampsia (PE) is considered to be initiated by abnormal placentation in early pregnancy and results in systemic endothelial cell dysfunction in the second or third trimester. MicroRNA s (miRs) expressed in the human placenta can be secreted into maternal circulation via exosomes, which are secreted extracellular vesicles that serve important roles in intercellular communication. The present study hypothesized that upregulation of placenta-associated serum exosomal miR- 155 from patients with PE may suppress endothelial nitric oxide synthase (eNO S) expression in endothelial cells. The results demonstrated that placenta-associated serum exosomes from patients with PE decreased nitric oxide (NO ) production and eNO S expression in primary human umbilical vein endothelial cells (HUVEC s). Subsequently, an upregulation of placenta-associated serum exosomal miR- 155 was detected in patients with PE compared with in gestational age-matched normal pregnant women. In addition, the results demonstrated that overexpression of exosomal miR- 155 from BeWo cells was internalized into HUVEC s, and was able to suppress eNO S expression by targeting its 3'-untranslated region. The results of the present study indicated that placenta-associated serum exosomes may inhibit eNO S expression in endothelial cell during PE development in humans, and this phenomenon may be partly due to increased miR- 155 expression in placenta-associated serum exosomes.","author":[{"dropping-particle":"","family":"Shen","given":"Li","non-dropping-particle":"","parse-names":false,"suffix":""},{"dropping-particle":"","family":"Li","given":"Yujing","non-dropping-particle":"","parse-names":false,"suffix":""},{"dropping-particle":"","family":"Li","given":"Ruotian","non-dropping-particle":"","parse-names":false,"suffix":""},{"dropping-particle":"","family":"Diao","given":"Zhenyu","non-dropping-particle":"","parse-names":false,"suffix":""},{"dropping-particle":"","family":"Yany","given":"Muyi","non-dropping-particle":"","parse-names":false,"suffix":""},{"dropping-particle":"","family":"Wu","given":"Mengfei","non-dropping-particle":"","parse-names":false,"suffix":""},{"dropping-particle":"","family":"Sun","given":"Haixiang","non-dropping-particle":"","parse-names":false,"suffix":""},{"dropping-particle":"","family":"Yan","given":"Guijun","non-dropping-particle":"","parse-names":false,"suffix":""},{"dropping-particle":"","family":"Hu","given":"Yali","non-dropping-particle":"","parse-names":false,"suffix":""}],"container-title":"International Journal of Molecular Medicine","id":"ITEM-1","issue":"3","issued":{"date-parts":[["2018"]]},"page":"1731-1739","title":"Placenta-associated serum exosomal miR-155 derived from patients with preeclampsia inhibits eNOS expression in human umbilical vein endothelial cells","type":"article-journal","volume":"41"},"uris":["http://www.mendeley.com/documents/?uuid=14a8d1cf-2690-3f3e-bf10-885c840d8c57"]}],"mendeley":{"formattedCitation":"(Shen et al., 2018)","plainTextFormattedCitation":"(Shen et al., 2018)","previouslyFormattedCitation":"(Shen et al.,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(Shen et al., 2018)</w:t>
            </w:r>
            <w:r>
              <w:rPr>
                <w:rFonts w:eastAsia="Times New Roman"/>
                <w:color w:val="000000"/>
                <w:sz w:val="18"/>
                <w:szCs w:val="18"/>
              </w:rPr>
              <w:fldChar w:fldCharType="end"/>
            </w:r>
          </w:p>
        </w:tc>
      </w:tr>
      <w:tr w:rsidR="00CD17F0" w:rsidRPr="00291E4E" w:rsidTr="00DB48CC">
        <w:trPr>
          <w:trHeight w:val="85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according to the guidelines</w:t>
            </w:r>
            <w:r w:rsidRPr="00291E4E">
              <w:rPr>
                <w:rFonts w:eastAsia="Times New Roman"/>
                <w:color w:val="000000"/>
                <w:sz w:val="18"/>
                <w:szCs w:val="18"/>
              </w:rPr>
              <w:br/>
              <w:t>of the International Society for the Study of Hypertension in Pregnancy</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 xml:space="preserve">Brown MA, Lindheimer MD, de Swiet M, Van Assche A, Moutquin JM. The classification and diagnosisof the hypertensive disorders of pregnancy: </w:t>
            </w:r>
            <w:r w:rsidRPr="00291E4E">
              <w:rPr>
                <w:rFonts w:eastAsia="Times New Roman"/>
                <w:color w:val="000000"/>
                <w:sz w:val="18"/>
                <w:szCs w:val="18"/>
              </w:rPr>
              <w:lastRenderedPageBreak/>
              <w:t>statement from the international society for the study ofhypertension in pregnancy (ISSHP). Hypertens Pregnancy 2001;20:IX±XIV.</w:t>
            </w:r>
          </w:p>
        </w:tc>
        <w:tc>
          <w:tcPr>
            <w:tcW w:w="873" w:type="dxa"/>
          </w:tcPr>
          <w:p w:rsidR="00CD17F0" w:rsidRDefault="00E33D6E" w:rsidP="006D38DA">
            <w:pPr>
              <w:spacing w:before="0" w:after="0"/>
              <w:jc w:val="center"/>
              <w:rPr>
                <w:rFonts w:eastAsia="Times New Roman"/>
                <w:color w:val="000000"/>
                <w:sz w:val="18"/>
                <w:szCs w:val="18"/>
              </w:rPr>
            </w:pPr>
            <w:r>
              <w:rPr>
                <w:rFonts w:eastAsia="Times New Roman"/>
                <w:color w:val="000000"/>
                <w:sz w:val="18"/>
                <w:szCs w:val="18"/>
              </w:rPr>
              <w:lastRenderedPageBreak/>
              <w:fldChar w:fldCharType="begin" w:fldLock="1"/>
            </w:r>
            <w:r w:rsidR="00460963">
              <w:rPr>
                <w:rFonts w:eastAsia="Times New Roman"/>
                <w:color w:val="000000"/>
                <w:sz w:val="18"/>
                <w:szCs w:val="18"/>
              </w:rPr>
              <w:instrText>ADDIN CSL_CITATION {"citationItems":[{"id":"ITEM-1","itemData":{"DOI":"10.1371/journal.pone.0190654","abstract":"Objective We investigated the capacity of microRNAs isolated from peripheral blood buffy coat collected late during the first trimester to predict preeclampsia. Study design The cohort study comprised 48 pregnant women with the following pregnancy outcomes: 8 preeclampsia and 40 with normal delivery outcomes. Quantitative rtPCR was performed on a panel of 30 microRNAs from buffy coat samples drawn at a mean of 12.7±0.5 weeks gestation. MicroRNA Risk Scores were calculated and AUC-ROC calculations derived. Results The AUC-ROC for preeclampsia risk was 0.91 (p&lt;0.0001). When women with normal delivery and high-risk background (those with SLE/APS, chronic hypertension and/or Type 2 Diabetes) were compared to women who developed preeclampsia but with a normal risk background (without these mentioned risk factors), preeclampsia was still predicted with an AUC-ROC of 0.92 (p&lt;0.0001). Conclusion MicroRNA quantification of peripheral immune cell microRNA provides sensitive and specific prediction of preeclampsia in the first trimester of pregnant women. With this study, we extend the range during which disorders of the placental bed may be predicted from early to the end of the first trimester. This study confirms that buffy coat may be used as a sample preparation.","author":[{"dropping-particle":"","family":"Winger","given":"Edward E.","non-dropping-particle":"","parse-names":false,"suffix":""},{"dropping-particle":"","family":"Reed","given":"Jane L.","non-dropping-particle":"","parse-names":false,"suffix":""},{"dropping-particle":"","family":"Ji","given":"Xuhuai","non-dropping-particle":"","parse-names":false,"suffix":""},{"dropping-particle":"","family":"Nicolaides","given":"Kypros","non-dropping-particle":"","parse-names":false,"suffix":""}],"container-title":"PLoS ONE","id":"ITEM-1","issue":"1","issued":{"date-parts":[["2018"]]},"page":"e0190654","title":"Peripheral blood cell microRNA quantification during the first trimester predicts preeclampsia: Proof of concept","type":"article-journal","volume":"13"},"uris":["http://www.mendeley.com/documents/?uuid=de829d05-7c65-3a0d-b8e1-5a2efe1ae5db"]}],"mendeley":{"formattedCitation":"(Winger et al., 2018)","plainTextFormattedCitation":"(Winger et al., 2018)","previouslyFormattedCitation":"(Winger et al., 2018)"},"properties":{"noteIndex":0},"schema":"https://github.com/citation-style-language/schema/raw/master/csl-citation.json"}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(Winger et al., 2018)</w:t>
            </w:r>
            <w:r>
              <w:rPr>
                <w:rFonts w:eastAsia="Times New Roman"/>
                <w:color w:val="000000"/>
                <w:sz w:val="18"/>
                <w:szCs w:val="18"/>
              </w:rPr>
              <w:fldChar w:fldCharType="end"/>
            </w:r>
          </w:p>
          <w:p w:rsidR="009A3081" w:rsidRPr="00291E4E" w:rsidRDefault="009A3081" w:rsidP="006D38DA">
            <w:pPr>
              <w:spacing w:before="0" w:after="0"/>
              <w:jc w:val="center"/>
              <w:rPr>
                <w:rFonts w:eastAsia="Times New Roman"/>
                <w:color w:val="000000"/>
                <w:sz w:val="18"/>
                <w:szCs w:val="18"/>
              </w:rPr>
            </w:pPr>
            <w:r>
              <w:rPr>
                <w:rFonts w:eastAsia="Times New Roman"/>
                <w:color w:val="000000"/>
                <w:sz w:val="18"/>
                <w:szCs w:val="18"/>
              </w:rPr>
              <w:t>Martinez</w:t>
            </w:r>
            <w:r>
              <w:rPr>
                <w:rFonts w:eastAsia="Times New Roman"/>
                <w:color w:val="000000"/>
                <w:sz w:val="18"/>
                <w:szCs w:val="18"/>
              </w:rPr>
              <w:lastRenderedPageBreak/>
              <w:t>-Fierro 2021</w:t>
            </w:r>
          </w:p>
        </w:tc>
      </w:tr>
      <w:tr w:rsidR="00CD17F0" w:rsidRPr="00291E4E" w:rsidTr="00DB48CC">
        <w:trPr>
          <w:trHeight w:val="975"/>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lastRenderedPageBreak/>
              <w:t>PE was defined as blood pressure greater than 140/90mmHg with proteinuria</w:t>
            </w:r>
            <w:r>
              <w:rPr>
                <w:rFonts w:eastAsia="Times New Roman"/>
                <w:color w:val="000000"/>
                <w:sz w:val="18"/>
                <w:szCs w:val="18"/>
              </w:rPr>
              <w:t xml:space="preserve"> </w:t>
            </w:r>
            <w:r w:rsidRPr="00291E4E">
              <w:rPr>
                <w:rFonts w:eastAsia="Times New Roman"/>
                <w:color w:val="000000"/>
                <w:sz w:val="18"/>
                <w:szCs w:val="18"/>
              </w:rPr>
              <w:t>&gt;300mg/24 h or at least 1 g/L (++) on dipstick testing</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{"citationItems":[{"id":"ITEM-1","itemData":{"DOI":"10.1016/j.gene.2019.01.012","abstract":"Introduction: microRNAs (miRNAs) play important role in the regulation of placental development, and abnormal miRNA expression is associated with preeclampsia (PE). miRNAs are released from trophoblast cells to maternal blood flow, where they are highly stable, being encapsulated inside extracellular vesicles, like exosomes or bound to Argonaute proteins. In PE, placental dysfunction leads to aberrant extracellular miRNA secretion. hsa-miR-210 is a hypoxia-sensitive miRNA found to be upregulated in PE; however, it is unknown whether it is the cause or the consequence of the disease. Objective: Our aim was to analyze the expression of several miRNAs, including hsa-miR-210 in placenta, exosome and Ago-bound fractions comparing normal (N) and PE pregnancies. We performed in vitro analyses of extracellular hsa-miR-210 secretion of trophoblast cell cultures (of villous and extravillous origin) under hypoxic condition. Methods: PE and N placenta samples were collected from C-sections, and blood samples were drawn from each pregnant woman in the third trimester. HTR-8 and JAR cell lines were cultured in exosome-free media and treated with hypoxia-mimetic agents. Exosome and Ago-bound fractions were isolated by membrane affinity spin column method from plasma and cell media. Short RNAs were extracted from exosomes and vesicle-free fractions, and total-RNA was isolated from the placenta samples. The RNA purity and concentration were measured by spectrophotometry. Expression analysis was carried out by qPCR with specific primers to target and reference miRNAs. Results: The level of hsa-miR-210 was significantly higher in PE placentas, which could cause a minor increase of exosomal and a high elevation of Ago-bound miR-210 in circulation. Hypoxia lead to intracellular hsa-miR-210 upregulation in trophoblast cell lines. In extravillous cell (HTR-8) media, only the level of exosomal hsa-miR-210 was increased but no change in Ago-bound hsa-miR-210 level was observed. In contrast, in villous cell (JAR) media, the level of exosomal hsa-miR-210 was increased and enhanced release of Ago-bound hsa-miR-210 was also observed. Conclusion: Based on our data, we postulate that in PE, exosomal hsa-miR-210 is secreted actively from the trophoblast, and by intercellular communication, it may have a role in disease etiology. In addition, there is a passive release of Ago-bound hsa-miR-210 into the circulation, which may represent by-products of cell-death and is thereby a possible…","author":[{"dropping-particle":"","family":"Biró","given":"Orsolya","non-dropping-particle":"","parse-names":false,"suffix":""},{"dropping-particle":"","family":"Fóthi","given":"Ábel","non-dropping-particle":"","parse-names":false,"suffix":""},{"dropping-particle":"","family":"Alasztics","given":"Bálint","non-dropping-particle":"","parse-names":false,"suffix":""},{"dropping-particle":"","family":"Nagy","given":"Bálint","non-dropping-particle":"","parse-names":false,"suffix":""},{"dropping-particle":"","family":"Orbán","given":"Tamás I.","non-dropping-particle":"","parse-names":false,"suffix":""},{"dropping-particle":"","family":"Rigó","given":"János","non-dropping-particle":"","parse-names":false,"suffix":""}],"container-title":"Gene","id":"ITEM-1","issued":{"date-parts":[["2019"]]},"page":"138-144","title":"Circulating exosomal and Argonaute-bound microRNAs in preeclampsia","type":"article-journal","volume":"692"},"uris":["http://www.mendeley.com/documents/?uuid=b0320f3a-64bf-335a-8489-133d737d86f0"]}],"mendeley":{"formattedCitation":"(Biró et al., 2019)","plainTextFormattedCitation":"(Biró et al., 2019)","previouslyFormattedCitation":"(Biró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(Biró et al., 2019)</w:t>
            </w:r>
            <w:r>
              <w:rPr>
                <w:rFonts w:eastAsia="Times New Roman"/>
                <w:color w:val="000000"/>
                <w:sz w:val="18"/>
                <w:szCs w:val="18"/>
              </w:rPr>
              <w:fldChar w:fldCharType="end"/>
            </w:r>
          </w:p>
        </w:tc>
      </w:tr>
      <w:tr w:rsidR="00CD17F0" w:rsidRPr="00291E4E" w:rsidTr="00DB48CC">
        <w:trPr>
          <w:trHeight w:val="27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PE was defined as systolic or diastolic blood pressure higher than 140/90mmHg and proteinuria above 0.3 g/24 hr, according to internationally accepted criteria</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Roberts, J. M., August, P. A., Bakris, G., Barton, J. R., Bernstein, I. M.,Druzin, M.,Ngaiza, K. (2013). Hypertension in pregnancy. Report ofthe American College of Obstetricians and Gynecologists’ task force</w:t>
            </w:r>
            <w:r>
              <w:rPr>
                <w:rFonts w:eastAsia="Times New Roman"/>
                <w:color w:val="000000"/>
                <w:sz w:val="18"/>
                <w:szCs w:val="18"/>
              </w:rPr>
              <w:t xml:space="preserve"> </w:t>
            </w:r>
            <w:r w:rsidRPr="00291E4E">
              <w:rPr>
                <w:rFonts w:eastAsia="Times New Roman"/>
                <w:color w:val="000000"/>
                <w:sz w:val="18"/>
                <w:szCs w:val="18"/>
              </w:rPr>
              <w:t>on hypertension in pregnancy. American College of Obstetricians and</w:t>
            </w:r>
            <w:r>
              <w:rPr>
                <w:rFonts w:eastAsia="Times New Roman"/>
                <w:color w:val="000000"/>
                <w:sz w:val="18"/>
                <w:szCs w:val="18"/>
              </w:rPr>
              <w:t xml:space="preserve"> </w:t>
            </w:r>
            <w:r w:rsidRPr="00291E4E">
              <w:rPr>
                <w:rFonts w:eastAsia="Times New Roman"/>
                <w:color w:val="000000"/>
                <w:sz w:val="18"/>
                <w:szCs w:val="18"/>
              </w:rPr>
              <w:t>Gynecologists, 122(5), 1122–1131.</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{"citationItems":[{"id":"ITEM-1","itemData":{"DOI":"10.1002/jcp.27315","abstract":"Problem: Inappropriate activation of the immune system, particularly the imbalance of T-helper type 17 (Th17)/regulatory T (Treg) cells is thought to play considerable roles in preeclampsia (PE). To investigate the probable effects of the adaptive immune system in the pathophysiology of PE, we analyzed the dynamic changes of Th17/Treg cells, cytokines profile, and transcription pattern of Th17/Treg-related genes and microRNAs (miRNAs) in 50 women suffering from PE in comparison with 50 healthy pregnant women. Methods: Expressions of cytokines, specific transcription factors, and related miRNAs were measured by real-time polymerase chain reaction (PCR). Enzyme-linked immunosorbent assay (ELISA) was used to test the interleukin (IL)-17, IL-23, IL-6, and IL-10 and transforming growth factor β in serum and supernatant of peripheral blood mononuclear cells (PBMCs). The frequency of Th17 and Treg cells were determined by flow cytometry. Results: PE patients exhibited a decreased number of Treg cells (p = 0.006), while Th17 cells were increased (p = 0.004). Forkhead box P3 and IL-10 mRNA expressions were reduced (p = 0.0001 and 0.0028, respectively), while expressions of retinoic acid receptor-related orphan nuclear receptor γt, IL-17, IL-23, and IL-6 were enhanced (p &lt; 0.0001, 0.0018, 0.0014, and 0.027, respectively). ELISA results also showed increased levels of IL-6, IL-17, and IL-23 (p = 0.022, 0.0005, 0.0081, respectively), and decreased levels of IL-10 in the supernatant of PBMCs of PE patients compared with control group (p = 0.0011). There was significant upregulation of miR-106b and miR-326 (p = 0.0048 and 0.028, respectively) in PE patients in comparison with the control group. Conclusions: These findings suggest that imbalance of Th17/Treg cells, regulated possibly via microRNAs, may be involved in the pathogenesis of PE, emphasizing on the importance of these cells in feto-maternal immune cross-talk.","author":[{"dropping-particle":"","family":"Eghbal-Fard","given":"Shadi","non-dropping-particle":"","parse-names":false,"suffix":""},{"dropping-particle":"","family":"Yousefi","given":"Mehdi","non-dropping-particle":"","parse-names":false,"suffix":""},{"dropping-particle":"","family":"Heydarlou","given":"Hanieh","non-dropping-particle":"","parse-names":false,"suffix":""},{"dropping-particle":"","family":"Ahmadi","given":"Majid","non-dropping-particle":"","parse-names":false,"suffix":""},{"dropping-particle":"","family":"Taghavi","given":"Simin","non-dropping-particle":"","parse-names":false,"suffix":""},{"dropping-particle":"","family":"Movasaghpour","given":"Aliakbar","non-dropping-particle":"","parse-names":false,"suffix":""},{"dropping-particle":"","family":"Jadidi-Niaragh","given":"Farhad","non-dropping-particle":"","parse-names":false,"suffix":""},{"dropping-particle":"","family":"Yousefi","given":"Bahman","non-dropping-particle":"","parse-names":false,"suffix":""},{"dropping-particle":"","family":"Dolati","given":"Sanam","non-dropping-particle":"","parse-names":false,"suffix":""},{"dropping-particle":"","family":"Hojjat-Farsangi","given":"Mohammad","non-dropping-particle":"","parse-names":false,"suffix":""},{"dropping-particle":"","family":"Rikhtegar","given":"Reza","non-dropping-particle":"","parse-names":false,"suffix":""},{"dropping-particle":"","family":"Nouri","given":"Mohammad","non-dropping-particle":"","parse-names":false,"suffix":""},{"dropping-particle":"","family":"Aghebati-Maleki","given":"Leili","non-dropping-particle":"","parse-names":false,"suffix":""}],"container-title":"Journal of Cellular Physiology","id":"ITEM-1","issue":"4","issued":{"date-parts":[["2019"]]},"page":"5106-5116","title":"The imbalance of Th17/Treg axis involved in the pathogenesis of preeclampsia","type":"article-journal","volume":"234"},"uris":["http://www.mendeley.com/documents/?uuid=c8016517-73fd-3d4e-aede-b5e11a9002fd"]}],"mendeley":{"formattedCitation":"(Eghbal-Fard et al., 2019)","plainTextFormattedCitation":"(Eghbal-Fard et al., 2019)","previouslyFormattedCitation":"(Eghbal-Fard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(Eghbal-Fard et al., 2019)</w:t>
            </w:r>
            <w:r>
              <w:rPr>
                <w:rFonts w:eastAsia="Times New Roman"/>
                <w:color w:val="000000"/>
                <w:sz w:val="18"/>
                <w:szCs w:val="18"/>
              </w:rPr>
              <w:fldChar w:fldCharType="end"/>
            </w:r>
          </w:p>
        </w:tc>
      </w:tr>
      <w:tr w:rsidR="00CD17F0" w:rsidRPr="00291E4E" w:rsidTr="00DB48CC">
        <w:trPr>
          <w:trHeight w:val="51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 xml:space="preserve">PE was diagnosed after 20 weeks gestation, systolic pressure </w:t>
            </w:r>
            <w:r>
              <w:rPr>
                <w:rFonts w:eastAsia="Times New Roman"/>
                <w:color w:val="000000"/>
                <w:sz w:val="18"/>
                <w:szCs w:val="18"/>
              </w:rPr>
              <w:t>≥</w:t>
            </w:r>
            <w:r w:rsidRPr="00291E4E">
              <w:rPr>
                <w:rFonts w:eastAsia="Times New Roman"/>
                <w:color w:val="000000"/>
                <w:sz w:val="18"/>
                <w:szCs w:val="18"/>
              </w:rPr>
              <w:t xml:space="preserve">140 mm Hg and/or diastolic pressure </w:t>
            </w:r>
            <w:r>
              <w:rPr>
                <w:rFonts w:eastAsia="Times New Roman"/>
                <w:color w:val="000000"/>
                <w:sz w:val="18"/>
                <w:szCs w:val="18"/>
              </w:rPr>
              <w:t>≥</w:t>
            </w:r>
            <w:r w:rsidRPr="00291E4E">
              <w:rPr>
                <w:rFonts w:eastAsia="Times New Roman"/>
                <w:color w:val="000000"/>
                <w:sz w:val="18"/>
                <w:szCs w:val="18"/>
              </w:rPr>
              <w:t xml:space="preserve">90 mm Hg at rest on 2 occasions at least 4 to 6 hours apart, and urinary protein </w:t>
            </w:r>
            <w:r>
              <w:rPr>
                <w:rFonts w:eastAsia="Times New Roman"/>
                <w:color w:val="000000"/>
                <w:sz w:val="18"/>
                <w:szCs w:val="18"/>
              </w:rPr>
              <w:t>≥</w:t>
            </w:r>
            <w:r w:rsidRPr="00291E4E">
              <w:rPr>
                <w:rFonts w:eastAsia="Times New Roman"/>
                <w:color w:val="000000"/>
                <w:sz w:val="18"/>
                <w:szCs w:val="18"/>
              </w:rPr>
              <w:t>0.3 g/24 hours</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{"citationItems":[{"id":"ITEM-1","itemData":{"DOI":"10.1177/1933719118808916","abstract":"Objective: It has been demonstrated that preeclampsia is associated with alterations in placental microRNA expression. Previous reports have shown that hsa-miR-181a-5p is overexpressed in human preeclamptic placenta compared with normotensive placenta. The purpose of this study was to explore whether upregulated hsa-miR-181a-5p expression is involved in the ontogenesis of preeclampsia. Methods: Twenty preeclamptic placentas and 20 normotensive placentas were obtained from nulliparous women by cesarean section. Expression of hsa-miR-181a-5p in placenta tissues and human trophoblast cell lines was analyzed by reverse transcription polymerase chain reaction. The trophoblast cell lines (HTR-8/SVneo and JAR) were transfected with specific oligonucleotides to upregulate miR-181a-5p expression. The effect of miR-181a-5p expression on proliferation, cell cycle, apoptosis, and invasion in HTR-8/SVneo and JAR cells was then investigated. Result: It was demonstrated that hsa-miR-181a-5p expression was upregulated in preeclamptic placentas and that it may trigger antiproliferation and inhibition of cell cycle progression, induce apoptosis, and suppress invasion in HTR-8/SVneo and JAR cells. Conclusion: Anomalously upregulated hsa-miR-181a-5p expression could contribute to trophoblast dysfunction and may be a crucial factor in the pathogenesis of preeclampsia.","author":[{"dropping-particle":"","family":"Huang","given":"Xiaohao","non-dropping-particle":"","parse-names":false,"suffix":""},{"dropping-particle":"","family":"Wu","given":"Lan","non-dropping-particle":"","parse-names":false,"suffix":""},{"dropping-particle":"","family":"Zhang","given":"Guoying","non-dropping-particle":"","parse-names":false,"suffix":""},{"dropping-particle":"","family":"Tang","given":"Ranran","non-dropping-particle":"","parse-names":false,"suffix":""},{"dropping-particle":"","family":"Zhou","given":"Xue","non-dropping-particle":"","parse-names":false,"suffix":""}],"container-title":"Reproductive Sciences","id":"ITEM-1","issue":"8","issued":{"date-parts":[["2019"]]},"page":"1121-1129","title":"Elevated MicroRNA-181a-5p Contributes to Trophoblast Dysfunction and Preeclampsia","type":"article-journal","volume":"26"},"uris":["http://www.mendeley.com/documents/?uuid=9134c2f7-1858-3a1a-a77b-5e3129b6233c"]}],"mendeley":{"formattedCitation":"(Huang et al., 2019)","plainTextFormattedCitation":"(Huang et al., 2019)","previouslyFormattedCitation":"(Huang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(Huang et al., 2019)</w:t>
            </w:r>
            <w:r>
              <w:rPr>
                <w:rFonts w:eastAsia="Times New Roman"/>
                <w:color w:val="000000"/>
                <w:sz w:val="18"/>
                <w:szCs w:val="18"/>
              </w:rPr>
              <w:fldChar w:fldCharType="end"/>
            </w:r>
          </w:p>
        </w:tc>
      </w:tr>
      <w:tr w:rsidR="00CD17F0" w:rsidRPr="00291E4E" w:rsidTr="00DB48CC">
        <w:trPr>
          <w:trHeight w:val="79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Zhou R, Tardivel A, Thorens B, Choi I, Tschopp J. Thioredoxininteractingprotein links oxidative stress to inflammasome activation.Nat Immunol. 2010;11:136–40.</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283825">
              <w:rPr>
                <w:rFonts w:eastAsia="Times New Roman"/>
                <w:color w:val="000000"/>
                <w:sz w:val="18"/>
                <w:szCs w:val="18"/>
              </w:rPr>
              <w:instrText>ADDIN CSL_CITATION {"citationItems":[{"id":"ITEM-1","itemData":{"DOI":"10.1007/s00011-019-01246-8","abstract":"Background: The pathogenesis of preeclampsia (PE) is suggested to be a consequence of inflammation. Previously conducted investigations on nod-like receptor pyrin domain-containing 3 (NLRP3) have shed light to its crucial role in PE. Furthermore, microRNA-520c-3p (miR-520c-3p) is observed to be implicated in inflammation. Therefore, the current study aimed to explore the role of miR-520c-3p in inflammatory cascade of PE by targeting NLRP3. Methods: Microarray analyses were performed to screen differentially expressed genes associated with PE, and the potential relationship between miR-520c-3p and NLRP3 was analyzed. PE and normal placenta tissues were collected to determine the levels of inflammatory cytokines (IL-18, IL-33, IL-1β, IL-10, and TNF-α), miR-520c-3p and NLRP3. Hypoxic HTR8/SVneo cells were transfected with oe-NLRP3, si-NLRP3 or miR-520c-3p mimic to elucidate the functional role of NLRP3 or miR-520c-3p in the inflammatory cascade in PE, followed by the evaluation of levels of inflammatory cytokines and NLRP3 inflammasomes (NLRP3, ASC and caspase-1). Additionally, the HTR8/SVneo cell migration and invasion were evaluated. Results: An upregulation of NLRP3, IL-18, IL-1β and TNF-α, and downregulation of miR-520c-3p, IL-33 and IL-10 were observed in PE placenta tissues. NLRP3 was found to be a target gene of miR-520c-3p. HTR8/SVneo cells after hypoxia transfected with si-NLRP3 or miR-520c-3p mimic exhibited decreased levels of inflammatory cytokines and NLRP3 inflammasomes, in addition to increased IL-10 and IL-33 levels. Moreover, enhanced migration and invasion abilities were observed in cells transfected with si-NLRP3. Conclusion: Collectively, miR-520c-3p could potentially inhibit NLRP3 inflammasome activation and inflammatory cascade in PE by downregulating NLRP3, highlighting the potential of miR-520c-3p as a therapeutic target for PE treatment.","author":[{"dropping-particle":"","family":"Liu","given":"Zhaochun","non-dropping-particle":"","parse-names":false,"suffix":""},{"dropping-particle":"","family":"Zhao","given":"Xia","non-dropping-particle":"","parse-names":false,"suffix":""},{"dropping-particle":"","family":"Shan","given":"Hong Ying","non-dropping-particle":"","parse-names":false,"suffix":""},{"dropping-particle":"","family":"Gao","given":"Huan","non-dropping-particle":"","parse-names":false,"suffix":""},{"dropping-particle":"","family":"Wang","given":"Ping","non-dropping-particle":"","parse-names":false,"suffix":""}],"container-title":"Inflammation Research","id":"ITEM-1","issue":"8","issued":{"date-parts":[["2019"]]},"page":"643-654","title":"microRNA-520c-3p suppresses NLRP3 inflammasome activation and inflammatory cascade in preeclampsia by downregulating NLRP3","type":"article-journal","volume":"68"},"uris":["http://www.mendeley.com/documents/?uuid=4de40402-d637-3efe-b3e4-2d562f3df34a"]}],"mendeley":{"formattedCitation":"(Liu et al., 2019c)","plainTextFormattedCitation":"(Liu et al., 2019c)","previouslyFormattedCitation":"(Liu et al., 2019b)"},"properties":{"noteIndex":0},"schema":"https://github.com/citation-style-language/schema/raw/master/csl-citation.json"}</w:instrText>
            </w:r>
            <w:r>
              <w:rPr>
                <w:rFonts w:eastAsia="Times New Roman"/>
                <w:color w:val="000000"/>
                <w:sz w:val="18"/>
                <w:szCs w:val="18"/>
              </w:rPr>
              <w:fldChar w:fldCharType="separate"/>
            </w:r>
            <w:r w:rsidR="00283825" w:rsidRPr="00283825">
              <w:rPr>
                <w:rFonts w:eastAsia="Times New Roman"/>
                <w:noProof/>
                <w:color w:val="000000"/>
                <w:sz w:val="18"/>
                <w:szCs w:val="18"/>
              </w:rPr>
              <w:t>(Liu et al., 2019c)</w:t>
            </w:r>
            <w:r>
              <w:rPr>
                <w:rFonts w:eastAsia="Times New Roman"/>
                <w:color w:val="000000"/>
                <w:sz w:val="18"/>
                <w:szCs w:val="18"/>
              </w:rPr>
              <w:fldChar w:fldCharType="end"/>
            </w:r>
          </w:p>
        </w:tc>
      </w:tr>
      <w:tr w:rsidR="00CD17F0" w:rsidRPr="00291E4E" w:rsidTr="00DB48CC">
        <w:trPr>
          <w:trHeight w:val="986"/>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 xml:space="preserve">Davison JM and Lindheimer MD. </w:t>
            </w:r>
            <w:r w:rsidRPr="00291E4E">
              <w:rPr>
                <w:rFonts w:eastAsia="Times New Roman"/>
                <w:b/>
                <w:bCs/>
                <w:color w:val="000000"/>
                <w:sz w:val="18"/>
                <w:szCs w:val="18"/>
              </w:rPr>
              <w:t>ISSHP</w:t>
            </w:r>
            <w:r w:rsidRPr="00291E4E">
              <w:rPr>
                <w:rFonts w:eastAsia="Times New Roman"/>
                <w:color w:val="000000"/>
                <w:sz w:val="18"/>
                <w:szCs w:val="18"/>
              </w:rPr>
              <w:t>, an association saving the lives of pregnant women and their babies: (the international society for the study of hypertensions in pregnancy (ISSHP): its history). Pregnancy Hypertens 2017; 7: 2-28.</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{"citationItems":[{"id":"ITEM-1","itemData":{"abstract":"Objective: The aim of the current study was to investigate the clinical significance of peripheral blood miR-133a and miR-206 in pregnant women with preeclampsia (PE), examining correlation with pregnancy outcomes. Methods: A prospective cohort study design was used for 89 patients with PE.","author":[{"dropping-particle":"","family":"Ma","given":"Rong","non-dropping-particle":"","parse-names":false,"suffix":""},{"dropping-particle":"","family":"Lu","given":"Yan","non-dropping-particle":"","parse-names":false,"suffix":""},{"dropping-particle":"","family":"Dou","given":"Chunjiang","non-dropping-particle":"","parse-names":false,"suffix":""},{"dropping-particle":"","family":"Gu","given":"Qiaoling","non-dropping-particle":"","parse-names":false,"suffix":""}],"container-title":"Int J Clin Exp Med","id":"ITEM-1","issue":"6","issued":{"date-parts":[["2019"]]},"page":"7383-7391","title":"Clinical significance of miR-133a and miR-206 in pregnant women with preeclampsia and correlation with pregnancy outcomes","type":"article-journal","volume":"12"},"uris":["http://www.mendeley.com/documents/?uuid=58a85cbf-c3ac-33a9-b523-834c6e987b2d"]}],"mendeley":{"formattedCitation":"(Ma et al., 2019)","plainTextFormattedCitation":"(Ma et al., 2019)","previouslyFormattedCitation":"(Ma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(Ma et al., 2019)</w:t>
            </w:r>
            <w:r>
              <w:rPr>
                <w:rFonts w:eastAsia="Times New Roman"/>
                <w:color w:val="000000"/>
                <w:sz w:val="18"/>
                <w:szCs w:val="18"/>
              </w:rPr>
              <w:fldChar w:fldCharType="end"/>
            </w:r>
          </w:p>
        </w:tc>
      </w:tr>
      <w:tr w:rsidR="00CD17F0" w:rsidRPr="00291E4E" w:rsidTr="00DB48CC">
        <w:trPr>
          <w:trHeight w:val="985"/>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M.A. Brown, M.D. Lindheimer, M. de Swiet, A. Van Assche, J.M. Moutquin, The classification and diagnosis of the hypertensive disorders of pregnancy: statement from the International Society for the Study of Hypertension in Pregnancy (ISSHP), Hypertens. Pregnancy 20 (1) (2001) IX–XIV.</w:t>
            </w:r>
          </w:p>
        </w:tc>
        <w:tc>
          <w:tcPr>
            <w:tcW w:w="873" w:type="dxa"/>
          </w:tcPr>
          <w:p w:rsidR="00CD17F0"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{"citationItems":[{"id":"ITEM-1","itemData":{"DOI":"10.1016/j.preghy.2019.03.012","abstract":"Objective: Preeclampsia pathogenesis involves imbalances of oxidative stress networks including the heat shock protein (HSP) pathway. Micro-RNAs regulate gene networks associated with preeclampsia. Hsp90 and Runx2 are transcriptional targets of miR-628-3p. Considering that potential participation of hsa-miR-628-3p in PE development is still not elucidated, the aim of this study was to evaluate serum microRNA expression of hsa-miR-628-3p and hsa-miR-628-5p and their association with the preeclampsia development. Study design: A retrospective nested cohort case-control study was conducted. Serum samples from 16 pregnant women who developed preeclampsia (WWD-PE) during the follow-up period were selected and individually matched to that from 18 women in the cohort who had healthy pregnancies without complications (controls). Main outcome measures: The levels of hsa-miR-628-3p and hsa-miR-628-5p were measured in serum samples from study groups at 12, 16, and 20 weeks of gestation (WG) using TaqMan probes. Additionally serum levels were measured at the moment of diagnosis, in women with preeclampsia. Results: Serum levels of hsa-miR-628-3p were higher than controls in WWD-PE at 12 WG (RQ = 7.7; P = 0.020), and of hsa-miR-628-5p at 20 WG (RQ = 3.4; P = 0.008). An increase in hsa-miR-628-3p serum levels at 12 WG (RQ = 12.01; P = 0.001) and of hsa-miR-628-5p at 20 WG (RQ = 2.95; P = 0.033) was also observed in women who developed mild preeclampsia, and severe preeclampsia, respectively. Conclusions: Serum hsa-miR-628-3p and hsa-miR-628-5p were differentially expressed between WWD-PE and controls, suggesting a participation of these miRNAs in the development of preeclampsia. Future studies are needed to validate hsa-miR628-3p and -5p as early predictors of preeclampsia.","author":[{"dropping-particle":"","family":"Martinez-Fierro","given":"Margarita L.","non-dropping-particle":"","parse-names":false,"suffix":""},{"dropping-particle":"","family":"Carrillo-Arriaga","given":"Jose Gerardo","non-dropping-particle":"","parse-names":false,"suffix":""},{"dropping-particle":"","family":"Luevano","given":"Martha","non-dropping-particle":"","parse-names":false,"suffix":""},{"dropping-particle":"","family":"Lugo-Trampe","given":"Angel","non-dropping-particle":"","parse-names":false,"suffix":""},{"dropping-particle":"","family":"Delgado-Enciso","given":"Ivan","non-dropping-particle":"","parse-names":false,"suffix":""},{"dropping-particle":"","family":"Rodriguez-Sanchez","given":"Iram Pablo","non-dropping-particle":"","parse-names":false,"suffix":""},{"dropping-particle":"","family":"Garza-Veloz","given":"Idalia","non-dropping-particle":"","parse-names":false,"suffix":""}],"container-title":"Pregnancy Hypertension","id":"ITEM-1","issued":{"date-parts":[["2019"]]},"page":"120-125","title":"Serum levels of miR-628-3p and miR-628-5p during the early pregnancy are increased in women who subsequently develop preeclampsia","type":"article-journal","volume":"16"},"uris":["http://www.mendeley.com/documents/?uuid=4b5efe7a-1689-34f3-8391-85093af5d344"]}],"mendeley":{"formattedCitation":"(Martinez-Fierro et al., 2019)","plainTextFormattedCitation":"(Martinez-Fierro et al., 2019)","previouslyFormattedCitation":"(Martinez-Fierro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(Martinez-Fierro et al., 2019)</w:t>
            </w:r>
            <w:r>
              <w:rPr>
                <w:rFonts w:eastAsia="Times New Roman"/>
                <w:color w:val="000000"/>
                <w:sz w:val="18"/>
                <w:szCs w:val="18"/>
              </w:rPr>
              <w:fldChar w:fldCharType="end"/>
            </w:r>
          </w:p>
          <w:p w:rsidR="009E5BDA" w:rsidRPr="00291E4E" w:rsidRDefault="009E5BDA" w:rsidP="006D38DA">
            <w:pPr>
              <w:spacing w:before="0" w:after="0"/>
              <w:jc w:val="center"/>
              <w:rPr>
                <w:rFonts w:eastAsia="Times New Roman"/>
                <w:color w:val="000000"/>
                <w:sz w:val="18"/>
                <w:szCs w:val="18"/>
              </w:rPr>
            </w:pPr>
            <w:r>
              <w:rPr>
                <w:rFonts w:eastAsia="Times New Roman"/>
                <w:color w:val="000000"/>
                <w:sz w:val="18"/>
                <w:szCs w:val="18"/>
              </w:rPr>
              <w:t>Huang 2020</w:t>
            </w:r>
          </w:p>
        </w:tc>
      </w:tr>
      <w:tr w:rsidR="00CD17F0" w:rsidRPr="00291E4E" w:rsidTr="00DB48CC">
        <w:trPr>
          <w:trHeight w:val="1473"/>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is defined as increased blood pressure (≥140 mmHg systolic, or ≥90 mmHg diastolic on 2 or occasions at least 4 h apart) in addition to any of following features: significant proteinuria (≥0.3 g/L in 24 or ≥1+), thrombocytopenia (low blood platelet count, platelet count≤105/micro</w:t>
            </w:r>
            <w:r>
              <w:rPr>
                <w:rFonts w:eastAsia="Times New Roman"/>
                <w:color w:val="000000"/>
                <w:sz w:val="18"/>
                <w:szCs w:val="18"/>
              </w:rPr>
              <w:t xml:space="preserve"> </w:t>
            </w:r>
            <w:r w:rsidRPr="00291E4E">
              <w:rPr>
                <w:rFonts w:eastAsia="Times New Roman"/>
                <w:color w:val="000000"/>
                <w:sz w:val="18"/>
                <w:szCs w:val="18"/>
              </w:rPr>
              <w:t xml:space="preserve">liter), renal insufficiency(serum creatinine concentrations≥97.24 μmol/L), and impaired liver function (doubling of blood transaminases concentration) after 20 weeks of gestation in a woman with a </w:t>
            </w:r>
            <w:r>
              <w:rPr>
                <w:rFonts w:eastAsia="Times New Roman"/>
                <w:color w:val="000000"/>
                <w:sz w:val="18"/>
                <w:szCs w:val="18"/>
              </w:rPr>
              <w:t>p</w:t>
            </w:r>
            <w:r w:rsidRPr="00291E4E">
              <w:rPr>
                <w:rFonts w:eastAsia="Times New Roman"/>
                <w:color w:val="000000"/>
                <w:sz w:val="18"/>
                <w:szCs w:val="18"/>
              </w:rPr>
              <w:t>reviously normal blood pressure</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b/>
                <w:bCs/>
                <w:color w:val="000000"/>
                <w:sz w:val="18"/>
                <w:szCs w:val="18"/>
              </w:rPr>
            </w:pPr>
            <w:r w:rsidRPr="00291E4E">
              <w:rPr>
                <w:rFonts w:eastAsia="Times New Roman"/>
                <w:b/>
                <w:bCs/>
                <w:color w:val="000000"/>
                <w:sz w:val="18"/>
                <w:szCs w:val="18"/>
              </w:rPr>
              <w:t>ACOG 2013</w:t>
            </w:r>
          </w:p>
        </w:tc>
        <w:tc>
          <w:tcPr>
            <w:tcW w:w="873" w:type="dxa"/>
          </w:tcPr>
          <w:p w:rsidR="00CD17F0" w:rsidRDefault="00E33D6E" w:rsidP="006D38DA">
            <w:pPr>
              <w:spacing w:before="0" w:after="0"/>
              <w:jc w:val="center"/>
              <w:rPr>
                <w:rFonts w:eastAsia="Times New Roman"/>
                <w:b/>
                <w:bCs/>
                <w:color w:val="000000"/>
                <w:sz w:val="18"/>
                <w:szCs w:val="18"/>
              </w:rPr>
            </w:pPr>
            <w:r>
              <w:rPr>
                <w:rFonts w:eastAsia="Times New Roman"/>
                <w:b/>
                <w:bCs/>
                <w:color w:val="000000"/>
                <w:sz w:val="18"/>
                <w:szCs w:val="18"/>
              </w:rPr>
              <w:fldChar w:fldCharType="begin" w:fldLock="1"/>
            </w:r>
            <w:r w:rsidR="00460963">
              <w:rPr>
                <w:rFonts w:eastAsia="Times New Roman"/>
                <w:b/>
                <w:bCs/>
                <w:color w:val="000000"/>
                <w:sz w:val="18"/>
                <w:szCs w:val="18"/>
              </w:rPr>
              <w:instrText>ADDIN CSL_CITATION {"citationItems":[{"id":"ITEM-1","itemData":{"DOI":"10.1016/j.preghy.2019.03.004","abstract":"MicroRNAs (miRNAs, miRs) are small regulatory non-coding RNAs that regulate gene expression by incomplete complementary attachment to the 3′UTR, 5′UTR, ORF and promoter regions of target mRNAs. We compared plasma levels of miR-210-3p and miR-517c-3p as cell-free microRNAs (cfmiRNAs) in preeclamptic (n = 20) and healthy women (n = 20). These miRs are responsible for cell growth and proliferation, placental hypoxia, immune response and apoptosis. We found higher expression levels of miR-210 and miR-517c in preeclamptic cases (+3.34 and +2.27 fold change, respectively). This is the first study that evaluates the plasma levels of miR-517c in preeclamptic cases by real time PCR (RT-PCR) technique. This study can lead to new opportunities for research about the roles of miRNAs in preeclampsia etiology or new biomarkers.","author":[{"dropping-particle":"","family":"Nejad","given":"Reza Mola Ali","non-dropping-particle":"","parse-names":false,"suffix":""},{"dropping-particle":"","family":"Saeidi","given":"Kolsoum","non-dropping-particle":"","parse-names":false,"suffix":""},{"dropping-particle":"","family":"Gharbi","given":"Sedigheh","non-dropping-particle":"","parse-names":false,"suffix":""},{"dropping-particle":"","family":"Salari","given":"Zohreh","non-dropping-particle":"","parse-names":false,"suffix":""},{"dropping-particle":"","family":"Saleh-Gohari","given":"Nasrollah","non-dropping-particle":"","parse-names":false,"suffix":""}],"container-title":"Pregnancy Hypertension","id":"ITEM-1","issued":{"date-parts":[["2019"]]},"page":"75-78","title":"Quantification of circulating miR-517c-3p and miR-210-3p levels in preeclampsia","type":"article-journal","volume":"16"},"uris":["http://www.mendeley.com/documents/?uuid=c745e402-f470-3edd-b541-e7bd2f2cdbf0"]}],"mendeley":{"formattedCitation":"(Nejad et al., 2019)","plainTextFormattedCitation":"(Nejad et al., 2019)","previouslyFormattedCitation":"(Nejad et al., 2019)"},"properties":{"noteIndex":0},"schema":"https://github.com/citation-style-language/schema/raw/master/csl-citation.json"}</w:instrText>
            </w:r>
            <w:r>
              <w:rPr>
                <w:rFonts w:eastAsia="Times New Roman"/>
                <w:b/>
                <w:bCs/>
                <w:color w:val="000000"/>
                <w:sz w:val="18"/>
                <w:szCs w:val="18"/>
              </w:rPr>
              <w:fldChar w:fldCharType="separate"/>
            </w:r>
            <w:r w:rsidR="00D0073D" w:rsidRPr="00D0073D">
              <w:rPr>
                <w:rFonts w:eastAsia="Times New Roman"/>
                <w:bCs/>
                <w:noProof/>
                <w:color w:val="000000"/>
                <w:sz w:val="18"/>
                <w:szCs w:val="18"/>
              </w:rPr>
              <w:t>(Nejad et al., 2019)</w:t>
            </w:r>
            <w:r>
              <w:rPr>
                <w:rFonts w:eastAsia="Times New Roman"/>
                <w:b/>
                <w:bCs/>
                <w:color w:val="000000"/>
                <w:sz w:val="18"/>
                <w:szCs w:val="18"/>
              </w:rPr>
              <w:fldChar w:fldCharType="end"/>
            </w:r>
          </w:p>
          <w:p w:rsidR="001F64F4" w:rsidRPr="001F64F4" w:rsidRDefault="00E33D6E" w:rsidP="006D38DA">
            <w:pPr>
              <w:spacing w:before="0" w:after="0"/>
              <w:jc w:val="center"/>
              <w:rPr>
                <w:rFonts w:eastAsia="Times New Roman"/>
                <w:bCs/>
                <w:color w:val="000000"/>
                <w:sz w:val="18"/>
                <w:szCs w:val="18"/>
              </w:rPr>
            </w:pPr>
            <w:r w:rsidRPr="00E33D6E">
              <w:rPr>
                <w:rFonts w:eastAsia="Times New Roman"/>
                <w:bCs/>
                <w:color w:val="000000"/>
                <w:sz w:val="18"/>
                <w:szCs w:val="18"/>
              </w:rPr>
              <w:t>Wu 2020</w:t>
            </w:r>
          </w:p>
        </w:tc>
      </w:tr>
      <w:tr w:rsidR="00CD17F0" w:rsidRPr="00291E4E" w:rsidTr="00DB48CC">
        <w:trPr>
          <w:trHeight w:val="30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ISSHP no reference</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{"citationItems":[{"id":"ITEM-1","itemData":{"DOI":"10.1016/j.cbi.2018.10.012","abstract":"MicroRNAs (miRNAs) are emerging as important regulators in the pathogenesis of pre-eclampsia (PE). Recent evidence has reported that miR-454 plays an important role in regulating cell proliferation and invasion. The decreased proliferation and invasion of trophoblast cells contribute to the pathogenesis of PE. However, whether miR-454 is involved in the regulation of trophoblast cell proliferation and invasion remains unknown. In this study, we aimed to investigate the potential role and underlying mechanism of miR-454 in regulating trophoblast cell proliferation and invasion in vitro. We found that miR-454 expression was significantly decreased in placental tissues from PE patients compared to controls. Transfection of miR-454 mimics promoted the proliferation, reduced the apoptosis, and increased invasion of trophoblast cells, while transfection of miR-454 inhibitor showed opposite effects. Bioinformatics analysis showed that activin receptor-like kinase 7 (ALK7) was a potential target gene of miR-454. Dual-luciferase reporter assay showed miR-454 directly targeted the 3′-untranslated region of AKL7. Further experiments showed that miR-454 negatively regulated ALK7 expression. Interestingly, transfection of miR-454 mimics significantly abrogated the inhibitory effect of Nodal on trophoblast cell proliferation and invasion. Moreover, overexpression of ALK7 markedly reversed the promotion effect of miR-454 on trophoblast cell proliferation and invasion. Overall, our results suggest that miR-454 promotes the proliferation and invasion of trophoblast cells by downregulation of ALK7. Our study suggests that miR-454 may play critical roles in the pathogenesis of PE and serve as a potential therapeutic target for treatment of PE.","author":[{"dropping-particle":"","family":"Shi","given":"Ziyun","non-dropping-particle":"","parse-names":false,"suffix":""},{"dropping-particle":"","family":"She","given":"Kaie","non-dropping-particle":"","parse-names":false,"suffix":""},{"dropping-particle":"","family":"Li","given":"Hong","non-dropping-particle":"","parse-names":false,"suffix":""},{"dropping-particle":"","family":"Yuan","given":"Xiaohua","non-dropping-particle":"","parse-names":false,"suffix":""},{"dropping-particle":"","family":"Han","given":"Xi","non-dropping-particle":"","parse-names":false,"suffix":""},{"dropping-particle":"","family":"Wang","given":"Yaqin","non-dropping-particle":"","parse-names":false,"suffix":""}],"container-title":"Chemico-Biological Interactions","id":"ITEM-1","issued":{"date-parts":[["2019"]]},"page":"8-14","title":"MicroRNA-454 contributes to sustaining the proliferation and invasion of trophoblast cells through inhibiting Nodal/ALK7 signaling in pre-eclampsia","type":"article-journal","volume":"298"},"uris":["http://www.mendeley.com/documents/?uuid=99da0355-4a98-338c-a290-a521704363a6"]}],"mendeley":{"formattedCitation":"(Shi et al., 2019)","plainTextFormattedCitation":"(Shi et al., 2019)","previouslyFormattedCitation":"(Shi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(Shi et al., 2019)</w:t>
            </w:r>
            <w:r>
              <w:rPr>
                <w:rFonts w:eastAsia="Times New Roman"/>
                <w:color w:val="000000"/>
                <w:sz w:val="18"/>
                <w:szCs w:val="18"/>
              </w:rPr>
              <w:fldChar w:fldCharType="end"/>
            </w:r>
          </w:p>
        </w:tc>
      </w:tr>
      <w:tr w:rsidR="00CD17F0" w:rsidRPr="00291E4E" w:rsidTr="00DB48CC">
        <w:trPr>
          <w:trHeight w:val="699"/>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Preeclampsia was defined as hypertension (systolic</w:t>
            </w:r>
            <w:r>
              <w:rPr>
                <w:rFonts w:eastAsia="Times New Roman"/>
                <w:color w:val="000000"/>
                <w:sz w:val="18"/>
                <w:szCs w:val="18"/>
              </w:rPr>
              <w:t xml:space="preserve"> </w:t>
            </w:r>
            <w:r w:rsidRPr="00291E4E">
              <w:rPr>
                <w:rFonts w:eastAsia="Times New Roman"/>
                <w:color w:val="000000"/>
                <w:sz w:val="18"/>
                <w:szCs w:val="18"/>
              </w:rPr>
              <w:t>blood pressure ≥140 mm Hg or/and diastolic blood pressure ≥90 mmHg) and proteinuria (≥300 mg</w:t>
            </w:r>
            <w:r>
              <w:rPr>
                <w:rFonts w:eastAsia="Times New Roman"/>
                <w:color w:val="000000"/>
                <w:sz w:val="18"/>
                <w:szCs w:val="18"/>
              </w:rPr>
              <w:t xml:space="preserve"> </w:t>
            </w:r>
            <w:r w:rsidRPr="00291E4E">
              <w:rPr>
                <w:rFonts w:eastAsia="Times New Roman"/>
                <w:color w:val="000000"/>
                <w:sz w:val="18"/>
                <w:szCs w:val="18"/>
              </w:rPr>
              <w:t>in a 24-h urine collection or 1 dipstick measurement of ≥2+) occurring after 20 weeks of gestation.</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{"citationItems":[{"id":"ITEM-1","itemData":{"DOI":"10.1113/JP277704","abstract":"Key points: Endocrine gland-derived vascular endothelial growth factor (EG-VEGF) is a critical factor that facilitates trophoblast invasion in placenta. Plasma miR-141 and miR-200a levels were elevated, while EG-VEGF was decreased in peripheral blood and placenta of preeclamptic patients. Furthermore, numbers of cilia in the placenta from preeclamptic women were significantly decreased. Elevated miR-141 and miR-200a inhibited the expression of EG-VEGF, downstream extracellular signal-regulated kinase (ERK)/matrix metalloproteinase 9 signalling and cilia formation, thus leading to defective trophoblast invasion. The growth of the primary cilium, which transduced ERK signalling upon EG-VEGF induction for proper trophoblast invasion, was also inhibited by miR-141 and miR-200a upregulation. Abstract: Preeclampsia is a severe gestational complication, and inadequate trophoblast invasion during placental development is an important pathoaetiology. Endocrine gland-derived vascular endothelial growth factor (EG-VEGF) is a critical factor that facilitates trophoblast invasion in placenta. By binding to the primary cilium, EG-VEGF initiates the signalling cascade for proper embryo implantation and placental development. The miR-200 family was predicted to target the EG-VEGF 5′-untranslated region, and its specific binding site was confirmed using a dual luciferase and a co-transfection assay. In the peripheral blood and placenta of preeclamptic patients, EG-VEGF showed significantly lower expression, whereas plasma miR-141 and miR-200a had higher expression compared with the controls. The biological significance of miR-141 and miR-200a was verified using an overexpression method in a trophoblast cell line (HTR-8/SVneo). Elevated miR-141 and miR-200a inhibited the expression of EG-VEGF, matrix metalloproteinase 9 (MMP9) and downstream extracellular signal-regulated kinase (ERK) signalling, thus leading to defective trophoblast invasion. Additionally, the growth of the primary cilium, which transduces ERK/MMP9 signalling upon EG-VEGF induction, was inhibited by miR-141 and miR-200a upregulation. Furthermore, the number of cilia in the human placenta of preeclamptic women was significantly decreased compared to normal placenta. In conclusion, the study uncovers the clinical correlations among the miR-200 family, EG-VEGF and the primary cilium in preeclampsia and the underlying molecular mechanisms. The results indicate that miR-141 and miR-200a directly targeted EG-…","author":[{"dropping-particle":"","family":"Wang","given":"Chia Yih","non-dropping-particle":"","parse-names":false,"suffix":""},{"dropping-particle":"","family":"Tsai","given":"Pei Yin","non-dropping-particle":"","parse-names":false,"suffix":""},{"dropping-particle":"","family":"Chen","given":"Ting Yu","non-dropping-particle":"","parse-names":false,"suffix":""},{"dropping-particle":"","family":"Tsai","given":"Hui Ling","non-dropping-particle":"","parse-names":false,"suffix":""},{"dropping-particle":"","family":"Kuo","given":"Pao Lin","non-dropping-particle":"","parse-names":false,"suffix":""},{"dropping-particle":"","family":"Su","given":"Mei Tsz","non-dropping-particle":"","parse-names":false,"suffix":""}],"container-title":"Journal of Physiology","id":"ITEM-1","issue":"12","issued":{"date-parts":[["2019"]]},"page":"3069-3083","title":"Elevated miR-200a and miR-141 inhibit endocrine gland-derived vascular endothelial growth factor expression and ciliogenesis in preeclampsia","type":"article-journal","volume":"597"},"uris":["http://www.mendeley.com/documents/?uuid=b37d9946-34ce-3cbe-8249-9cb04e31c85a"]}],"mendeley":{"formattedCitation":"(Wang et al., 2019a)","plainTextFormattedCitation":"(Wang et al., 2019a)","previouslyFormattedCitation":"(Wang et al., 2019a)"},"properties":{"noteIndex":0},"schema":"https://github.com/citation-style-language/schema/raw/master/csl-citation.json"}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(Wang et al., 2019a)</w:t>
            </w:r>
            <w:r>
              <w:rPr>
                <w:rFonts w:eastAsia="Times New Roman"/>
                <w:color w:val="000000"/>
                <w:sz w:val="18"/>
                <w:szCs w:val="18"/>
              </w:rPr>
              <w:fldChar w:fldCharType="end"/>
            </w:r>
          </w:p>
        </w:tc>
      </w:tr>
      <w:tr w:rsidR="00CD17F0" w:rsidRPr="00291E4E" w:rsidTr="00DB48CC">
        <w:trPr>
          <w:trHeight w:val="2251"/>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Pre</w:t>
            </w:r>
            <w:r w:rsidRPr="00291E4E">
              <w:rPr>
                <w:rFonts w:ascii="Cambria Math" w:eastAsia="Times New Roman" w:hAnsi="Cambria Math" w:cs="Cambria Math"/>
                <w:color w:val="000000"/>
                <w:sz w:val="18"/>
                <w:szCs w:val="18"/>
              </w:rPr>
              <w:t>‐</w:t>
            </w:r>
            <w:r w:rsidRPr="00291E4E">
              <w:rPr>
                <w:rFonts w:eastAsia="Times New Roman"/>
                <w:color w:val="000000"/>
                <w:sz w:val="18"/>
                <w:szCs w:val="18"/>
              </w:rPr>
              <w:t>eclampsia was clinically described as hypertension (systolic blood pressure ≥140mmHg and/or diastolic blood pressure ≥90mmHg) after 20 weeks in previously normotensive women, with proteinuria (&gt;300mg/24 hr), one or more other organ system dysfunction or fetus growth restriction</w:t>
            </w:r>
          </w:p>
        </w:tc>
        <w:tc>
          <w:tcPr>
            <w:tcW w:w="3483" w:type="dxa"/>
            <w:shd w:val="clear" w:color="auto" w:fill="auto"/>
            <w:vAlign w:val="bottom"/>
            <w:hideMark/>
          </w:tcPr>
          <w:p w:rsidR="00CD17F0"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1) Knight, M., Nair, M., Tuffnell, D., Shakespeare, J., Kenyon, S. K. J. (Eds).(2017). Saving Lives, Improving Mothers’ Care</w:t>
            </w:r>
            <w:r w:rsidRPr="00291E4E">
              <w:rPr>
                <w:rFonts w:ascii="Cambria Math" w:eastAsia="Times New Roman" w:hAnsi="Cambria Math" w:cs="Cambria Math"/>
                <w:color w:val="000000"/>
                <w:sz w:val="18"/>
                <w:szCs w:val="18"/>
              </w:rPr>
              <w:t>‐</w:t>
            </w:r>
            <w:r w:rsidRPr="00291E4E">
              <w:rPr>
                <w:rFonts w:eastAsia="Times New Roman"/>
                <w:color w:val="000000"/>
                <w:sz w:val="18"/>
                <w:szCs w:val="18"/>
              </w:rPr>
              <w:t>Lessons learned toinform maternity care from the UK and Ireland Con dential Enquiries</w:t>
            </w:r>
            <w:r>
              <w:rPr>
                <w:rFonts w:eastAsia="Times New Roman"/>
                <w:color w:val="000000"/>
                <w:sz w:val="18"/>
                <w:szCs w:val="18"/>
              </w:rPr>
              <w:t xml:space="preserve"> </w:t>
            </w:r>
            <w:r w:rsidRPr="00291E4E">
              <w:rPr>
                <w:rFonts w:eastAsia="Times New Roman"/>
                <w:color w:val="000000"/>
                <w:sz w:val="18"/>
                <w:szCs w:val="18"/>
              </w:rPr>
              <w:t>into Maternal Deaths and Morbidity, on behalf of M</w:t>
            </w:r>
            <w:r w:rsidRPr="00291E4E">
              <w:rPr>
                <w:rFonts w:ascii="Cambria Math" w:eastAsia="Times New Roman" w:hAnsi="Cambria Math" w:cs="Cambria Math"/>
                <w:color w:val="000000"/>
                <w:sz w:val="18"/>
                <w:szCs w:val="18"/>
              </w:rPr>
              <w:t>‐</w:t>
            </w:r>
            <w:r w:rsidRPr="00291E4E">
              <w:rPr>
                <w:rFonts w:eastAsia="Times New Roman"/>
                <w:color w:val="000000"/>
                <w:sz w:val="18"/>
                <w:szCs w:val="18"/>
              </w:rPr>
              <w:t>U 2013–15.</w:t>
            </w:r>
          </w:p>
          <w:p w:rsidR="00CD17F0"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2 ) Say, L., Chou, D., Gemmill, A., Tunçalp, Ö., Moller, A.</w:t>
            </w:r>
            <w:r w:rsidRPr="00291E4E">
              <w:rPr>
                <w:rFonts w:ascii="Cambria Math" w:eastAsia="Times New Roman" w:hAnsi="Cambria Math" w:cs="Cambria Math"/>
                <w:color w:val="000000"/>
                <w:sz w:val="18"/>
                <w:szCs w:val="18"/>
              </w:rPr>
              <w:t>‐</w:t>
            </w:r>
            <w:r w:rsidRPr="00291E4E">
              <w:rPr>
                <w:rFonts w:eastAsia="Times New Roman"/>
                <w:color w:val="000000"/>
                <w:sz w:val="18"/>
                <w:szCs w:val="18"/>
              </w:rPr>
              <w:t xml:space="preserve">B., Daniels, J. Alkema, L. (2014). Global causes of maternal death: A WHO systematic analysis. The Lancet </w:t>
            </w:r>
            <w:r w:rsidRPr="00291E4E">
              <w:rPr>
                <w:rFonts w:eastAsia="Times New Roman"/>
                <w:color w:val="000000"/>
                <w:sz w:val="18"/>
                <w:szCs w:val="18"/>
              </w:rPr>
              <w:lastRenderedPageBreak/>
              <w:t>Global Health, 2, e323–e333.</w:t>
            </w:r>
          </w:p>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3) Tranquilli, A. L., Dekker, G., Magee, L., Roberts, J., Sibai, B. M., Steyn, W., Brown, M. A. (2014). The classification, diagnosis and management ofthe hypertensive disorders of pregnancy: A revised statement from</w:t>
            </w:r>
            <w:r>
              <w:rPr>
                <w:rFonts w:eastAsia="Times New Roman"/>
                <w:color w:val="000000"/>
                <w:sz w:val="18"/>
                <w:szCs w:val="18"/>
              </w:rPr>
              <w:t xml:space="preserve"> </w:t>
            </w:r>
            <w:r w:rsidRPr="00291E4E">
              <w:rPr>
                <w:rFonts w:eastAsia="Times New Roman"/>
                <w:color w:val="000000"/>
                <w:sz w:val="18"/>
                <w:szCs w:val="18"/>
              </w:rPr>
              <w:t>the ISSHP. Pregnancy Hypertension, 4, 97–104</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lastRenderedPageBreak/>
              <w:fldChar w:fldCharType="begin" w:fldLock="1"/>
            </w:r>
            <w:r w:rsidR="00460963">
              <w:rPr>
                <w:rFonts w:eastAsia="Times New Roman"/>
                <w:color w:val="000000"/>
                <w:sz w:val="18"/>
                <w:szCs w:val="18"/>
              </w:rPr>
              <w:instrText>ADDIN CSL_CITATION {"citationItems":[{"id":"ITEM-1","itemData":{"DOI":"10.1002/mrd.23154","abstract":"Successful pregnancy depends on the precise regulation of extravillous trophoblast cell invasion ability. MicroRNA-210-3p (miR-210), which is increased in the placenta of pre-eclampsia. Furthermore, miR-210 could inhibit trophoblasts invasion and might act as a serum biomarker for pre-eclampsia. Previous studies have demonstrated that miR-210 regulates HUVEC (human umbilical vein endothelial cell)-mediated angiogenesis by regulating the NOTCH1 signaling pathway. Studies by our group have previously identified that NOTCH1 plays a positive role in regulating trophoblast functions. However, the miR-210/NOTCH1 signaling pathway in the regulation of trophoblasts and pre-eclampsia has not been characterized. Therefore, this study was conducted to investigate the role of miR-210 and its relationship with NOTCH1 in trophoblasts. We first examined the expression levels of miR-210 and NOTCH1 in pre-eclamptic and normals placentas. Next, the expression and location of miR-210 and NOTCH1 in the first-trimester villi, maternal decidua, and placenta of late pregnancy were shown via in situ hybridization and immunohistochemistry. The trophoblast cell line HTR-8/SVneo was used to investigate the effects of miR-210 on the expression of NOTCH1 and cell bioactivity by upregulation and downregulation strategies. The results showed that miR-210 expression was increased, whereas NOTCH1 expression was decreased in pre-eclamptic placenta compared with controls. Upregulation of miR-210 decreased NOTCH1 expression, impaired HTR-8/SVneo proliferation, migration, invasion, and tube-like formation capabilities, and promoted apoptosis. In contrast, downregulation of miR-210 resulted in the opposite effects. These findings suggested that miR-210 might act as a contributor to trophoblast dysfunction by attenuating NOTCH1 expression.","author":[{"dropping-particle":"","family":"Wang","given":"Rongli","non-dropping-particle":"","parse-names":false,"suffix":""},{"dropping-particle":"","family":"Liu","given":"Weifang","non-dropping-particle":"","parse-names":false,"suffix":""},{"dropping-particle":"","family":"Liu","given":"Xiaoping","non-dropping-particle":"","parse-names":false,"suffix":""},{"dropping-particle":"","family":"Liu","given":"Xiaoxia","non-dropping-particle":"","parse-names":false,"suffix":""},{"dropping-particle":"","family":"Tao","given":"Hui","non-dropping-particle":"","parse-names":false,"suffix":""},{"dropping-particle":"","family":"Wu","given":"Di","non-dropping-particle":"","parse-names":false,"suffix":""},{"dropping-particle":"","family":"Zhao","given":"Yin","non-dropping-particle":"","parse-names":false,"suffix":""},{"dropping-particle":"","family":"Zou","given":"Li","non-dropping-particle":"","parse-names":false,"suffix":""}],"container-title":"Molecular Reproduction and Development","id":"ITEM-1","issue":"7","issued":{"date-parts":[["2019"]]},"page":"896-907","title":"MicroRNA-210 regulates human trophoblast cell line HTR-8/SVneo function by attenuating Notch1 expression: Implications for the role of microRNA-210 in pre-eclampsia","type":"article-journal","volume":"86"},"uris":["http://www.mendeley.com/documents/?uuid=dab04f0f-4143-3e38-aad9-bdc2703f7e0d"]}],"mendeley":{"formattedCitation":"(Wang et al., 2019c)","plainTextFormattedCitation":"(Wang et al., 2019c)","previouslyFormattedCitation":"(Wang et al., 2019c)"},"properties":{"noteIndex":0},"schema":"https://github.com/citation-style-language/schema/raw/master/csl-citation.json"}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(Wang et al., 2019c)</w:t>
            </w:r>
            <w:r>
              <w:rPr>
                <w:rFonts w:eastAsia="Times New Roman"/>
                <w:color w:val="000000"/>
                <w:sz w:val="18"/>
                <w:szCs w:val="18"/>
              </w:rPr>
              <w:fldChar w:fldCharType="end"/>
            </w:r>
          </w:p>
        </w:tc>
      </w:tr>
      <w:tr w:rsidR="00CD17F0" w:rsidRPr="00291E4E" w:rsidTr="00DB48CC">
        <w:trPr>
          <w:trHeight w:val="1241"/>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lastRenderedPageBreak/>
              <w:t>PE was defined as increased systolic blood pressure (≥160 mmHg) and/or increased diastolic blood pressure (≥ 110 mmHg) observed after 20 weeks gestation; low platelet counts (&lt; 100×109/L); impaired liver function (serum transaminase level over 2 fold</w:t>
            </w:r>
            <w:r>
              <w:rPr>
                <w:rFonts w:eastAsia="Times New Roman"/>
                <w:color w:val="000000"/>
                <w:sz w:val="18"/>
                <w:szCs w:val="18"/>
              </w:rPr>
              <w:t xml:space="preserve"> </w:t>
            </w:r>
            <w:r w:rsidRPr="00291E4E">
              <w:rPr>
                <w:rFonts w:eastAsia="Times New Roman"/>
                <w:color w:val="000000"/>
                <w:sz w:val="18"/>
                <w:szCs w:val="18"/>
              </w:rPr>
              <w:t>chance than normal value); impaired kidney function(Scr&gt;97.2 μmol/L or over 2 fold-chance than normal value); pulmonary edema; newly occurred brain and visual impairment</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{"citationItems":[{"id":"ITEM-1","itemData":{"DOI":"10.1016/j.biopha.2019.108953","abstract":"Objective: Preeclampsia is a pregnancy-specific syndrome characterized by hypertension and proteinuria. Impaired trophoblast invasion partly modulated by abnormal MAPK1/ERK2 signaling played important roles in the pathological process of preeclampsia. The objective of this study is to investigate miR-141-5p regulate ATF2 via effecting MAPK1/ERK2 signaling to promote preeclampsia. Study design: The maternal placentae and clinical data of 30 patients with preeclampsia and 30 healthy pregnant women were collected in the Second Hospital of Shanxi Medical University from July 2015 to April 2016. Transcriptional levels of miR-141-5p in placentae were monitored using quantitative real-time reverse transcription-polymerase chain reaction. The target gene of miR-141-5p was analyzed with “TargetScanHuman Release 7.2″. To evaluate the pathways of this response, MAPK1 and ERK1/2 in placentae were detected using immunohistochemistry and Western Blot. Transfection experiment was used to verify the function of miR-141-5p regulating ATF2 to effect MAPK1/ERK2 signaling in JEG-3 cells. Results: miR-141-5p was significantly down-regulated in placentae of patients with preeclampsia, in comparison to the healthy pregnant women groups. There was no difference in MAPK1 expression between placentae of patients with preeclampsia and healthy pregnant women groups. While p-MAPK1 expression was lower in preeclampsia placentae, in comparison to the healthy pregnant women groups. Moreover, inhibition and activation experiments also validate the function of miR-141-5p in effecting p-MAPK1 level in JEG-3 cells. Bioinformatic analysis identified that ATF2 was a target gene of miR-141-5p, which was one DNA-binding protein to effect phosphatase DUSP1 transcription. DUSP1 effect MAPK1/ERK2 signaling in preeclampsia. Conclusion: miR-141-5p up-regulated transcription factor ATF2 to promote phosphatase DUSP1 expression. DUSP1 expression reduces p-MAPK1 and ERK1/2 expression to promote preeclampsia.","author":[{"dropping-particle":"","family":"Wang","given":"Yonghong","non-dropping-particle":"","parse-names":false,"suffix":""},{"dropping-particle":"","family":"Cheng","given":"Keyan","non-dropping-particle":"","parse-names":false,"suffix":""},{"dropping-particle":"","family":"Zhou","given":"Wenli","non-dropping-particle":"","parse-names":false,"suffix":""},{"dropping-particle":"","family":"Liu","given":"Huiqiang","non-dropping-particle":"","parse-names":false,"suffix":""},{"dropping-particle":"","family":"Yang","given":"Taotao","non-dropping-particle":"","parse-names":false,"suffix":""},{"dropping-particle":"","family":"Hou","given":"Peiqin","non-dropping-particle":"","parse-names":false,"suffix":""},{"dropping-particle":"","family":"Li","given":"Xiaowei","non-dropping-particle":"","parse-names":false,"suffix":""}],"container-title":"Biomedicine and Pharmacotherapy","id":"ITEM-1","issued":{"date-parts":[["2019"]]},"page":"108953","title":"miR-141-5p regulate ATF2 via effecting MAPK1/ERK2 signaling to promote preeclampsia","type":"article-journal","volume":"115"},"uris":["http://www.mendeley.com/documents/?uuid=cbd5e268-7034-3866-8c3e-b9937d62abfc"]}],"mendeley":{"formattedCitation":"(Wang et al., 2019d)","plainTextFormattedCitation":"(Wang et al., 2019d)","previouslyFormattedCitation":"(Wang et al., 2019d)"},"properties":{"noteIndex":0},"schema":"https://github.com/citation-style-language/schema/raw/master/csl-citation.json"}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(Wang et al., 2019d)</w:t>
            </w:r>
            <w:r>
              <w:rPr>
                <w:rFonts w:eastAsia="Times New Roman"/>
                <w:color w:val="000000"/>
                <w:sz w:val="18"/>
                <w:szCs w:val="18"/>
              </w:rPr>
              <w:fldChar w:fldCharType="end"/>
            </w:r>
          </w:p>
        </w:tc>
      </w:tr>
      <w:tr w:rsidR="00CD17F0" w:rsidRPr="00291E4E" w:rsidTr="00DB48CC">
        <w:trPr>
          <w:trHeight w:val="7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ACOG 2002 A.C.O.P. Bulletins-Obstetrics, ACOG practice bulletin. Diagnosis and management of preeclampsia and eclampsia. Number 33, January 2002, Obstet. Gynecol. 99 (1) (2002) 159–167.</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{"citationItems":[{"id":"ITEM-1","itemData":{"DOI":"10.1016/j.preghy.2019.01.002","abstract":"Objective: Endoglin is expressed in human placenta and plays an important role in the pathogenesis of preeclampsia. Dysregulation of microRNAs in placental tissues has been recently suggested to be involved in the pathogenesis of preeclampsia. Until now, few studies have shed light on the correlation between endoglin and microRNAs, the latter of which may regulate the expression of ENG, a gene encoding endoglin, in placenta. In this study, we aim to investigate the regulation of ENG by microRNAs. Study design: We located the microRNAs that might regulate the expression of ENG. Candidate microRNAs were tested if they had an impact on trophoblast function. Main outcome measures: We compared endoglin expression between normotensive and preeclamptic placentas by using immunohistochemistry and real-time PCR. Downregulated microRNAs in preeclamptic placenta were revealed from a literature review. A bioinformatics assay was performed to predict those that might target ENG. Real-time PCR, Western blotting and dual luciferase assay were used to verify the targeting. The effects of the microRNAs on trophoblasts were evaluated by transwell invasion assay. Results: The endoglin level was significantly higher in preeclamptic placenta than in normotensive placenta. ENG was validated as the direct target of miR-149-5p and was inversely correlated with it. MiR-149-5p promoted the invasion of trophoblast cells, and this promotion was abrogated by the overexpression of ENG. Conclusions: Our findings highlight the importance of miR-149-5p in the pathogenesis of preeclampsia and provide new insight into the development of the disease.","author":[{"dropping-particle":"","family":"Xiaobo (</w:instrText>
            </w:r>
            <w:r w:rsidR="00460963">
              <w:rPr>
                <w:rFonts w:ascii="PMingLiU" w:eastAsia="PMingLiU" w:hAnsi="PMingLiU" w:cs="PMingLiU" w:hint="eastAsia"/>
                <w:color w:val="000000"/>
                <w:sz w:val="18"/>
                <w:szCs w:val="18"/>
              </w:rPr>
              <w:instrText>赵肖波</w:instrText>
            </w:r>
            <w:r w:rsidR="00460963">
              <w:rPr>
                <w:rFonts w:eastAsia="Times New Roman"/>
                <w:color w:val="000000"/>
                <w:sz w:val="18"/>
                <w:szCs w:val="18"/>
              </w:rPr>
              <w:instrText>)","given":"Zhao","non-dropping-particle":"","parse-names":false,"suffix":""},{"dropping-particle":"","family":"Qizhi","given":"He","non-dropping-particle":"","parse-names":false,"suffix":""},{"dropping-particle":"","family":"Zhiping","given":"Wu","non-dropping-particle":"","parse-names":false,"suffix":""},{"dropping-particle":"","family":"Tao","given":"Duan","non-dropping-particle":"","parse-names":false,"suffix":""}],"container-title":"Pregnancy Hypertension","id":"ITEM-1","issued":{"date-parts":[["2019"]]},"page":"201-208","title":"Down-regulated miR-149-5p contributes to preeclampsia via modulating endoglin expression","type":"article-journal","volume":"15"},"uris":["http://www.mendeley.com/documents/?uuid=3309371f-9321-360a-a83e-0f3d5b421797"]}],"mendeley":{"formattedCitation":"(Xiaobo (</w:instrText>
            </w:r>
            <w:r w:rsidR="00460963">
              <w:rPr>
                <w:rFonts w:ascii="PMingLiU" w:eastAsia="PMingLiU" w:hAnsi="PMingLiU" w:cs="PMingLiU" w:hint="eastAsia"/>
                <w:color w:val="000000"/>
                <w:sz w:val="18"/>
                <w:szCs w:val="18"/>
              </w:rPr>
              <w:instrText>赵肖</w:instrText>
            </w:r>
            <w:r w:rsidR="00460963">
              <w:rPr>
                <w:rFonts w:ascii="MS Mincho" w:eastAsia="MS Mincho" w:hAnsi="MS Mincho" w:cs="MS Mincho" w:hint="eastAsia"/>
                <w:color w:val="000000"/>
                <w:sz w:val="18"/>
                <w:szCs w:val="18"/>
              </w:rPr>
              <w:instrText>波</w:instrText>
            </w:r>
            <w:r w:rsidR="00460963">
              <w:rPr>
                <w:rFonts w:eastAsia="Times New Roman"/>
                <w:color w:val="000000"/>
                <w:sz w:val="18"/>
                <w:szCs w:val="18"/>
              </w:rPr>
              <w:instrText>) et al., 2019)","plainTextFormattedCitation":"(Xiaobo (</w:instrText>
            </w:r>
            <w:r w:rsidR="00460963">
              <w:rPr>
                <w:rFonts w:ascii="PMingLiU" w:eastAsia="PMingLiU" w:hAnsi="PMingLiU" w:cs="PMingLiU" w:hint="eastAsia"/>
                <w:color w:val="000000"/>
                <w:sz w:val="18"/>
                <w:szCs w:val="18"/>
              </w:rPr>
              <w:instrText>赵肖波</w:instrText>
            </w:r>
            <w:r w:rsidR="00460963">
              <w:rPr>
                <w:rFonts w:eastAsia="Times New Roman"/>
                <w:color w:val="000000"/>
                <w:sz w:val="18"/>
                <w:szCs w:val="18"/>
              </w:rPr>
              <w:instrText>) et al., 2019)","previouslyFormattedCitation":"(Xiaobo (</w:instrText>
            </w:r>
            <w:r w:rsidR="00460963">
              <w:rPr>
                <w:rFonts w:ascii="PMingLiU" w:eastAsia="PMingLiU" w:hAnsi="PMingLiU" w:cs="PMingLiU" w:hint="eastAsia"/>
                <w:color w:val="000000"/>
                <w:sz w:val="18"/>
                <w:szCs w:val="18"/>
              </w:rPr>
              <w:instrText>赵肖波</w:instrText>
            </w:r>
            <w:r w:rsidR="00460963">
              <w:rPr>
                <w:rFonts w:eastAsia="Times New Roman"/>
                <w:color w:val="000000"/>
                <w:sz w:val="18"/>
                <w:szCs w:val="18"/>
              </w:rPr>
              <w:instrText>)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(Xiaobo (</w:t>
            </w:r>
            <w:r w:rsidR="00D0073D" w:rsidRPr="00D0073D">
              <w:rPr>
                <w:rFonts w:ascii="PMingLiU" w:eastAsia="PMingLiU" w:hAnsi="PMingLiU" w:cs="PMingLiU" w:hint="eastAsia"/>
                <w:noProof/>
                <w:color w:val="000000"/>
                <w:sz w:val="18"/>
                <w:szCs w:val="18"/>
              </w:rPr>
              <w:t>赵肖波</w:t>
            </w:r>
            <w:r w:rsidR="00D0073D" w:rsidRPr="00D0073D">
              <w:rPr>
                <w:rFonts w:eastAsia="Times New Roman"/>
                <w:noProof/>
                <w:color w:val="000000"/>
                <w:sz w:val="18"/>
                <w:szCs w:val="18"/>
              </w:rPr>
              <w:t>) et al., 2019)</w:t>
            </w:r>
            <w:r>
              <w:rPr>
                <w:rFonts w:eastAsia="Times New Roman"/>
                <w:color w:val="000000"/>
                <w:sz w:val="18"/>
                <w:szCs w:val="18"/>
              </w:rPr>
              <w:fldChar w:fldCharType="end"/>
            </w:r>
          </w:p>
        </w:tc>
      </w:tr>
      <w:tr w:rsidR="00CD17F0" w:rsidRPr="00291E4E" w:rsidTr="00DB48CC">
        <w:trPr>
          <w:trHeight w:val="274"/>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Systolic blood pressure ≥140 mmHg or diastolic blood pressure ≥90 mmHg at 20 weeks post</w:t>
            </w:r>
            <w:r w:rsidRPr="00291E4E">
              <w:rPr>
                <w:rFonts w:eastAsia="Times New Roman"/>
                <w:color w:val="000000"/>
                <w:sz w:val="18"/>
                <w:szCs w:val="18"/>
              </w:rPr>
              <w:noBreakHyphen/>
              <w:t>gestation in a pregnant woman whose blood pressure was previously normal, 24 h urine protein ≥0.3 g</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Redman CW and Sargent IL : Latest advances in understanding preeclampsia. Science 308: 1592</w:t>
            </w:r>
            <w:r w:rsidRPr="00291E4E">
              <w:rPr>
                <w:rFonts w:eastAsia="Times New Roman"/>
                <w:color w:val="000000"/>
                <w:sz w:val="18"/>
                <w:szCs w:val="18"/>
              </w:rPr>
              <w:noBreakHyphen/>
              <w:t>1594, 2005.</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{"citationItems":[{"id":"ITEM-1","itemData":{"DOI":"10.3892/mmr.2019.10574","abstract":"Preeclampsia (PE) is a serious pregnancy-specific pathologic complication, and represents a primary cause of mother and fetus mortality. Abnormally expressed microRNA s (miRNA s) serve important regulatory roles in the development of PE. At present, the pathogenesis and molecular mechanism of PE remain unclear. The aim of the present study was to investigate the potential functions of miRNA (miR)-320a in the human extravillous trophoblast cell line HTR- 8/SVneo and to identify the molecular mechanisms underlying miR- 320a function. Reverse transcription-quantitative PCR was used in the present study to detect the levels of miR- 320a in the placentas of 57 pregnant patients with PE and 57 healthy pregnant patients. The effects of miR- 320a overexpression on the proliferation and invasion of HTR- 8/SVneo cells were determined using MTT and Transwell invasion assays. Western blot analysis and dual luciferase reporter assay were used to identify the genes targeted by miR- 320a. The present results suggested that miR- 320a expression level was decreased in placentas of patients with PE and the expression level of miR- 320a was found to be associated with the pathogenesis of PE (P&lt;0.05). Overexpression of miR- 320a using miR- 320a mimics significantly inhibited cell proliferation and invasion in HTR- 8/SVneo cells in vitro (P&lt;0.05). Furthermore, interleukin (IL)-4 was identified to be a direct target gene of miR- 320a. miR- 320a could repress IL- 4 expression by binding to its 3' untranslated region (P&lt;0.05). Mechanistic studies suggested that IL- 4 was a functional target gene of miR- 320a, and miR- 320a upregulation inhibited the proliferation and invasion of HTR- 8/SVneo cells by directly targeting IL- 4 (P&lt;0.05). Collectively, to the best of our knowledge, the present study is the first to suggest that miR-320a may be a downregulated miRNA during PE, and IL- 4 may act as a functional target gene of miR- 320a. The present study suggested that miR- 320a upregulation was involved in the development of PE by inhibiting the proliferation and invasion of trophoblast cells by targeting IL- 4, indicating that the miR- 320a/IL- 4 pathway may represent a novel therapeutic target for PE treatment.","author":[{"dropping-particle":"","family":"Xie","given":"Ning","non-dropping-particle":"","parse-names":false,"suffix":""},{"dropping-particle":"","family":"Jia","given":"Zhi","non-dropping-particle":"","parse-names":false,"suffix":""},{"dropping-particle":"","family":"Li","given":"Li","non-dropping-particle":"","parse-names":false,"suffix":""}],"container-title":"Molecular Medicine Reports","id":"ITEM-1","issue":"4","issued":{"date-parts":[["2019"]]},"page":"3256-3264","title":"MIR-320a upregulation contributes to the development of Preeclampsia by inhibiting the growth and invasion of trophoblast cells by targeting interleukin 4","type":"article-journal","volume":"20"},"uris":["http://www.mendeley.com/documents/?uuid=38906bd0-fdd2-3a07-b93d-f4e201a604ca"]}],"mendeley":{"formattedCitation":"(Xie et al., 2019)","plainTextFormattedCitation":"(Xie et al., 2019)","previouslyFormattedCitation":"(Xie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(Xie et al., 2019)</w:t>
            </w:r>
            <w:r>
              <w:rPr>
                <w:rFonts w:eastAsia="Times New Roman"/>
                <w:color w:val="000000"/>
                <w:sz w:val="18"/>
                <w:szCs w:val="18"/>
              </w:rPr>
              <w:fldChar w:fldCharType="end"/>
            </w:r>
          </w:p>
        </w:tc>
      </w:tr>
      <w:tr w:rsidR="00CD17F0" w:rsidRPr="00291E4E" w:rsidTr="00DB48CC">
        <w:trPr>
          <w:trHeight w:val="340"/>
        </w:trPr>
        <w:tc>
          <w:tcPr>
            <w:tcW w:w="5542"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high blood pressure and a high protein content in the urine</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{"citationItems":[{"id":"ITEM-1","itemData":{"DOI":"10.3892/mmr.2019.10372","abstract":"miR-342-3p expression was increased in the placentas of women with preeclampsia (PE) according to previous examinations; the mechanism Underlying the devel¬ opment and progression of PE requires further investigation. The present study aimed to explore the mechanism and functionality of microRNA (miR)-342-3p in trophoblastic cells. The expression of miR-342-3p and platelet-derived growth factor receptor a (P D G F R A) in the placentas of 30 patients with PE and 30 normal controls was detected. In addition, HTR8/SVneo cells were transfected with miR-342-3p mimics, small interfering RNA (siR)-PDGFRA or their corresponding negative controls; then the prolifera¬ tion, migration, invasion and the distribution of the cell cycle of these cells were analyzed. Additionally, a dual-luciferase reporter assay was performed. According to these analyses, the expression of miR-342-3p was significantly increased, while that of PDGFRA was significantly lower in the PE group compared with the normal group. Transfection with miR-342-3p mimics led to a significant decrease in cell proliferation, migration and invasion, and also affected the cell cycle. Furthermore, miR-342-3p mimics reduced the expression of PDGFRA; miR-342-3p overexpression also reduced the mRNA and protein levels of BcL-2 and caspase-3. In addition, transfection of siR-PDGFRA exhib¬ ited similar effects to those of miR-342-3p mimics. Finally, PDGFRA was reported to be a direct target of miR-342-3p. In conclusion, miR-342-3p was proposed to inhibit the proliferation, migration, invasion and G1/S phase transition of HTR8/SVneo cells by suppressing PDGFRA. Our findings suggest that miR-342-3p may be a novel clinical indicator or prognostic marker for PE.","author":[{"dropping-particle":"","family":"Yang","given":"Xiuhua","non-dropping-particle":"","parse-names":false,"suffix":""},{"dropping-particle":"","family":"Guo","given":"Feng","non-dropping-particle":"","parse-names":false,"suffix":""}],"container-title":"Molecular Medicine Reports","id":"ITEM-1","issue":"2","issued":{"date-parts":[["2019"]]},"page":"1772-1780","title":"MiR-342-3p suppresses cell migration and invasion in preeclampsia by targeting platelet-derived growth factor receptor α","type":"article-journal","volume":"20"},"uris":["http://www.mendeley.com/documents/?uuid=ee198dea-c7a5-3d8f-adf3-c9c7f765c91c"]}],"mendeley":{"formattedCitation":"(Yang and Guo, 2019)","plainTextFormattedCitation":"(Yang and Guo, 2019)","previouslyFormattedCitation":"(Yang and Guo,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(Yang and Guo, 2019)</w:t>
            </w:r>
            <w:r>
              <w:rPr>
                <w:rFonts w:eastAsia="Times New Roman"/>
                <w:color w:val="000000"/>
                <w:sz w:val="18"/>
                <w:szCs w:val="18"/>
              </w:rPr>
              <w:fldChar w:fldCharType="end"/>
            </w:r>
          </w:p>
        </w:tc>
      </w:tr>
      <w:tr w:rsidR="00CD17F0" w:rsidRPr="00291E4E" w:rsidTr="00DB48CC">
        <w:trPr>
          <w:trHeight w:val="30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ACOG 2002</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{"citationItems":[{"id":"ITEM-1","itemData":{"DOI":"10.1016/j.gene.2018.10.015","abstract":"Background: Preeclampsia (PE) is a pregnancy complication that is characterized by higher blood pressure, together with higher protein quantity presence in the urine, which occurs after 20 weeks of gestation leading to severity of adverse maternal and fetal consequences. Some special microRNAs (miRNAs) expressed in placentas may be related to the occurrence of PE. Researchers have found that the expression of miR-431 in PE placentas was increased if compared with normal placentas; however, the effect and mechanism of miR-431 in PE are still unknown. Methods: In this study, we compared the expression levels of miR-431 and its putative target gene Zinc finger E-box-binding homeobox 1 (ZEB1) in 30 PE placentas and 30 normal placenta tissues. The effects of miR-431 and ZEB1 were verified by CCK-8 assay, transwell migration and invasion assay, cell cycle distribution assay and apoptosis assay in HTR-8/SVneo cells transfected with miR-431 mimic, siR-ZEB1 and their negative controls. Results: Results revealed that miR-431 was markedly added, while the mRNA and protein expressions of ZEB1 were decreased in PE placentas. The functional tests showed over-expression of miR-431 suppressed ZEB1 expression and decreased the migration and invasive capacity of trophoblast cells. MiR-431 overexpression induced apoptosis of HTR-8/SVneo cells, but it had no significant effect on cell proliferation and the distribution of cell cycle. In addition, siR-ZEB1 simulated the roles of miR-431 mimic. We found that miR-431 mimic and siR-ZEB1 reduced the epithelial–mesenchymal transition (EMT) with added E-cadherin expression and reduced vimentin expression in the cell line. Conclusions: In conclusion, we found that miR-431 inhibited the migration and invasion of trophoblastic cells by targeting ZEB1, which might give rise to the onset of PE.","author":[{"dropping-particle":"","family":"Yang","given":"Xiuhua","non-dropping-particle":"","parse-names":false,"suffix":""},{"dropping-particle":"","family":"Meng","given":"Tao","non-dropping-particle":"","parse-names":false,"suffix":""}],"container-title":"Gene","id":"ITEM-1","issued":{"date-parts":[["2019"]]},"page":"225-232","title":"MicroRNA-431 affects trophoblast migration and invasion by targeting ZEB1 in preeclampsia","type":"article-journal","volume":"683"},"uris":["http://www.mendeley.com/documents/?uuid=9d357145-cbef-3aa0-989d-da4459ca2bde"]}],"mendeley":{"formattedCitation":"(Yang and Meng, 2019)","plainTextFormattedCitation":"(Yang and Meng, 2019)","previouslyFormattedCitation":"(Yang and Meng,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(Yang and Meng, 2019)</w:t>
            </w:r>
            <w:r>
              <w:rPr>
                <w:rFonts w:eastAsia="Times New Roman"/>
                <w:color w:val="000000"/>
                <w:sz w:val="18"/>
                <w:szCs w:val="18"/>
              </w:rPr>
              <w:fldChar w:fldCharType="end"/>
            </w:r>
          </w:p>
        </w:tc>
      </w:tr>
      <w:tr w:rsidR="00CD17F0" w:rsidRPr="00291E4E" w:rsidTr="00DB48CC">
        <w:trPr>
          <w:trHeight w:val="300"/>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ISSHP no reference</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{"citationItems":[{"id":"ITEM-1","itemData":{"DOI":"10.1016/j.preghy.2019.05.010","abstract":"Backgrounds and objectives: Preeclampsia (PE) is one of the leading causes of maternal and neonatal morbidity and mortality. Preeclampsia is associated with aberrant expression of several MicroRNAs which function as gene regulators. The present study aims to determine the expression of MicroRNA-210 and MicroRNA-155 in Preeclampsia, and to detect the association of MicroRNA-210 and MicroRNA-155 levels with the severity of Preeclampsia. Methods: The study was carried out on thirty PE pregnant women as the Preeclampsia group compared to twenty healthy pregnant women who served as the control group. The patients were chosen at labor wards from Ain Shams Maternity Hospital during the period from June to December 2016. Preeclampsia group was then subdivided into mild Preeclampsia and severe Preeclampsia subgroups according to the levels of arterial blood pressure with the presence of thrombocytopenia, impairment in liver function, progressive renal insufficiency, pulmonary edema and cerebral or visual disturbance. MicroRNA-210 and MicroRNA-155 were estimated by a quantitative real time polymerase chain reaction (qRT-PCR). Results of this study showed that the levels of MicroRNA-210 and MicroRNA-155 detected in the Preeclampsia group are significantly higher than in the control group. Although MicroRNA-210 levels showed high significant increase in severe PE compared to mild PE cases, there were no significant differences in MicroRNA-155 levels between the two PE subgroups detected. Conclusions: MicroRNA-210 may be the noncoding RNA at the molecular level in which the increase in its level accompanies the progression of PE; and is closely associated with the severity of Preeclampsia.","author":[{"dropping-particle":"","family":"Youssef","given":"Hanan Mohamed Gabr","non-dropping-particle":"","parse-names":false,"suffix":""},{"dropping-particle":"","family":"Marei","given":"Elham Sayed","non-dropping-particle":"","parse-names":false,"suffix":""}],"container-title":"Pregnancy Hypertension","id":"ITEM-1","issued":{"date-parts":[["2019"]]},"page":"49-53","title":"Association of MicroRNA-210 and MicroRNA-155 with severity of preeclampsia","type":"article-journal","volume":"17"},"uris":["http://www.mendeley.com/documents/?uuid=ff17ee97-4fb5-3ad7-ab04-5451c2c470f8"]}],"mendeley":{"formattedCitation":"(Youssef and Marei, 2019)","plainTextFormattedCitation":"(Youssef and Marei, 2019)","previouslyFormattedCitation":"(Youssef and Marei,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(Youssef and Marei, 2019)</w:t>
            </w:r>
            <w:r>
              <w:rPr>
                <w:rFonts w:eastAsia="Times New Roman"/>
                <w:color w:val="000000"/>
                <w:sz w:val="18"/>
                <w:szCs w:val="18"/>
              </w:rPr>
              <w:fldChar w:fldCharType="end"/>
            </w:r>
          </w:p>
        </w:tc>
      </w:tr>
      <w:tr w:rsidR="00CD17F0" w:rsidRPr="00291E4E" w:rsidTr="00DB48CC">
        <w:trPr>
          <w:trHeight w:val="444"/>
        </w:trPr>
        <w:tc>
          <w:tcPr>
            <w:tcW w:w="5542" w:type="dxa"/>
            <w:shd w:val="clear" w:color="auto" w:fill="auto"/>
            <w:noWrap/>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not reported</w:t>
            </w:r>
          </w:p>
        </w:tc>
        <w:tc>
          <w:tcPr>
            <w:tcW w:w="3483" w:type="dxa"/>
            <w:shd w:val="clear" w:color="auto" w:fill="auto"/>
            <w:vAlign w:val="bottom"/>
            <w:hideMark/>
          </w:tcPr>
          <w:p w:rsidR="00CD17F0" w:rsidRPr="00291E4E" w:rsidRDefault="00CD17F0" w:rsidP="006D38DA">
            <w:pPr>
              <w:spacing w:before="0" w:after="0"/>
              <w:jc w:val="center"/>
              <w:rPr>
                <w:rFonts w:eastAsia="Times New Roman"/>
                <w:color w:val="000000"/>
                <w:sz w:val="18"/>
                <w:szCs w:val="18"/>
              </w:rPr>
            </w:pPr>
            <w:r w:rsidRPr="00291E4E">
              <w:rPr>
                <w:rFonts w:eastAsia="Times New Roman"/>
                <w:color w:val="000000"/>
                <w:sz w:val="18"/>
                <w:szCs w:val="18"/>
              </w:rPr>
              <w:t>Di Lorenzo G, Ceccarello M, CecottiV,Ronfani L, Monasta L, VecchiBrumatti L, Montico M and D'Ottavio G: First trimester maternal serum PIGF, free β</w:t>
            </w:r>
            <w:r w:rsidRPr="00291E4E">
              <w:rPr>
                <w:rFonts w:eastAsia="Times New Roman"/>
                <w:color w:val="000000"/>
                <w:sz w:val="18"/>
                <w:szCs w:val="18"/>
              </w:rPr>
              <w:noBreakHyphen/>
              <w:t>hcg, PAPP</w:t>
            </w:r>
            <w:r w:rsidRPr="00291E4E">
              <w:rPr>
                <w:rFonts w:eastAsia="Times New Roman"/>
                <w:color w:val="000000"/>
                <w:sz w:val="18"/>
                <w:szCs w:val="18"/>
              </w:rPr>
              <w:noBreakHyphen/>
              <w:t>A, PP</w:t>
            </w:r>
            <w:r w:rsidRPr="00291E4E">
              <w:rPr>
                <w:rFonts w:eastAsia="Times New Roman"/>
                <w:color w:val="000000"/>
                <w:sz w:val="18"/>
                <w:szCs w:val="18"/>
              </w:rPr>
              <w:noBreakHyphen/>
              <w:t>13, uterine artery doppler and maternal history for the prediction of preeclampsia. Placenta 33: 495</w:t>
            </w:r>
            <w:r w:rsidRPr="00291E4E">
              <w:rPr>
                <w:rFonts w:eastAsia="Times New Roman"/>
                <w:color w:val="000000"/>
                <w:sz w:val="18"/>
                <w:szCs w:val="18"/>
              </w:rPr>
              <w:noBreakHyphen/>
              <w:t>501, 2012.</w:t>
            </w:r>
          </w:p>
        </w:tc>
        <w:tc>
          <w:tcPr>
            <w:tcW w:w="873" w:type="dxa"/>
          </w:tcPr>
          <w:p w:rsidR="00CD17F0" w:rsidRPr="00291E4E" w:rsidRDefault="00E33D6E" w:rsidP="006D38DA">
            <w:pPr>
              <w:spacing w:before="0" w:after="0"/>
              <w:jc w:val="center"/>
              <w:rPr>
                <w:rFonts w:eastAsia="Times New Roman"/>
                <w:color w:val="000000"/>
                <w:sz w:val="18"/>
                <w:szCs w:val="18"/>
              </w:rPr>
            </w:pPr>
            <w:r>
              <w:rPr>
                <w:rFonts w:eastAsia="Times New Roman"/>
                <w:color w:val="000000"/>
                <w:sz w:val="18"/>
                <w:szCs w:val="18"/>
              </w:rPr>
              <w:fldChar w:fldCharType="begin" w:fldLock="1"/>
            </w:r>
            <w:r w:rsidR="00460963">
              <w:rPr>
                <w:rFonts w:eastAsia="Times New Roman"/>
                <w:color w:val="000000"/>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rFonts w:eastAsia="Times New Roman"/>
                <w:color w:val="000000"/>
                <w:sz w:val="18"/>
                <w:szCs w:val="18"/>
              </w:rPr>
              <w:fldChar w:fldCharType="separate"/>
            </w:r>
            <w:r w:rsidR="00D0073D" w:rsidRPr="00D0073D">
              <w:rPr>
                <w:rFonts w:eastAsia="Times New Roman"/>
                <w:noProof/>
                <w:color w:val="000000"/>
                <w:sz w:val="18"/>
                <w:szCs w:val="18"/>
              </w:rPr>
              <w:t>(Zhong et al., 2019)</w:t>
            </w:r>
            <w:r>
              <w:rPr>
                <w:rFonts w:eastAsia="Times New Roman"/>
                <w:color w:val="000000"/>
                <w:sz w:val="18"/>
                <w:szCs w:val="18"/>
              </w:rPr>
              <w:fldChar w:fldCharType="end"/>
            </w:r>
          </w:p>
        </w:tc>
      </w:tr>
      <w:tr w:rsidR="00560F04" w:rsidRPr="00291E4E" w:rsidTr="00DB48CC">
        <w:trPr>
          <w:trHeight w:val="444"/>
        </w:trPr>
        <w:tc>
          <w:tcPr>
            <w:tcW w:w="5542" w:type="dxa"/>
            <w:shd w:val="clear" w:color="auto" w:fill="auto"/>
            <w:noWrap/>
            <w:vAlign w:val="bottom"/>
            <w:hideMark/>
          </w:tcPr>
          <w:p w:rsidR="00000000" w:rsidRDefault="00E33D6E">
            <w:pPr>
              <w:autoSpaceDE w:val="0"/>
              <w:autoSpaceDN w:val="0"/>
              <w:adjustRightInd w:val="0"/>
              <w:spacing w:before="0" w:after="0"/>
              <w:jc w:val="center"/>
              <w:rPr>
                <w:rFonts w:cs="Times New Roman"/>
                <w:sz w:val="18"/>
                <w:szCs w:val="18"/>
                <w:lang w:val="en-GB"/>
              </w:rPr>
            </w:pPr>
            <w:r w:rsidRPr="00E33D6E">
              <w:rPr>
                <w:rFonts w:cs="Times New Roman"/>
                <w:sz w:val="18"/>
                <w:szCs w:val="18"/>
                <w:lang w:val="en-GB"/>
              </w:rPr>
              <w:t>Preeclampsia was diagnosed by the elevation of blood pressure above</w:t>
            </w:r>
          </w:p>
          <w:p w:rsidR="00000000" w:rsidRDefault="00E33D6E">
            <w:pPr>
              <w:autoSpaceDE w:val="0"/>
              <w:autoSpaceDN w:val="0"/>
              <w:adjustRightInd w:val="0"/>
              <w:spacing w:before="0" w:after="0"/>
              <w:jc w:val="center"/>
              <w:rPr>
                <w:rFonts w:cs="Times New Roman"/>
                <w:sz w:val="18"/>
                <w:szCs w:val="18"/>
                <w:lang w:val="en-GB"/>
              </w:rPr>
            </w:pPr>
            <w:r w:rsidRPr="00E33D6E">
              <w:rPr>
                <w:rFonts w:cs="Times New Roman"/>
                <w:sz w:val="18"/>
                <w:szCs w:val="18"/>
                <w:lang w:val="en-GB"/>
              </w:rPr>
              <w:t>140/90 mmHg measured at four-hour intervals and proteinuria above</w:t>
            </w:r>
          </w:p>
          <w:p w:rsidR="00560F04" w:rsidRPr="00291E4E" w:rsidRDefault="00E33D6E" w:rsidP="00560F04">
            <w:pPr>
              <w:spacing w:before="0" w:after="0"/>
              <w:jc w:val="center"/>
              <w:rPr>
                <w:rFonts w:eastAsia="Times New Roman"/>
                <w:color w:val="000000"/>
                <w:sz w:val="18"/>
                <w:szCs w:val="18"/>
              </w:rPr>
            </w:pPr>
            <w:r w:rsidRPr="00E33D6E">
              <w:rPr>
                <w:rFonts w:cs="Times New Roman"/>
                <w:sz w:val="18"/>
                <w:szCs w:val="18"/>
                <w:lang w:val="en-GB"/>
              </w:rPr>
              <w:t>0.3 g/day after 20 gestational weeks</w:t>
            </w:r>
          </w:p>
        </w:tc>
        <w:tc>
          <w:tcPr>
            <w:tcW w:w="3483" w:type="dxa"/>
            <w:shd w:val="clear" w:color="auto" w:fill="auto"/>
            <w:vAlign w:val="bottom"/>
            <w:hideMark/>
          </w:tcPr>
          <w:p w:rsidR="00560F04" w:rsidRPr="00560F04" w:rsidRDefault="00E33D6E" w:rsidP="006D38DA">
            <w:pPr>
              <w:spacing w:before="0" w:after="0"/>
              <w:jc w:val="center"/>
              <w:rPr>
                <w:rFonts w:eastAsia="Times New Roman" w:cs="Times New Roman"/>
                <w:color w:val="000000"/>
                <w:sz w:val="18"/>
                <w:szCs w:val="18"/>
              </w:rPr>
            </w:pPr>
            <w:r w:rsidRPr="00E33D6E">
              <w:rPr>
                <w:rFonts w:eastAsia="Times New Roman"/>
                <w:color w:val="000000"/>
                <w:sz w:val="18"/>
                <w:szCs w:val="18"/>
              </w:rPr>
              <w:t>Roberts JM, Pearson G, Cutler J, Lindheimer M; NHLBI Working Group on Research on Hypertension During Pregnancy. Summary of the NHLBI Working Group on Research on Hypertension During Pregnancy. Hypertension. 2003 Mar;41(3):437-45.</w:t>
            </w:r>
          </w:p>
        </w:tc>
        <w:tc>
          <w:tcPr>
            <w:tcW w:w="873" w:type="dxa"/>
          </w:tcPr>
          <w:p w:rsidR="00560F04" w:rsidRDefault="00560F04" w:rsidP="006D38DA">
            <w:pPr>
              <w:spacing w:before="0" w:after="0"/>
              <w:jc w:val="center"/>
              <w:rPr>
                <w:rFonts w:eastAsia="Times New Roman"/>
                <w:color w:val="000000"/>
                <w:sz w:val="18"/>
                <w:szCs w:val="18"/>
              </w:rPr>
            </w:pPr>
            <w:r>
              <w:rPr>
                <w:rFonts w:eastAsia="Times New Roman"/>
                <w:color w:val="000000"/>
                <w:sz w:val="18"/>
                <w:szCs w:val="18"/>
              </w:rPr>
              <w:t>Dong 2019</w:t>
            </w:r>
          </w:p>
        </w:tc>
      </w:tr>
      <w:tr w:rsidR="00DB48CC" w:rsidRPr="00291E4E" w:rsidTr="00DB48CC">
        <w:trPr>
          <w:trHeight w:val="444"/>
        </w:trPr>
        <w:tc>
          <w:tcPr>
            <w:tcW w:w="5542" w:type="dxa"/>
            <w:shd w:val="clear" w:color="auto" w:fill="auto"/>
            <w:noWrap/>
            <w:vAlign w:val="bottom"/>
            <w:hideMark/>
          </w:tcPr>
          <w:p w:rsidR="00DB48CC" w:rsidRPr="00DB48CC" w:rsidRDefault="00E33D6E" w:rsidP="00DB48CC">
            <w:pPr>
              <w:autoSpaceDE w:val="0"/>
              <w:autoSpaceDN w:val="0"/>
              <w:adjustRightInd w:val="0"/>
              <w:spacing w:before="0" w:after="0"/>
              <w:jc w:val="center"/>
              <w:rPr>
                <w:rFonts w:cs="Times New Roman"/>
                <w:sz w:val="18"/>
                <w:szCs w:val="18"/>
                <w:lang w:val="en-GB"/>
              </w:rPr>
            </w:pPr>
            <w:r w:rsidRPr="00E33D6E">
              <w:rPr>
                <w:rFonts w:cs="Times New Roman"/>
                <w:sz w:val="18"/>
                <w:szCs w:val="18"/>
                <w:lang w:val="en-GB"/>
              </w:rPr>
              <w:t xml:space="preserve">PE is defined as a blood pressure of more than 140/90 mmHg or mild </w:t>
            </w:r>
            <w:r w:rsidRPr="00E33D6E">
              <w:rPr>
                <w:rFonts w:ascii="Calibri" w:hAnsi="Calibri" w:cs="Calibri"/>
                <w:sz w:val="18"/>
                <w:szCs w:val="18"/>
                <w:lang w:val="en-GB"/>
              </w:rPr>
              <w:t xml:space="preserve"> </w:t>
            </w:r>
            <w:r w:rsidRPr="00E33D6E">
              <w:rPr>
                <w:rFonts w:cs="Times New Roman"/>
                <w:sz w:val="18"/>
                <w:szCs w:val="18"/>
                <w:lang w:val="en-GB"/>
              </w:rPr>
              <w:t>hypertension with more than 3g protein/24 hour urine</w:t>
            </w:r>
          </w:p>
        </w:tc>
        <w:tc>
          <w:tcPr>
            <w:tcW w:w="3483" w:type="dxa"/>
            <w:shd w:val="clear" w:color="auto" w:fill="auto"/>
            <w:vAlign w:val="bottom"/>
            <w:hideMark/>
          </w:tcPr>
          <w:p w:rsidR="00DB48CC" w:rsidRPr="00560F04" w:rsidRDefault="00E33D6E" w:rsidP="006D38DA">
            <w:pPr>
              <w:spacing w:before="0" w:after="0"/>
              <w:jc w:val="center"/>
              <w:rPr>
                <w:rFonts w:cs="Times New Roman"/>
                <w:color w:val="212121"/>
                <w:sz w:val="18"/>
                <w:szCs w:val="18"/>
                <w:shd w:val="clear" w:color="auto" w:fill="FFFFFF"/>
              </w:rPr>
            </w:pPr>
            <w:r w:rsidRPr="00E33D6E">
              <w:rPr>
                <w:rFonts w:eastAsia="Times New Roman"/>
                <w:color w:val="000000"/>
                <w:sz w:val="18"/>
                <w:szCs w:val="18"/>
              </w:rPr>
              <w:t>Not reported</w:t>
            </w:r>
          </w:p>
        </w:tc>
        <w:tc>
          <w:tcPr>
            <w:tcW w:w="873" w:type="dxa"/>
          </w:tcPr>
          <w:p w:rsidR="00DB48CC" w:rsidRDefault="00DB48CC" w:rsidP="006D38DA">
            <w:pPr>
              <w:spacing w:before="0" w:after="0"/>
              <w:jc w:val="center"/>
              <w:rPr>
                <w:rFonts w:eastAsia="Times New Roman"/>
                <w:color w:val="000000"/>
                <w:sz w:val="18"/>
                <w:szCs w:val="18"/>
              </w:rPr>
            </w:pPr>
            <w:r>
              <w:rPr>
                <w:rFonts w:eastAsia="Times New Roman"/>
                <w:color w:val="000000"/>
                <w:sz w:val="18"/>
                <w:szCs w:val="18"/>
              </w:rPr>
              <w:t>Lv 2019</w:t>
            </w:r>
          </w:p>
          <w:p w:rsidR="00C42948" w:rsidRDefault="00C42948" w:rsidP="006D38DA">
            <w:pPr>
              <w:spacing w:before="0" w:after="0"/>
              <w:jc w:val="center"/>
              <w:rPr>
                <w:rFonts w:eastAsia="Times New Roman"/>
                <w:color w:val="000000"/>
                <w:sz w:val="18"/>
                <w:szCs w:val="18"/>
              </w:rPr>
            </w:pPr>
            <w:r>
              <w:rPr>
                <w:rFonts w:eastAsia="Times New Roman"/>
                <w:color w:val="000000"/>
                <w:sz w:val="18"/>
                <w:szCs w:val="18"/>
              </w:rPr>
              <w:t>Li H, 2020</w:t>
            </w:r>
          </w:p>
        </w:tc>
      </w:tr>
      <w:tr w:rsidR="00582E4F" w:rsidRPr="00291E4E" w:rsidTr="00DB48CC">
        <w:trPr>
          <w:trHeight w:val="444"/>
        </w:trPr>
        <w:tc>
          <w:tcPr>
            <w:tcW w:w="5542" w:type="dxa"/>
            <w:shd w:val="clear" w:color="auto" w:fill="auto"/>
            <w:noWrap/>
            <w:vAlign w:val="bottom"/>
            <w:hideMark/>
          </w:tcPr>
          <w:p w:rsidR="00582E4F" w:rsidRPr="00582E4F" w:rsidRDefault="00E33D6E" w:rsidP="00DB48CC">
            <w:pPr>
              <w:autoSpaceDE w:val="0"/>
              <w:autoSpaceDN w:val="0"/>
              <w:adjustRightInd w:val="0"/>
              <w:spacing w:before="0" w:after="0"/>
              <w:jc w:val="center"/>
              <w:rPr>
                <w:rFonts w:cs="Times New Roman"/>
                <w:sz w:val="18"/>
                <w:szCs w:val="18"/>
                <w:lang w:val="en-GB"/>
              </w:rPr>
            </w:pPr>
            <w:r w:rsidRPr="00E33D6E">
              <w:rPr>
                <w:rFonts w:cs="Franklin Gothic Book"/>
                <w:color w:val="000000"/>
                <w:sz w:val="18"/>
                <w:szCs w:val="18"/>
              </w:rPr>
              <w:t>PE patients were diagnosed by systolic/diastolic blood pressure (&gt; 140/90 mm Hg) and proteinuria</w:t>
            </w:r>
          </w:p>
        </w:tc>
        <w:tc>
          <w:tcPr>
            <w:tcW w:w="3483" w:type="dxa"/>
            <w:shd w:val="clear" w:color="auto" w:fill="auto"/>
            <w:vAlign w:val="bottom"/>
            <w:hideMark/>
          </w:tcPr>
          <w:p w:rsidR="00582E4F" w:rsidRPr="00DB48CC" w:rsidRDefault="00582E4F" w:rsidP="006D38DA">
            <w:pPr>
              <w:spacing w:before="0" w:after="0"/>
              <w:jc w:val="center"/>
              <w:rPr>
                <w:rFonts w:eastAsia="Times New Roman"/>
                <w:color w:val="000000"/>
                <w:sz w:val="18"/>
                <w:szCs w:val="18"/>
              </w:rPr>
            </w:pPr>
            <w:r>
              <w:rPr>
                <w:rFonts w:eastAsia="Times New Roman"/>
                <w:color w:val="000000"/>
                <w:sz w:val="18"/>
                <w:szCs w:val="18"/>
              </w:rPr>
              <w:t>Not reported</w:t>
            </w:r>
          </w:p>
        </w:tc>
        <w:tc>
          <w:tcPr>
            <w:tcW w:w="873" w:type="dxa"/>
          </w:tcPr>
          <w:p w:rsidR="00582E4F" w:rsidRDefault="00582E4F" w:rsidP="006D38DA">
            <w:pPr>
              <w:spacing w:before="0" w:after="0"/>
              <w:jc w:val="center"/>
              <w:rPr>
                <w:rFonts w:eastAsia="Times New Roman"/>
                <w:color w:val="000000"/>
                <w:sz w:val="18"/>
                <w:szCs w:val="18"/>
              </w:rPr>
            </w:pPr>
            <w:r>
              <w:rPr>
                <w:rFonts w:eastAsia="Times New Roman"/>
                <w:color w:val="000000"/>
                <w:sz w:val="18"/>
                <w:szCs w:val="18"/>
              </w:rPr>
              <w:t>Qian 2019</w:t>
            </w:r>
          </w:p>
        </w:tc>
      </w:tr>
      <w:tr w:rsidR="003D4D7B" w:rsidRPr="00291E4E" w:rsidTr="00DB48CC">
        <w:trPr>
          <w:trHeight w:val="444"/>
        </w:trPr>
        <w:tc>
          <w:tcPr>
            <w:tcW w:w="5542" w:type="dxa"/>
            <w:shd w:val="clear" w:color="auto" w:fill="auto"/>
            <w:noWrap/>
            <w:vAlign w:val="bottom"/>
            <w:hideMark/>
          </w:tcPr>
          <w:p w:rsidR="00000000" w:rsidRDefault="003D4D7B">
            <w:pPr>
              <w:autoSpaceDE w:val="0"/>
              <w:autoSpaceDN w:val="0"/>
              <w:adjustRightInd w:val="0"/>
              <w:spacing w:before="0" w:after="0"/>
              <w:jc w:val="center"/>
              <w:rPr>
                <w:rFonts w:eastAsia="Lato-Regular" w:cs="Times New Roman"/>
                <w:sz w:val="16"/>
                <w:szCs w:val="16"/>
                <w:lang w:val="en-GB"/>
              </w:rPr>
            </w:pPr>
            <w:r>
              <w:rPr>
                <w:rFonts w:eastAsia="Lato-Regular" w:cs="Times New Roman"/>
                <w:sz w:val="16"/>
                <w:szCs w:val="16"/>
                <w:lang w:val="en-GB"/>
              </w:rPr>
              <w:t xml:space="preserve">PE was defined as </w:t>
            </w:r>
            <w:r w:rsidR="00E33D6E" w:rsidRPr="00E33D6E">
              <w:rPr>
                <w:rFonts w:eastAsia="Lato-Regular" w:cs="Times New Roman"/>
                <w:sz w:val="16"/>
                <w:szCs w:val="16"/>
                <w:lang w:val="en-GB"/>
              </w:rPr>
              <w:t>sustained systolic blood pressure of</w:t>
            </w:r>
          </w:p>
          <w:p w:rsidR="00000000" w:rsidRDefault="00E33D6E">
            <w:pPr>
              <w:autoSpaceDE w:val="0"/>
              <w:autoSpaceDN w:val="0"/>
              <w:adjustRightInd w:val="0"/>
              <w:spacing w:before="0" w:after="0"/>
              <w:jc w:val="center"/>
              <w:rPr>
                <w:rFonts w:eastAsia="Lato-Regular" w:cs="Times New Roman"/>
                <w:sz w:val="16"/>
                <w:szCs w:val="16"/>
                <w:lang w:val="en-GB"/>
              </w:rPr>
            </w:pPr>
            <w:r w:rsidRPr="00E33D6E">
              <w:rPr>
                <w:rFonts w:eastAsia="Lato-Regular" w:cs="Times New Roman"/>
                <w:sz w:val="16"/>
                <w:szCs w:val="16"/>
                <w:lang w:val="en-GB"/>
              </w:rPr>
              <w:t xml:space="preserve">≥ustained systolic blood pressure ofic/diastolic blood pressure </w:t>
            </w:r>
          </w:p>
          <w:p w:rsidR="00000000" w:rsidRDefault="00E33D6E">
            <w:pPr>
              <w:autoSpaceDE w:val="0"/>
              <w:autoSpaceDN w:val="0"/>
              <w:adjustRightInd w:val="0"/>
              <w:spacing w:before="0" w:after="0"/>
              <w:jc w:val="center"/>
              <w:rPr>
                <w:rFonts w:eastAsia="Lato-Regular" w:cs="Times New Roman"/>
                <w:sz w:val="16"/>
                <w:szCs w:val="16"/>
                <w:lang w:val="en-GB"/>
              </w:rPr>
            </w:pPr>
            <w:r w:rsidRPr="00E33D6E">
              <w:rPr>
                <w:rFonts w:eastAsia="Lato-Regular" w:cs="Times New Roman"/>
                <w:sz w:val="16"/>
                <w:szCs w:val="16"/>
                <w:lang w:val="en-GB"/>
              </w:rPr>
              <w:t>on two separate readings; proteinuria measurement of 1+ or more</w:t>
            </w:r>
          </w:p>
          <w:p w:rsidR="00000000" w:rsidRDefault="00E33D6E">
            <w:pPr>
              <w:autoSpaceDE w:val="0"/>
              <w:autoSpaceDN w:val="0"/>
              <w:adjustRightInd w:val="0"/>
              <w:spacing w:before="0" w:after="0"/>
              <w:jc w:val="center"/>
              <w:rPr>
                <w:rFonts w:eastAsia="Lato-Regular" w:cs="Times New Roman"/>
                <w:sz w:val="16"/>
                <w:szCs w:val="16"/>
                <w:lang w:val="en-GB"/>
              </w:rPr>
            </w:pPr>
            <w:r w:rsidRPr="00E33D6E">
              <w:rPr>
                <w:rFonts w:eastAsia="Lato-Regular" w:cs="Times New Roman"/>
                <w:sz w:val="16"/>
                <w:szCs w:val="16"/>
                <w:lang w:val="en-GB"/>
              </w:rPr>
              <w:t>on dipstick, or 24</w:t>
            </w:r>
            <w:r w:rsidR="003D4D7B">
              <w:rPr>
                <w:rFonts w:eastAsia="Lato-Regular" w:cs="Times New Roman"/>
                <w:sz w:val="16"/>
                <w:szCs w:val="16"/>
                <w:lang w:val="en-GB"/>
              </w:rPr>
              <w:t>-</w:t>
            </w:r>
            <w:r w:rsidRPr="00E33D6E">
              <w:rPr>
                <w:rFonts w:eastAsia="Lato-Regular" w:cs="Times New Roman"/>
                <w:sz w:val="16"/>
                <w:szCs w:val="16"/>
                <w:lang w:val="en-GB"/>
              </w:rPr>
              <w:t>hour urine protein collection with ia measure</w:t>
            </w:r>
          </w:p>
          <w:p w:rsidR="003D4D7B" w:rsidRPr="00582E4F" w:rsidRDefault="00E33D6E" w:rsidP="003D4D7B">
            <w:pPr>
              <w:autoSpaceDE w:val="0"/>
              <w:autoSpaceDN w:val="0"/>
              <w:adjustRightInd w:val="0"/>
              <w:spacing w:before="0" w:after="0"/>
              <w:jc w:val="center"/>
              <w:rPr>
                <w:rFonts w:cs="Franklin Gothic Book"/>
                <w:color w:val="000000"/>
                <w:sz w:val="18"/>
                <w:szCs w:val="18"/>
              </w:rPr>
            </w:pPr>
            <w:r w:rsidRPr="00E33D6E">
              <w:rPr>
                <w:rFonts w:eastAsia="Lato-Regular" w:cs="Times New Roman"/>
                <w:sz w:val="16"/>
                <w:szCs w:val="16"/>
                <w:lang w:val="en-GB"/>
              </w:rPr>
              <w:t>the specimen</w:t>
            </w:r>
          </w:p>
        </w:tc>
        <w:tc>
          <w:tcPr>
            <w:tcW w:w="3483" w:type="dxa"/>
            <w:shd w:val="clear" w:color="auto" w:fill="auto"/>
            <w:vAlign w:val="bottom"/>
            <w:hideMark/>
          </w:tcPr>
          <w:p w:rsidR="003D4D7B" w:rsidRDefault="003D4D7B" w:rsidP="006D38DA">
            <w:pPr>
              <w:spacing w:before="0" w:after="0"/>
              <w:jc w:val="center"/>
              <w:rPr>
                <w:rFonts w:eastAsia="Times New Roman"/>
                <w:color w:val="000000"/>
                <w:sz w:val="18"/>
                <w:szCs w:val="18"/>
              </w:rPr>
            </w:pPr>
            <w:r>
              <w:rPr>
                <w:rFonts w:eastAsia="Times New Roman"/>
                <w:color w:val="000000"/>
                <w:sz w:val="18"/>
                <w:szCs w:val="18"/>
              </w:rPr>
              <w:t>Not reported</w:t>
            </w:r>
          </w:p>
        </w:tc>
        <w:tc>
          <w:tcPr>
            <w:tcW w:w="873" w:type="dxa"/>
          </w:tcPr>
          <w:p w:rsidR="003D4D7B" w:rsidRDefault="003D4D7B" w:rsidP="006D38DA">
            <w:pPr>
              <w:spacing w:before="0" w:after="0"/>
              <w:jc w:val="center"/>
              <w:rPr>
                <w:rFonts w:eastAsia="Times New Roman"/>
                <w:color w:val="000000"/>
                <w:sz w:val="18"/>
                <w:szCs w:val="18"/>
              </w:rPr>
            </w:pPr>
            <w:r>
              <w:rPr>
                <w:rFonts w:eastAsia="Times New Roman"/>
                <w:color w:val="000000"/>
                <w:sz w:val="18"/>
                <w:szCs w:val="18"/>
              </w:rPr>
              <w:t>Xu 2019</w:t>
            </w:r>
          </w:p>
        </w:tc>
      </w:tr>
      <w:tr w:rsidR="00111061" w:rsidRPr="00291E4E" w:rsidTr="00DB48CC">
        <w:trPr>
          <w:trHeight w:val="444"/>
        </w:trPr>
        <w:tc>
          <w:tcPr>
            <w:tcW w:w="5542" w:type="dxa"/>
            <w:shd w:val="clear" w:color="auto" w:fill="auto"/>
            <w:noWrap/>
            <w:vAlign w:val="bottom"/>
            <w:hideMark/>
          </w:tcPr>
          <w:p w:rsidR="00111061" w:rsidRDefault="00111061" w:rsidP="003D4D7B">
            <w:pPr>
              <w:autoSpaceDE w:val="0"/>
              <w:autoSpaceDN w:val="0"/>
              <w:adjustRightInd w:val="0"/>
              <w:spacing w:before="0" w:after="0"/>
              <w:jc w:val="center"/>
              <w:rPr>
                <w:rFonts w:eastAsia="Lato-Regular" w:cs="Times New Roman"/>
                <w:sz w:val="16"/>
                <w:szCs w:val="16"/>
                <w:lang w:val="en-GB"/>
              </w:rPr>
            </w:pPr>
            <w:r>
              <w:rPr>
                <w:rFonts w:eastAsia="Lato-Regular" w:cs="Times New Roman"/>
                <w:sz w:val="16"/>
                <w:szCs w:val="16"/>
                <w:lang w:val="en-GB"/>
              </w:rPr>
              <w:lastRenderedPageBreak/>
              <w:t>Not reported</w:t>
            </w:r>
          </w:p>
        </w:tc>
        <w:tc>
          <w:tcPr>
            <w:tcW w:w="3483" w:type="dxa"/>
            <w:shd w:val="clear" w:color="auto" w:fill="auto"/>
            <w:vAlign w:val="bottom"/>
            <w:hideMark/>
          </w:tcPr>
          <w:p w:rsidR="00000000" w:rsidRDefault="00E33D6E">
            <w:pPr>
              <w:autoSpaceDE w:val="0"/>
              <w:autoSpaceDN w:val="0"/>
              <w:adjustRightInd w:val="0"/>
              <w:spacing w:before="0" w:after="0"/>
              <w:jc w:val="center"/>
              <w:rPr>
                <w:rFonts w:cs="Times New Roman"/>
                <w:sz w:val="18"/>
                <w:szCs w:val="18"/>
                <w:lang w:val="en-GB"/>
              </w:rPr>
            </w:pPr>
            <w:r w:rsidRPr="00E33D6E">
              <w:rPr>
                <w:rFonts w:cs="Times New Roman"/>
                <w:sz w:val="18"/>
                <w:szCs w:val="18"/>
                <w:lang w:val="en-GB"/>
              </w:rPr>
              <w:t>Niu, J. M., Lei, Q., Lü, L. J., Wen, J. Y., Lin, X. H., Duan, D. M., … Yi, J. (2013).</w:t>
            </w:r>
          </w:p>
          <w:p w:rsidR="00000000" w:rsidRDefault="00E33D6E">
            <w:pPr>
              <w:autoSpaceDE w:val="0"/>
              <w:autoSpaceDN w:val="0"/>
              <w:adjustRightInd w:val="0"/>
              <w:spacing w:before="0" w:after="0"/>
              <w:jc w:val="center"/>
              <w:rPr>
                <w:rFonts w:cs="Times New Roman"/>
                <w:sz w:val="18"/>
                <w:szCs w:val="18"/>
                <w:lang w:val="en-GB"/>
              </w:rPr>
            </w:pPr>
            <w:r w:rsidRPr="00E33D6E">
              <w:rPr>
                <w:rFonts w:cs="Times New Roman"/>
                <w:sz w:val="18"/>
                <w:szCs w:val="18"/>
                <w:lang w:val="en-GB"/>
              </w:rPr>
              <w:t>Evaluation of the diagnostic criteria of gestational metabolic</w:t>
            </w:r>
            <w:r w:rsidR="00111061">
              <w:rPr>
                <w:rFonts w:cs="Times New Roman"/>
                <w:sz w:val="18"/>
                <w:szCs w:val="18"/>
                <w:lang w:val="en-GB"/>
              </w:rPr>
              <w:t xml:space="preserve"> </w:t>
            </w:r>
            <w:r w:rsidRPr="00E33D6E">
              <w:rPr>
                <w:rFonts w:cs="Times New Roman"/>
                <w:sz w:val="18"/>
                <w:szCs w:val="18"/>
                <w:lang w:val="en-GB"/>
              </w:rPr>
              <w:t>syndrome and analysis of the risk factors. Zhonghua fu chan ke za</w:t>
            </w:r>
          </w:p>
          <w:p w:rsidR="00111061" w:rsidRDefault="00E33D6E" w:rsidP="00111061">
            <w:pPr>
              <w:spacing w:before="0" w:after="0"/>
              <w:jc w:val="center"/>
              <w:rPr>
                <w:rFonts w:eastAsia="Times New Roman"/>
                <w:color w:val="000000"/>
                <w:sz w:val="18"/>
                <w:szCs w:val="18"/>
              </w:rPr>
            </w:pPr>
            <w:r w:rsidRPr="00E33D6E">
              <w:rPr>
                <w:rFonts w:cs="Times New Roman"/>
                <w:sz w:val="18"/>
                <w:szCs w:val="18"/>
                <w:lang w:val="en-GB"/>
              </w:rPr>
              <w:t>zhi, 48(2), 92–97.</w:t>
            </w:r>
          </w:p>
        </w:tc>
        <w:tc>
          <w:tcPr>
            <w:tcW w:w="873" w:type="dxa"/>
          </w:tcPr>
          <w:p w:rsidR="00111061" w:rsidRDefault="00111061" w:rsidP="006D38DA">
            <w:pPr>
              <w:spacing w:before="0" w:after="0"/>
              <w:jc w:val="center"/>
              <w:rPr>
                <w:rFonts w:eastAsia="Times New Roman"/>
                <w:color w:val="000000"/>
                <w:sz w:val="18"/>
                <w:szCs w:val="18"/>
              </w:rPr>
            </w:pPr>
            <w:r>
              <w:rPr>
                <w:rFonts w:eastAsia="Times New Roman"/>
                <w:color w:val="000000"/>
                <w:sz w:val="18"/>
                <w:szCs w:val="18"/>
              </w:rPr>
              <w:t>Yuan 2019</w:t>
            </w:r>
          </w:p>
        </w:tc>
      </w:tr>
      <w:tr w:rsidR="007E0562" w:rsidRPr="00291E4E" w:rsidTr="00DB48CC">
        <w:trPr>
          <w:trHeight w:val="444"/>
        </w:trPr>
        <w:tc>
          <w:tcPr>
            <w:tcW w:w="5542" w:type="dxa"/>
            <w:shd w:val="clear" w:color="auto" w:fill="auto"/>
            <w:noWrap/>
            <w:vAlign w:val="bottom"/>
            <w:hideMark/>
          </w:tcPr>
          <w:p w:rsidR="007E0562" w:rsidRPr="00A3632A" w:rsidRDefault="00E33D6E" w:rsidP="003D4D7B">
            <w:pPr>
              <w:autoSpaceDE w:val="0"/>
              <w:autoSpaceDN w:val="0"/>
              <w:adjustRightInd w:val="0"/>
              <w:spacing w:before="0" w:after="0"/>
              <w:jc w:val="center"/>
              <w:rPr>
                <w:rFonts w:eastAsia="Lato-Regular" w:cs="Times New Roman"/>
                <w:sz w:val="18"/>
                <w:szCs w:val="18"/>
                <w:lang w:val="en-GB"/>
              </w:rPr>
            </w:pPr>
            <w:r w:rsidRPr="00E33D6E">
              <w:rPr>
                <w:rFonts w:cs="Times"/>
                <w:color w:val="000000"/>
                <w:sz w:val="18"/>
                <w:szCs w:val="18"/>
              </w:rPr>
              <w:t>PE was defined as systolic blood pressure ≥140 mmHg and/or diastolic blood pressure ≥90 mmHg after 20 weeks of gestation, whereas women with previous normal blood pressure had proteinuria ≥1+ (300 mg/24 h) after preg</w:t>
            </w:r>
            <w:r w:rsidRPr="00E33D6E">
              <w:rPr>
                <w:rFonts w:cs="Times"/>
                <w:color w:val="000000"/>
                <w:sz w:val="18"/>
                <w:szCs w:val="18"/>
              </w:rPr>
              <w:softHyphen/>
              <w:t>nancy</w:t>
            </w:r>
          </w:p>
        </w:tc>
        <w:tc>
          <w:tcPr>
            <w:tcW w:w="3483" w:type="dxa"/>
            <w:shd w:val="clear" w:color="auto" w:fill="auto"/>
            <w:vAlign w:val="bottom"/>
            <w:hideMark/>
          </w:tcPr>
          <w:p w:rsidR="007E0562" w:rsidRPr="00A3632A" w:rsidRDefault="007E0562">
            <w:pPr>
              <w:autoSpaceDE w:val="0"/>
              <w:autoSpaceDN w:val="0"/>
              <w:adjustRightInd w:val="0"/>
              <w:spacing w:before="0" w:after="0"/>
              <w:jc w:val="center"/>
              <w:rPr>
                <w:rFonts w:cs="Times New Roman"/>
                <w:sz w:val="18"/>
                <w:szCs w:val="18"/>
                <w:lang w:val="en-GB"/>
              </w:rPr>
            </w:pPr>
            <w:r w:rsidRPr="00A3632A">
              <w:rPr>
                <w:rFonts w:cs="Times"/>
                <w:color w:val="000000"/>
                <w:sz w:val="18"/>
                <w:szCs w:val="18"/>
              </w:rPr>
              <w:t>Chaiworapongsa T, Chaemsaithong P, Yeo L and Romero R: Pre</w:t>
            </w:r>
            <w:r w:rsidRPr="00A3632A">
              <w:rPr>
                <w:rFonts w:cs="Times"/>
                <w:color w:val="000000"/>
                <w:sz w:val="18"/>
                <w:szCs w:val="18"/>
              </w:rPr>
              <w:noBreakHyphen/>
              <w:t>eclampsia part 1: Current understanding of its pathophys</w:t>
            </w:r>
            <w:r w:rsidRPr="00A3632A">
              <w:rPr>
                <w:rFonts w:cs="Times"/>
                <w:color w:val="000000"/>
                <w:sz w:val="18"/>
                <w:szCs w:val="18"/>
              </w:rPr>
              <w:softHyphen/>
              <w:t>iology. Nat Rev Nephrol 10: 466</w:t>
            </w:r>
            <w:r w:rsidRPr="00A3632A">
              <w:rPr>
                <w:rFonts w:cs="Times"/>
                <w:color w:val="000000"/>
                <w:sz w:val="18"/>
                <w:szCs w:val="18"/>
              </w:rPr>
              <w:noBreakHyphen/>
              <w:t>480, 2014.</w:t>
            </w:r>
          </w:p>
        </w:tc>
        <w:tc>
          <w:tcPr>
            <w:tcW w:w="873" w:type="dxa"/>
          </w:tcPr>
          <w:p w:rsidR="007E0562" w:rsidRPr="00A3632A" w:rsidRDefault="001C20F8" w:rsidP="006D38DA">
            <w:pPr>
              <w:spacing w:before="0" w:after="0"/>
              <w:jc w:val="center"/>
              <w:rPr>
                <w:rFonts w:eastAsia="Times New Roman"/>
                <w:color w:val="000000"/>
                <w:sz w:val="18"/>
                <w:szCs w:val="18"/>
              </w:rPr>
            </w:pPr>
            <w:r>
              <w:rPr>
                <w:rFonts w:eastAsia="Times New Roman"/>
                <w:color w:val="000000"/>
                <w:sz w:val="18"/>
                <w:szCs w:val="18"/>
              </w:rPr>
              <w:t>Dong 2020</w:t>
            </w:r>
          </w:p>
        </w:tc>
      </w:tr>
      <w:tr w:rsidR="00B13AE3" w:rsidRPr="00291E4E" w:rsidTr="00DB48CC">
        <w:trPr>
          <w:trHeight w:val="444"/>
        </w:trPr>
        <w:tc>
          <w:tcPr>
            <w:tcW w:w="5542" w:type="dxa"/>
            <w:shd w:val="clear" w:color="auto" w:fill="auto"/>
            <w:noWrap/>
            <w:vAlign w:val="bottom"/>
            <w:hideMark/>
          </w:tcPr>
          <w:p w:rsidR="00B13AE3" w:rsidRPr="00A3632A" w:rsidRDefault="00E33D6E" w:rsidP="00B13AE3">
            <w:pPr>
              <w:autoSpaceDE w:val="0"/>
              <w:autoSpaceDN w:val="0"/>
              <w:adjustRightInd w:val="0"/>
              <w:spacing w:before="0" w:after="0"/>
              <w:jc w:val="center"/>
              <w:rPr>
                <w:rFonts w:cs="Times"/>
                <w:color w:val="000000"/>
                <w:sz w:val="18"/>
                <w:szCs w:val="18"/>
              </w:rPr>
            </w:pPr>
            <w:r w:rsidRPr="00E33D6E">
              <w:rPr>
                <w:rFonts w:cs="Times New Roman"/>
                <w:sz w:val="18"/>
                <w:szCs w:val="18"/>
              </w:rPr>
              <w:t>PE was defined as systolic blood pressure ≥140 mmHg and/or diastolic blood pressure ≥90 mmHg on at least two occasions 4 h apart but no more than 7 days apart, which developed after 20 weeks of gestation in previously normotensive women; proteinuria was defined as ≥300 mg protein in a 24 h urine specimen</w:t>
            </w:r>
          </w:p>
        </w:tc>
        <w:tc>
          <w:tcPr>
            <w:tcW w:w="3483" w:type="dxa"/>
            <w:shd w:val="clear" w:color="auto" w:fill="auto"/>
            <w:vAlign w:val="bottom"/>
            <w:hideMark/>
          </w:tcPr>
          <w:p w:rsidR="00B13AE3" w:rsidRPr="00A3632A" w:rsidRDefault="00B13AE3">
            <w:pPr>
              <w:autoSpaceDE w:val="0"/>
              <w:autoSpaceDN w:val="0"/>
              <w:adjustRightInd w:val="0"/>
              <w:spacing w:before="0" w:after="0"/>
              <w:jc w:val="center"/>
              <w:rPr>
                <w:rFonts w:cs="Times"/>
                <w:color w:val="000000"/>
                <w:sz w:val="18"/>
                <w:szCs w:val="18"/>
              </w:rPr>
            </w:pPr>
            <w:r w:rsidRPr="00A3632A">
              <w:rPr>
                <w:rFonts w:cs="Times"/>
                <w:color w:val="000000"/>
                <w:sz w:val="18"/>
                <w:szCs w:val="18"/>
              </w:rPr>
              <w:t>ISSHP 2018</w:t>
            </w:r>
          </w:p>
        </w:tc>
        <w:tc>
          <w:tcPr>
            <w:tcW w:w="873" w:type="dxa"/>
          </w:tcPr>
          <w:p w:rsidR="00B13AE3" w:rsidRPr="00A3632A" w:rsidRDefault="00B13AE3" w:rsidP="006D38DA">
            <w:pPr>
              <w:spacing w:before="0" w:after="0"/>
              <w:jc w:val="center"/>
              <w:rPr>
                <w:rFonts w:eastAsia="Times New Roman"/>
                <w:color w:val="000000"/>
                <w:sz w:val="18"/>
                <w:szCs w:val="18"/>
              </w:rPr>
            </w:pPr>
            <w:r w:rsidRPr="00A3632A">
              <w:rPr>
                <w:rFonts w:eastAsia="Times New Roman"/>
                <w:color w:val="000000"/>
                <w:sz w:val="18"/>
                <w:szCs w:val="18"/>
              </w:rPr>
              <w:t>Kim 2020</w:t>
            </w:r>
          </w:p>
          <w:p w:rsidR="003E0A98" w:rsidRPr="00A3632A" w:rsidRDefault="001C20F8" w:rsidP="006D38DA">
            <w:pPr>
              <w:spacing w:before="0" w:after="0"/>
              <w:jc w:val="center"/>
              <w:rPr>
                <w:rFonts w:eastAsia="Times New Roman"/>
                <w:color w:val="000000"/>
                <w:sz w:val="18"/>
                <w:szCs w:val="18"/>
              </w:rPr>
            </w:pPr>
            <w:r>
              <w:rPr>
                <w:rFonts w:eastAsia="Times New Roman"/>
                <w:color w:val="000000"/>
                <w:sz w:val="18"/>
                <w:szCs w:val="18"/>
              </w:rPr>
              <w:t>Li Q, 2020</w:t>
            </w:r>
          </w:p>
        </w:tc>
      </w:tr>
      <w:tr w:rsidR="00995DCA" w:rsidRPr="00291E4E" w:rsidTr="00DB48CC">
        <w:trPr>
          <w:trHeight w:val="444"/>
        </w:trPr>
        <w:tc>
          <w:tcPr>
            <w:tcW w:w="5542" w:type="dxa"/>
            <w:shd w:val="clear" w:color="auto" w:fill="auto"/>
            <w:noWrap/>
            <w:vAlign w:val="bottom"/>
            <w:hideMark/>
          </w:tcPr>
          <w:p w:rsidR="00995DCA" w:rsidRPr="00A3632A" w:rsidRDefault="00E33D6E" w:rsidP="00995DCA">
            <w:pPr>
              <w:autoSpaceDE w:val="0"/>
              <w:autoSpaceDN w:val="0"/>
              <w:adjustRightInd w:val="0"/>
              <w:spacing w:before="0" w:after="0"/>
              <w:jc w:val="center"/>
              <w:rPr>
                <w:rFonts w:cs="Times New Roman"/>
                <w:sz w:val="18"/>
                <w:szCs w:val="18"/>
              </w:rPr>
            </w:pPr>
            <w:r w:rsidRPr="00E33D6E">
              <w:rPr>
                <w:rFonts w:eastAsia="Lato-Regular" w:cs="Times New Roman"/>
                <w:sz w:val="18"/>
                <w:szCs w:val="18"/>
              </w:rPr>
              <w:t xml:space="preserve">PE were recruited during their first pregnancy with systolic blood pressure hich developed after </w:t>
            </w:r>
            <w:r w:rsidRPr="00E33D6E">
              <w:rPr>
                <w:rFonts w:eastAsia="STIX-Regular" w:cs="Times New Roman"/>
                <w:sz w:val="18"/>
                <w:szCs w:val="18"/>
              </w:rPr>
              <w:t xml:space="preserve">= </w:t>
            </w:r>
            <w:r w:rsidRPr="00E33D6E">
              <w:rPr>
                <w:rFonts w:eastAsia="Lato-Regular" w:cs="Times New Roman"/>
                <w:sz w:val="18"/>
                <w:szCs w:val="18"/>
              </w:rPr>
              <w:t>0.133 kPa), diastolic b lood p ressure egnancy with systolic blood pressure hich developed after 20 weeks of gestation in previousl</w:t>
            </w:r>
            <w:r w:rsidRPr="00E33D6E">
              <w:rPr>
                <w:rFonts w:eastAsia="STIX-Regular" w:cs="Times New Roman"/>
                <w:sz w:val="18"/>
                <w:szCs w:val="18"/>
              </w:rPr>
              <w:t>+</w:t>
            </w:r>
            <w:r w:rsidRPr="00E33D6E">
              <w:rPr>
                <w:rFonts w:eastAsia="Lato-Regular" w:cs="Times New Roman"/>
                <w:sz w:val="18"/>
                <w:szCs w:val="18"/>
              </w:rPr>
              <w:t>) and the above</w:t>
            </w:r>
          </w:p>
        </w:tc>
        <w:tc>
          <w:tcPr>
            <w:tcW w:w="3483" w:type="dxa"/>
            <w:shd w:val="clear" w:color="auto" w:fill="auto"/>
            <w:vAlign w:val="bottom"/>
            <w:hideMark/>
          </w:tcPr>
          <w:p w:rsidR="00995DCA" w:rsidRPr="00A3632A" w:rsidRDefault="00995DCA">
            <w:pPr>
              <w:autoSpaceDE w:val="0"/>
              <w:autoSpaceDN w:val="0"/>
              <w:adjustRightInd w:val="0"/>
              <w:spacing w:before="0" w:after="0"/>
              <w:jc w:val="center"/>
              <w:rPr>
                <w:rFonts w:cs="Times"/>
                <w:color w:val="000000"/>
                <w:sz w:val="18"/>
                <w:szCs w:val="18"/>
              </w:rPr>
            </w:pPr>
            <w:r w:rsidRPr="00A3632A">
              <w:rPr>
                <w:rFonts w:cs="Times"/>
                <w:color w:val="000000"/>
                <w:sz w:val="18"/>
                <w:szCs w:val="18"/>
              </w:rPr>
              <w:t>Not reported</w:t>
            </w:r>
          </w:p>
        </w:tc>
        <w:tc>
          <w:tcPr>
            <w:tcW w:w="873" w:type="dxa"/>
          </w:tcPr>
          <w:p w:rsidR="00995DCA" w:rsidRPr="00A3632A" w:rsidRDefault="00995DCA" w:rsidP="006D38DA">
            <w:pPr>
              <w:spacing w:before="0" w:after="0"/>
              <w:jc w:val="center"/>
              <w:rPr>
                <w:rFonts w:eastAsia="Times New Roman"/>
                <w:color w:val="000000"/>
                <w:sz w:val="18"/>
                <w:szCs w:val="18"/>
              </w:rPr>
            </w:pPr>
            <w:r w:rsidRPr="00A3632A">
              <w:rPr>
                <w:rFonts w:eastAsia="Times New Roman"/>
                <w:color w:val="000000"/>
                <w:sz w:val="18"/>
                <w:szCs w:val="18"/>
              </w:rPr>
              <w:t>Yang 2020</w:t>
            </w:r>
          </w:p>
        </w:tc>
      </w:tr>
      <w:tr w:rsidR="00110DC2" w:rsidRPr="00291E4E" w:rsidTr="00DB48CC">
        <w:trPr>
          <w:trHeight w:val="444"/>
        </w:trPr>
        <w:tc>
          <w:tcPr>
            <w:tcW w:w="5542" w:type="dxa"/>
            <w:shd w:val="clear" w:color="auto" w:fill="auto"/>
            <w:noWrap/>
            <w:vAlign w:val="bottom"/>
            <w:hideMark/>
          </w:tcPr>
          <w:p w:rsidR="00000000" w:rsidRDefault="00110DC2">
            <w:pPr>
              <w:autoSpaceDE w:val="0"/>
              <w:autoSpaceDN w:val="0"/>
              <w:adjustRightInd w:val="0"/>
              <w:spacing w:before="0" w:after="0"/>
              <w:jc w:val="center"/>
              <w:rPr>
                <w:rFonts w:eastAsia="MyriadPro-Regular" w:cs="Times New Roman"/>
                <w:color w:val="231F20"/>
                <w:sz w:val="18"/>
                <w:szCs w:val="18"/>
              </w:rPr>
            </w:pPr>
            <w:r w:rsidRPr="00110DC2">
              <w:rPr>
                <w:rFonts w:eastAsia="MyriadPro-Regular" w:cs="Times New Roman"/>
                <w:color w:val="231F20"/>
                <w:sz w:val="18"/>
                <w:szCs w:val="18"/>
              </w:rPr>
              <w:t>N</w:t>
            </w:r>
            <w:r w:rsidR="00E33D6E" w:rsidRPr="00E33D6E">
              <w:rPr>
                <w:rFonts w:eastAsia="MyriadPro-Regular" w:cs="Times New Roman"/>
                <w:color w:val="231F20"/>
                <w:sz w:val="18"/>
                <w:szCs w:val="18"/>
              </w:rPr>
              <w:t>ew</w:t>
            </w:r>
            <w:r>
              <w:rPr>
                <w:rFonts w:eastAsia="MyriadPro-Regular" w:cs="Times New Roman"/>
                <w:color w:val="231F20"/>
                <w:sz w:val="18"/>
                <w:szCs w:val="18"/>
              </w:rPr>
              <w:t xml:space="preserve"> </w:t>
            </w:r>
            <w:r w:rsidR="00E33D6E" w:rsidRPr="00E33D6E">
              <w:rPr>
                <w:rFonts w:eastAsia="MyriadPro-Regular" w:cs="Times New Roman"/>
                <w:color w:val="231F20"/>
                <w:sz w:val="18"/>
                <w:szCs w:val="18"/>
              </w:rPr>
              <w:t>onset of systolic blood pressure (SBP) &gt;140mmHg or</w:t>
            </w:r>
          </w:p>
          <w:p w:rsidR="00110DC2" w:rsidRPr="00110DC2" w:rsidRDefault="00E33D6E" w:rsidP="00110DC2">
            <w:pPr>
              <w:autoSpaceDE w:val="0"/>
              <w:autoSpaceDN w:val="0"/>
              <w:adjustRightInd w:val="0"/>
              <w:spacing w:before="0" w:after="0"/>
              <w:jc w:val="center"/>
              <w:rPr>
                <w:rFonts w:eastAsia="Lato-Regular" w:cs="Times New Roman"/>
                <w:sz w:val="18"/>
                <w:szCs w:val="18"/>
              </w:rPr>
            </w:pPr>
            <w:r w:rsidRPr="00E33D6E">
              <w:rPr>
                <w:rFonts w:eastAsia="MyriadPro-Regular" w:cs="Times New Roman"/>
                <w:color w:val="231F20"/>
                <w:sz w:val="18"/>
                <w:szCs w:val="18"/>
              </w:rPr>
              <w:t>diastolic blood pressure (DBP) &gt;90mmHg at &gt;20 weeks of</w:t>
            </w:r>
            <w:r w:rsidR="00110DC2">
              <w:rPr>
                <w:rFonts w:eastAsia="MyriadPro-Regular" w:cs="Times New Roman"/>
                <w:color w:val="231F20"/>
                <w:sz w:val="18"/>
                <w:szCs w:val="18"/>
              </w:rPr>
              <w:t xml:space="preserve"> </w:t>
            </w:r>
            <w:r w:rsidRPr="00E33D6E">
              <w:rPr>
                <w:rFonts w:eastAsia="MyriadPro-Regular" w:cs="Times New Roman"/>
                <w:color w:val="231F20"/>
                <w:sz w:val="18"/>
                <w:szCs w:val="18"/>
              </w:rPr>
              <w:t>gestation accompanied by 24hrs proteinuria &gt;300mg</w:t>
            </w:r>
            <w:r w:rsidR="00110DC2">
              <w:rPr>
                <w:rFonts w:eastAsia="MyriadPro-Regular" w:cs="Times New Roman"/>
                <w:color w:val="231F20"/>
                <w:sz w:val="18"/>
                <w:szCs w:val="18"/>
              </w:rPr>
              <w:t xml:space="preserve"> </w:t>
            </w:r>
            <w:r w:rsidRPr="00E33D6E">
              <w:rPr>
                <w:rFonts w:eastAsia="MyriadPro-Regular" w:cs="Times New Roman"/>
                <w:color w:val="231F20"/>
                <w:sz w:val="18"/>
                <w:szCs w:val="18"/>
              </w:rPr>
              <w:t>(&gt;1+ on dipstick), in at least two random urine samples</w:t>
            </w:r>
            <w:r w:rsidR="00110DC2">
              <w:rPr>
                <w:rFonts w:eastAsia="MyriadPro-Regular" w:cs="Times New Roman"/>
                <w:color w:val="231F20"/>
                <w:sz w:val="18"/>
                <w:szCs w:val="18"/>
              </w:rPr>
              <w:t xml:space="preserve"> </w:t>
            </w:r>
            <w:r w:rsidRPr="00E33D6E">
              <w:rPr>
                <w:rFonts w:eastAsia="MyriadPro-Regular" w:cs="Times New Roman"/>
                <w:color w:val="231F20"/>
                <w:sz w:val="18"/>
                <w:szCs w:val="18"/>
              </w:rPr>
              <w:t>collected 4-6hrs apart</w:t>
            </w:r>
          </w:p>
        </w:tc>
        <w:tc>
          <w:tcPr>
            <w:tcW w:w="3483" w:type="dxa"/>
            <w:shd w:val="clear" w:color="auto" w:fill="auto"/>
            <w:vAlign w:val="bottom"/>
            <w:hideMark/>
          </w:tcPr>
          <w:p w:rsidR="00110DC2" w:rsidRPr="00110DC2" w:rsidRDefault="00E33D6E" w:rsidP="00110DC2">
            <w:pPr>
              <w:autoSpaceDE w:val="0"/>
              <w:autoSpaceDN w:val="0"/>
              <w:adjustRightInd w:val="0"/>
              <w:spacing w:before="0" w:after="0"/>
              <w:jc w:val="center"/>
              <w:rPr>
                <w:rFonts w:cs="Times New Roman"/>
                <w:color w:val="000000"/>
                <w:sz w:val="18"/>
                <w:szCs w:val="18"/>
              </w:rPr>
            </w:pPr>
            <w:r w:rsidRPr="00E33D6E">
              <w:rPr>
                <w:rFonts w:eastAsia="MyriadPro-Regular" w:cs="Times New Roman"/>
                <w:color w:val="231F20"/>
                <w:sz w:val="18"/>
                <w:szCs w:val="18"/>
              </w:rPr>
              <w:t>Uzan J, Carbonnel M, Piconne O, Asmar R, Ayoubi JM. Preeclampsia:</w:t>
            </w:r>
            <w:r w:rsidR="00110DC2">
              <w:rPr>
                <w:rFonts w:eastAsia="MyriadPro-Regular" w:cs="Times New Roman"/>
                <w:color w:val="231F20"/>
                <w:sz w:val="18"/>
                <w:szCs w:val="18"/>
              </w:rPr>
              <w:t xml:space="preserve"> </w:t>
            </w:r>
            <w:r w:rsidRPr="00E33D6E">
              <w:rPr>
                <w:rFonts w:eastAsia="MyriadPro-Regular" w:cs="Times New Roman"/>
                <w:color w:val="231F20"/>
                <w:sz w:val="18"/>
                <w:szCs w:val="18"/>
              </w:rPr>
              <w:t>pathophysiology, diagnosis, and management. Vasc</w:t>
            </w:r>
            <w:r w:rsidR="00110DC2">
              <w:rPr>
                <w:rFonts w:eastAsia="MyriadPro-Regular" w:cs="Times New Roman"/>
                <w:color w:val="231F20"/>
                <w:sz w:val="18"/>
                <w:szCs w:val="18"/>
              </w:rPr>
              <w:t xml:space="preserve"> </w:t>
            </w:r>
            <w:r w:rsidRPr="00E33D6E">
              <w:rPr>
                <w:rFonts w:eastAsia="MyriadPro-Regular" w:cs="Times New Roman"/>
                <w:color w:val="231F20"/>
                <w:sz w:val="18"/>
                <w:szCs w:val="18"/>
              </w:rPr>
              <w:t>Health Risk Manag. 2011; 7:467-74.</w:t>
            </w:r>
          </w:p>
        </w:tc>
        <w:tc>
          <w:tcPr>
            <w:tcW w:w="873" w:type="dxa"/>
          </w:tcPr>
          <w:p w:rsidR="00110DC2" w:rsidRPr="00A3632A" w:rsidRDefault="00110DC2" w:rsidP="006D38DA">
            <w:pPr>
              <w:spacing w:before="0" w:after="0"/>
              <w:jc w:val="center"/>
              <w:rPr>
                <w:rFonts w:eastAsia="Times New Roman"/>
                <w:color w:val="000000"/>
                <w:sz w:val="18"/>
                <w:szCs w:val="18"/>
              </w:rPr>
            </w:pPr>
            <w:r>
              <w:rPr>
                <w:rFonts w:eastAsia="Times New Roman"/>
                <w:color w:val="000000"/>
                <w:sz w:val="18"/>
                <w:szCs w:val="18"/>
              </w:rPr>
              <w:t>Ali, 2021</w:t>
            </w:r>
          </w:p>
        </w:tc>
      </w:tr>
      <w:tr w:rsidR="009630BC" w:rsidRPr="00291E4E" w:rsidTr="00DB48CC">
        <w:trPr>
          <w:trHeight w:val="444"/>
        </w:trPr>
        <w:tc>
          <w:tcPr>
            <w:tcW w:w="5542" w:type="dxa"/>
            <w:shd w:val="clear" w:color="auto" w:fill="auto"/>
            <w:noWrap/>
            <w:vAlign w:val="bottom"/>
            <w:hideMark/>
          </w:tcPr>
          <w:p w:rsidR="009630BC" w:rsidRPr="00110DC2" w:rsidRDefault="009630BC" w:rsidP="00110DC2">
            <w:pPr>
              <w:autoSpaceDE w:val="0"/>
              <w:autoSpaceDN w:val="0"/>
              <w:adjustRightInd w:val="0"/>
              <w:spacing w:before="0" w:after="0"/>
              <w:jc w:val="center"/>
              <w:rPr>
                <w:rFonts w:eastAsia="MyriadPro-Regular" w:cs="Times New Roman"/>
                <w:color w:val="231F20"/>
                <w:sz w:val="18"/>
                <w:szCs w:val="18"/>
              </w:rPr>
            </w:pPr>
            <w:r>
              <w:rPr>
                <w:rFonts w:eastAsia="MyriadPro-Regular" w:cs="Times New Roman"/>
                <w:color w:val="231F20"/>
                <w:sz w:val="18"/>
                <w:szCs w:val="18"/>
              </w:rPr>
              <w:t>Not reported</w:t>
            </w:r>
          </w:p>
        </w:tc>
        <w:tc>
          <w:tcPr>
            <w:tcW w:w="3483" w:type="dxa"/>
            <w:shd w:val="clear" w:color="auto" w:fill="auto"/>
            <w:vAlign w:val="bottom"/>
            <w:hideMark/>
          </w:tcPr>
          <w:p w:rsidR="009630BC" w:rsidRPr="00110DC2" w:rsidRDefault="00E33D6E" w:rsidP="009630BC">
            <w:pPr>
              <w:autoSpaceDE w:val="0"/>
              <w:autoSpaceDN w:val="0"/>
              <w:adjustRightInd w:val="0"/>
              <w:spacing w:before="0" w:after="0"/>
              <w:jc w:val="center"/>
              <w:rPr>
                <w:rFonts w:eastAsia="MyriadPro-Regular" w:cs="Times New Roman"/>
                <w:color w:val="231F20"/>
                <w:sz w:val="18"/>
                <w:szCs w:val="18"/>
              </w:rPr>
            </w:pPr>
            <w:r w:rsidRPr="00E33D6E">
              <w:rPr>
                <w:rFonts w:cs="Times New Roman"/>
                <w:sz w:val="16"/>
                <w:szCs w:val="16"/>
              </w:rPr>
              <w:t>Gou WL, Yang HX. Hypertensive disorderS complicating pregnancy.</w:t>
            </w:r>
            <w:r w:rsidR="009630BC">
              <w:rPr>
                <w:rFonts w:cs="Times New Roman"/>
                <w:sz w:val="16"/>
                <w:szCs w:val="16"/>
              </w:rPr>
              <w:t xml:space="preserve"> </w:t>
            </w:r>
            <w:r w:rsidRPr="00E33D6E">
              <w:rPr>
                <w:rFonts w:cs="Times New Roman"/>
                <w:sz w:val="16"/>
                <w:szCs w:val="16"/>
              </w:rPr>
              <w:t>Obstet Gynecol. 2019;234(7):11149</w:t>
            </w:r>
            <w:r w:rsidRPr="00E33D6E">
              <w:rPr>
                <w:rFonts w:eastAsia="AdvOT4f49f862+20" w:cs="Times New Roman"/>
                <w:sz w:val="16"/>
                <w:szCs w:val="16"/>
              </w:rPr>
              <w:t>–</w:t>
            </w:r>
            <w:r w:rsidRPr="00E33D6E">
              <w:rPr>
                <w:rFonts w:cs="Times New Roman"/>
                <w:sz w:val="16"/>
                <w:szCs w:val="16"/>
              </w:rPr>
              <w:t>55.</w:t>
            </w:r>
          </w:p>
        </w:tc>
        <w:tc>
          <w:tcPr>
            <w:tcW w:w="873" w:type="dxa"/>
          </w:tcPr>
          <w:p w:rsidR="009630BC" w:rsidRDefault="009630BC" w:rsidP="006D38DA">
            <w:pPr>
              <w:spacing w:before="0" w:after="0"/>
              <w:jc w:val="center"/>
              <w:rPr>
                <w:rFonts w:eastAsia="Times New Roman"/>
                <w:color w:val="000000"/>
                <w:sz w:val="18"/>
                <w:szCs w:val="18"/>
              </w:rPr>
            </w:pPr>
            <w:r>
              <w:rPr>
                <w:rFonts w:eastAsia="Times New Roman"/>
                <w:color w:val="000000"/>
                <w:sz w:val="18"/>
                <w:szCs w:val="18"/>
              </w:rPr>
              <w:t>Cai 2021</w:t>
            </w:r>
          </w:p>
        </w:tc>
      </w:tr>
      <w:tr w:rsidR="00A42856" w:rsidRPr="00291E4E" w:rsidTr="00DB48CC">
        <w:trPr>
          <w:trHeight w:val="444"/>
        </w:trPr>
        <w:tc>
          <w:tcPr>
            <w:tcW w:w="5542" w:type="dxa"/>
            <w:shd w:val="clear" w:color="auto" w:fill="auto"/>
            <w:noWrap/>
            <w:vAlign w:val="bottom"/>
            <w:hideMark/>
          </w:tcPr>
          <w:p w:rsidR="00000000" w:rsidRDefault="00E33D6E">
            <w:pPr>
              <w:autoSpaceDE w:val="0"/>
              <w:autoSpaceDN w:val="0"/>
              <w:adjustRightInd w:val="0"/>
              <w:spacing w:before="0" w:after="0"/>
              <w:jc w:val="center"/>
              <w:rPr>
                <w:rFonts w:cs="Times New Roman"/>
                <w:sz w:val="18"/>
                <w:szCs w:val="18"/>
              </w:rPr>
            </w:pPr>
            <w:r w:rsidRPr="00E33D6E">
              <w:rPr>
                <w:rFonts w:cs="Times New Roman"/>
                <w:sz w:val="18"/>
                <w:szCs w:val="18"/>
              </w:rPr>
              <w:t>PE was defined as patients who had no history of preexisting or</w:t>
            </w:r>
          </w:p>
          <w:p w:rsidR="00A42856" w:rsidRPr="006A358A" w:rsidRDefault="00E33D6E" w:rsidP="006A358A">
            <w:pPr>
              <w:autoSpaceDE w:val="0"/>
              <w:autoSpaceDN w:val="0"/>
              <w:adjustRightInd w:val="0"/>
              <w:spacing w:before="0" w:after="0"/>
              <w:jc w:val="center"/>
              <w:rPr>
                <w:rFonts w:eastAsia="MyriadPro-Regular" w:cs="Times New Roman"/>
                <w:color w:val="231F20"/>
                <w:sz w:val="18"/>
                <w:szCs w:val="18"/>
              </w:rPr>
            </w:pPr>
            <w:r w:rsidRPr="00E33D6E">
              <w:rPr>
                <w:rFonts w:cs="Times New Roman"/>
                <w:sz w:val="18"/>
                <w:szCs w:val="18"/>
              </w:rPr>
              <w:t>chronic hypertension, but exhibited systolic pressure &gt;140 mmHg or diastolic pressure &gt; 90 mmHg at least 2</w:t>
            </w:r>
            <w:r w:rsidR="006A358A">
              <w:rPr>
                <w:rFonts w:cs="Times New Roman"/>
                <w:sz w:val="18"/>
                <w:szCs w:val="18"/>
              </w:rPr>
              <w:t xml:space="preserve"> </w:t>
            </w:r>
            <w:r w:rsidRPr="00E33D6E">
              <w:rPr>
                <w:rFonts w:cs="Times New Roman"/>
                <w:sz w:val="18"/>
                <w:szCs w:val="18"/>
              </w:rPr>
              <w:t>occasions, concurrent with proteinuria (&gt; 2 g per 24 h</w:t>
            </w:r>
            <w:r w:rsidR="006A358A">
              <w:rPr>
                <w:rFonts w:cs="Times New Roman"/>
                <w:sz w:val="18"/>
                <w:szCs w:val="18"/>
              </w:rPr>
              <w:t xml:space="preserve"> </w:t>
            </w:r>
            <w:r w:rsidRPr="00E33D6E">
              <w:rPr>
                <w:rFonts w:cs="Times New Roman"/>
                <w:sz w:val="18"/>
                <w:szCs w:val="18"/>
              </w:rPr>
              <w:t>in 2 samples obtained at &gt; 4 h intervals) after 20 weeks</w:t>
            </w:r>
            <w:r w:rsidR="006A358A">
              <w:rPr>
                <w:rFonts w:cs="Times New Roman"/>
                <w:sz w:val="18"/>
                <w:szCs w:val="18"/>
              </w:rPr>
              <w:t xml:space="preserve"> </w:t>
            </w:r>
            <w:r w:rsidRPr="00E33D6E">
              <w:rPr>
                <w:rFonts w:cs="Times New Roman"/>
                <w:sz w:val="18"/>
                <w:szCs w:val="18"/>
              </w:rPr>
              <w:t>of gestation</w:t>
            </w:r>
          </w:p>
        </w:tc>
        <w:tc>
          <w:tcPr>
            <w:tcW w:w="3483" w:type="dxa"/>
            <w:shd w:val="clear" w:color="auto" w:fill="auto"/>
            <w:vAlign w:val="bottom"/>
            <w:hideMark/>
          </w:tcPr>
          <w:p w:rsidR="00A42856" w:rsidRPr="006A358A" w:rsidRDefault="00E33D6E" w:rsidP="006A358A">
            <w:pPr>
              <w:autoSpaceDE w:val="0"/>
              <w:autoSpaceDN w:val="0"/>
              <w:adjustRightInd w:val="0"/>
              <w:spacing w:before="0" w:after="0"/>
              <w:jc w:val="center"/>
              <w:rPr>
                <w:rFonts w:cs="Times New Roman"/>
                <w:sz w:val="18"/>
                <w:szCs w:val="18"/>
              </w:rPr>
            </w:pPr>
            <w:r w:rsidRPr="00E33D6E">
              <w:rPr>
                <w:rFonts w:cs="Times New Roman"/>
                <w:sz w:val="18"/>
                <w:szCs w:val="18"/>
              </w:rPr>
              <w:t>Brkic J, Dunk C, O’Brien J, Fu G, Nadeem L, Wang YL, et al. MicroRNA-218-5p pr</w:t>
            </w:r>
            <w:r w:rsidR="006A358A">
              <w:rPr>
                <w:rFonts w:cs="Times New Roman"/>
                <w:sz w:val="18"/>
                <w:szCs w:val="18"/>
              </w:rPr>
              <w:t xml:space="preserve">omotes endovascular trophoblast </w:t>
            </w:r>
            <w:r w:rsidRPr="00E33D6E">
              <w:rPr>
                <w:rFonts w:cs="Times New Roman"/>
                <w:sz w:val="18"/>
                <w:szCs w:val="18"/>
              </w:rPr>
              <w:t>differentiation and spiral</w:t>
            </w:r>
            <w:r w:rsidR="006A358A">
              <w:rPr>
                <w:rFonts w:cs="Times New Roman"/>
                <w:sz w:val="18"/>
                <w:szCs w:val="18"/>
              </w:rPr>
              <w:t xml:space="preserve"> </w:t>
            </w:r>
            <w:r w:rsidRPr="00E33D6E">
              <w:rPr>
                <w:rFonts w:cs="Times New Roman"/>
                <w:sz w:val="18"/>
                <w:szCs w:val="18"/>
              </w:rPr>
              <w:t>artery remodeling. Mol Ther. 2018;26(9):2189–205.</w:t>
            </w:r>
          </w:p>
        </w:tc>
        <w:tc>
          <w:tcPr>
            <w:tcW w:w="873" w:type="dxa"/>
          </w:tcPr>
          <w:p w:rsidR="00A42856" w:rsidRDefault="00A42856" w:rsidP="006D38DA">
            <w:pPr>
              <w:spacing w:before="0" w:after="0"/>
              <w:jc w:val="center"/>
              <w:rPr>
                <w:rFonts w:eastAsia="Times New Roman"/>
                <w:color w:val="000000"/>
                <w:sz w:val="18"/>
                <w:szCs w:val="18"/>
              </w:rPr>
            </w:pPr>
            <w:r>
              <w:rPr>
                <w:rFonts w:eastAsia="Times New Roman"/>
                <w:color w:val="000000"/>
                <w:sz w:val="18"/>
                <w:szCs w:val="18"/>
              </w:rPr>
              <w:t>Peng, 2021</w:t>
            </w:r>
          </w:p>
        </w:tc>
      </w:tr>
      <w:tr w:rsidR="001E4360" w:rsidRPr="00291E4E" w:rsidTr="00DB48CC">
        <w:trPr>
          <w:trHeight w:val="444"/>
        </w:trPr>
        <w:tc>
          <w:tcPr>
            <w:tcW w:w="5542" w:type="dxa"/>
            <w:shd w:val="clear" w:color="auto" w:fill="auto"/>
            <w:noWrap/>
            <w:vAlign w:val="bottom"/>
            <w:hideMark/>
          </w:tcPr>
          <w:p w:rsidR="001E4360" w:rsidRPr="006A358A" w:rsidRDefault="001E4360" w:rsidP="006A358A">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3483" w:type="dxa"/>
            <w:shd w:val="clear" w:color="auto" w:fill="auto"/>
            <w:vAlign w:val="bottom"/>
            <w:hideMark/>
          </w:tcPr>
          <w:p w:rsidR="00000000" w:rsidRDefault="00E33D6E">
            <w:pPr>
              <w:autoSpaceDE w:val="0"/>
              <w:autoSpaceDN w:val="0"/>
              <w:adjustRightInd w:val="0"/>
              <w:spacing w:before="0" w:after="0"/>
              <w:jc w:val="center"/>
              <w:rPr>
                <w:rFonts w:eastAsia="Lato-Regular" w:cs="Times New Roman"/>
                <w:sz w:val="16"/>
                <w:szCs w:val="16"/>
              </w:rPr>
            </w:pPr>
            <w:r w:rsidRPr="00E33D6E">
              <w:rPr>
                <w:rFonts w:eastAsia="Lato-Regular" w:cs="Times New Roman"/>
                <w:sz w:val="16"/>
                <w:szCs w:val="16"/>
              </w:rPr>
              <w:t>Niu JM, Lei Q, Lu LJ, et al. Evaluation of the diagnostic criteria of</w:t>
            </w:r>
            <w:r w:rsidR="001E4360">
              <w:rPr>
                <w:rFonts w:eastAsia="Lato-Regular" w:cs="Times New Roman"/>
                <w:sz w:val="16"/>
                <w:szCs w:val="16"/>
              </w:rPr>
              <w:t xml:space="preserve"> </w:t>
            </w:r>
            <w:r w:rsidRPr="00E33D6E">
              <w:rPr>
                <w:rFonts w:eastAsia="Lato-Regular" w:cs="Times New Roman"/>
                <w:sz w:val="16"/>
                <w:szCs w:val="16"/>
              </w:rPr>
              <w:t>gestational metabolic syndrome and analysis of the risk factors.</w:t>
            </w:r>
          </w:p>
          <w:p w:rsidR="001E4360" w:rsidRPr="006A358A" w:rsidRDefault="00E33D6E" w:rsidP="001E4360">
            <w:pPr>
              <w:autoSpaceDE w:val="0"/>
              <w:autoSpaceDN w:val="0"/>
              <w:adjustRightInd w:val="0"/>
              <w:spacing w:before="0" w:after="0"/>
              <w:jc w:val="center"/>
              <w:rPr>
                <w:rFonts w:cs="Times New Roman"/>
                <w:sz w:val="18"/>
                <w:szCs w:val="18"/>
              </w:rPr>
            </w:pPr>
            <w:r w:rsidRPr="00E33D6E">
              <w:rPr>
                <w:rFonts w:eastAsia="Lato-Regular" w:cs="Times New Roman"/>
                <w:iCs/>
                <w:sz w:val="16"/>
                <w:szCs w:val="16"/>
              </w:rPr>
              <w:t>Zhonghua Fu Chan Ke Za Zhi</w:t>
            </w:r>
            <w:r w:rsidRPr="00E33D6E">
              <w:rPr>
                <w:rFonts w:eastAsia="Lato-Regular" w:cs="Times New Roman"/>
                <w:sz w:val="16"/>
                <w:szCs w:val="16"/>
              </w:rPr>
              <w:t>. 2013;48:92-97.</w:t>
            </w:r>
          </w:p>
        </w:tc>
        <w:tc>
          <w:tcPr>
            <w:tcW w:w="873" w:type="dxa"/>
          </w:tcPr>
          <w:p w:rsidR="001E4360" w:rsidRDefault="001E4360" w:rsidP="006D38DA">
            <w:pPr>
              <w:spacing w:before="0" w:after="0"/>
              <w:jc w:val="center"/>
              <w:rPr>
                <w:rFonts w:eastAsia="Times New Roman"/>
                <w:color w:val="000000"/>
                <w:sz w:val="18"/>
                <w:szCs w:val="18"/>
              </w:rPr>
            </w:pPr>
            <w:r>
              <w:rPr>
                <w:rFonts w:eastAsia="Times New Roman"/>
                <w:color w:val="000000"/>
                <w:sz w:val="18"/>
                <w:szCs w:val="18"/>
              </w:rPr>
              <w:t>Xu 2021</w:t>
            </w:r>
          </w:p>
        </w:tc>
      </w:tr>
      <w:tr w:rsidR="00585FCE" w:rsidRPr="00291E4E" w:rsidTr="00DB48CC">
        <w:trPr>
          <w:trHeight w:val="444"/>
        </w:trPr>
        <w:tc>
          <w:tcPr>
            <w:tcW w:w="5542" w:type="dxa"/>
            <w:shd w:val="clear" w:color="auto" w:fill="auto"/>
            <w:noWrap/>
            <w:vAlign w:val="bottom"/>
            <w:hideMark/>
          </w:tcPr>
          <w:p w:rsidR="00585FCE" w:rsidRDefault="00585FCE" w:rsidP="006A358A">
            <w:pPr>
              <w:autoSpaceDE w:val="0"/>
              <w:autoSpaceDN w:val="0"/>
              <w:adjustRightInd w:val="0"/>
              <w:spacing w:before="0" w:after="0"/>
              <w:jc w:val="center"/>
              <w:rPr>
                <w:rFonts w:cs="Times New Roman"/>
                <w:sz w:val="18"/>
                <w:szCs w:val="18"/>
              </w:rPr>
            </w:pPr>
            <w:r>
              <w:rPr>
                <w:sz w:val="16"/>
                <w:szCs w:val="16"/>
              </w:rPr>
              <w:t>PE showed blood pressure over 140/90 mmHg after 20 gestation weeks and proteinuria higher than 0.3 g/24 h or at least ‘++</w:t>
            </w:r>
            <w:r>
              <w:rPr>
                <w:rFonts w:ascii="STIX" w:hAnsi="STIX" w:cs="STIX"/>
                <w:sz w:val="16"/>
                <w:szCs w:val="16"/>
              </w:rPr>
              <w:t xml:space="preserve">’ </w:t>
            </w:r>
            <w:r>
              <w:rPr>
                <w:sz w:val="16"/>
                <w:szCs w:val="16"/>
              </w:rPr>
              <w:t>by semi quantitative dipstick testing in the absence of urinary tract infection</w:t>
            </w:r>
          </w:p>
        </w:tc>
        <w:tc>
          <w:tcPr>
            <w:tcW w:w="3483" w:type="dxa"/>
            <w:shd w:val="clear" w:color="auto" w:fill="auto"/>
            <w:vAlign w:val="bottom"/>
            <w:hideMark/>
          </w:tcPr>
          <w:p w:rsidR="00585FCE" w:rsidRPr="00585FCE" w:rsidRDefault="00E33D6E" w:rsidP="001E4360">
            <w:pPr>
              <w:autoSpaceDE w:val="0"/>
              <w:autoSpaceDN w:val="0"/>
              <w:adjustRightInd w:val="0"/>
              <w:spacing w:before="0" w:after="0"/>
              <w:jc w:val="center"/>
              <w:rPr>
                <w:rFonts w:eastAsia="Lato-Regular" w:cs="Times New Roman"/>
                <w:sz w:val="16"/>
                <w:szCs w:val="16"/>
              </w:rPr>
            </w:pPr>
            <w:r w:rsidRPr="00E33D6E">
              <w:rPr>
                <w:rFonts w:cs="Times New Roman"/>
                <w:sz w:val="16"/>
                <w:szCs w:val="16"/>
              </w:rPr>
              <w:t>Heydarlou, H., et al., 2019. Investigation of follicular helper t cells, as a novel player, in preeclampsia. J. Cell. Biochem. 120, 3845–3852.</w:t>
            </w:r>
          </w:p>
        </w:tc>
        <w:tc>
          <w:tcPr>
            <w:tcW w:w="873" w:type="dxa"/>
          </w:tcPr>
          <w:p w:rsidR="00585FCE" w:rsidRDefault="00585FCE" w:rsidP="006D38DA">
            <w:pPr>
              <w:spacing w:before="0" w:after="0"/>
              <w:jc w:val="center"/>
              <w:rPr>
                <w:rFonts w:eastAsia="Times New Roman"/>
                <w:color w:val="000000"/>
                <w:sz w:val="18"/>
                <w:szCs w:val="18"/>
              </w:rPr>
            </w:pPr>
            <w:r>
              <w:rPr>
                <w:rFonts w:eastAsia="Times New Roman"/>
                <w:color w:val="000000"/>
                <w:sz w:val="18"/>
                <w:szCs w:val="18"/>
              </w:rPr>
              <w:t>Zolfaghari, 2021</w:t>
            </w:r>
          </w:p>
        </w:tc>
      </w:tr>
    </w:tbl>
    <w:p w:rsidR="006D38DA" w:rsidRDefault="006D38DA" w:rsidP="006D38DA">
      <w:pPr>
        <w:rPr>
          <w:szCs w:val="24"/>
        </w:rPr>
      </w:pPr>
    </w:p>
    <w:p w:rsidR="006D38DA" w:rsidRDefault="006D38DA">
      <w:pPr>
        <w:spacing w:before="0" w:after="200" w:line="276" w:lineRule="auto"/>
        <w:rPr>
          <w:szCs w:val="24"/>
        </w:rPr>
      </w:pPr>
      <w:r>
        <w:rPr>
          <w:szCs w:val="24"/>
        </w:rPr>
        <w:br w:type="page"/>
      </w:r>
    </w:p>
    <w:p w:rsidR="00CC083E" w:rsidRDefault="00CC083E" w:rsidP="006D38DA">
      <w:pPr>
        <w:rPr>
          <w:szCs w:val="24"/>
        </w:rPr>
        <w:sectPr w:rsidR="00CC083E"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rsidR="006D38DA" w:rsidRDefault="006D38DA" w:rsidP="006D38DA">
      <w:pPr>
        <w:rPr>
          <w:szCs w:val="24"/>
        </w:rPr>
      </w:pPr>
      <w:r>
        <w:rPr>
          <w:szCs w:val="24"/>
        </w:rPr>
        <w:lastRenderedPageBreak/>
        <w:t xml:space="preserve">Table </w:t>
      </w:r>
      <w:r w:rsidR="003F696B">
        <w:rPr>
          <w:szCs w:val="24"/>
        </w:rPr>
        <w:t>S</w:t>
      </w:r>
      <w:r w:rsidR="00296202">
        <w:rPr>
          <w:szCs w:val="24"/>
        </w:rPr>
        <w:t>3</w:t>
      </w:r>
      <w:r>
        <w:rPr>
          <w:szCs w:val="24"/>
        </w:rPr>
        <w:t>. Diagnostic criteria for less and more severe preeclampsia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1"/>
        <w:gridCol w:w="1091"/>
        <w:gridCol w:w="4098"/>
        <w:gridCol w:w="1134"/>
        <w:gridCol w:w="4137"/>
      </w:tblGrid>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b/>
                <w:sz w:val="18"/>
                <w:szCs w:val="18"/>
              </w:rPr>
            </w:pPr>
            <w:r>
              <w:rPr>
                <w:b/>
                <w:sz w:val="18"/>
                <w:szCs w:val="18"/>
              </w:rPr>
              <w:t>Author</w:t>
            </w:r>
          </w:p>
        </w:tc>
        <w:tc>
          <w:tcPr>
            <w:tcW w:w="1091" w:type="dxa"/>
            <w:shd w:val="clear" w:color="auto" w:fill="auto"/>
            <w:vAlign w:val="center"/>
            <w:hideMark/>
          </w:tcPr>
          <w:p w:rsidR="006D38DA" w:rsidRPr="0077524C" w:rsidRDefault="006D38DA" w:rsidP="00E330BB">
            <w:pPr>
              <w:spacing w:before="0" w:after="0"/>
              <w:jc w:val="center"/>
              <w:rPr>
                <w:b/>
                <w:sz w:val="18"/>
                <w:szCs w:val="18"/>
              </w:rPr>
            </w:pPr>
            <w:r>
              <w:rPr>
                <w:b/>
                <w:sz w:val="18"/>
                <w:szCs w:val="18"/>
              </w:rPr>
              <w:t>Less severe PE</w:t>
            </w:r>
          </w:p>
        </w:tc>
        <w:tc>
          <w:tcPr>
            <w:tcW w:w="4098" w:type="dxa"/>
            <w:shd w:val="clear" w:color="auto" w:fill="auto"/>
            <w:vAlign w:val="center"/>
            <w:hideMark/>
          </w:tcPr>
          <w:p w:rsidR="006D38DA" w:rsidRPr="0077524C" w:rsidRDefault="006D38DA" w:rsidP="00E330BB">
            <w:pPr>
              <w:spacing w:before="0" w:after="0"/>
              <w:jc w:val="center"/>
              <w:rPr>
                <w:b/>
                <w:sz w:val="18"/>
                <w:szCs w:val="18"/>
              </w:rPr>
            </w:pPr>
            <w:r>
              <w:rPr>
                <w:b/>
                <w:sz w:val="18"/>
                <w:szCs w:val="18"/>
              </w:rPr>
              <w:t>Criteria</w:t>
            </w:r>
          </w:p>
        </w:tc>
        <w:tc>
          <w:tcPr>
            <w:tcW w:w="1134" w:type="dxa"/>
            <w:vAlign w:val="center"/>
          </w:tcPr>
          <w:p w:rsidR="006D38DA" w:rsidRPr="0077524C" w:rsidRDefault="006D38DA" w:rsidP="00E330BB">
            <w:pPr>
              <w:spacing w:before="0" w:after="0"/>
              <w:jc w:val="center"/>
              <w:rPr>
                <w:b/>
                <w:sz w:val="18"/>
                <w:szCs w:val="18"/>
              </w:rPr>
            </w:pPr>
            <w:r>
              <w:rPr>
                <w:b/>
                <w:sz w:val="18"/>
                <w:szCs w:val="18"/>
              </w:rPr>
              <w:t>More severe PE</w:t>
            </w:r>
          </w:p>
        </w:tc>
        <w:tc>
          <w:tcPr>
            <w:tcW w:w="4137" w:type="dxa"/>
            <w:vAlign w:val="center"/>
          </w:tcPr>
          <w:p w:rsidR="006D38DA" w:rsidRPr="0077524C" w:rsidRDefault="006D38DA" w:rsidP="00E330BB">
            <w:pPr>
              <w:spacing w:before="0" w:after="0"/>
              <w:jc w:val="center"/>
              <w:rPr>
                <w:b/>
                <w:sz w:val="18"/>
                <w:szCs w:val="18"/>
              </w:rPr>
            </w:pPr>
            <w:r>
              <w:rPr>
                <w:b/>
                <w:sz w:val="18"/>
                <w:szCs w:val="18"/>
              </w:rPr>
              <w:t>Criteria</w:t>
            </w:r>
          </w:p>
        </w:tc>
      </w:tr>
      <w:tr w:rsidR="006D38DA" w:rsidRPr="0077524C" w:rsidTr="001D7AE5">
        <w:trPr>
          <w:trHeight w:val="1204"/>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Y. L. Hu 2009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Severe PE was defined by the presence of ≥1 of the following: 1) severe gestational hypertension (systolic</w:t>
            </w:r>
            <w:r>
              <w:rPr>
                <w:rFonts w:eastAsia="Times New Roman"/>
                <w:color w:val="000000"/>
                <w:sz w:val="18"/>
                <w:szCs w:val="18"/>
              </w:rPr>
              <w:t xml:space="preserve"> </w:t>
            </w:r>
            <w:r w:rsidRPr="0077524C">
              <w:rPr>
                <w:rFonts w:eastAsia="Times New Roman"/>
                <w:color w:val="000000"/>
                <w:sz w:val="18"/>
                <w:szCs w:val="18"/>
              </w:rPr>
              <w:t>pressure &gt;160 mm Hg or diastolic blood pressure &gt;110mmHg on ≥2 occasions after gestational week 20); or 2) severe proteinuria (≥5 g protein in a 24-h urine specimen)</w:t>
            </w:r>
          </w:p>
        </w:tc>
      </w:tr>
      <w:tr w:rsidR="006D38DA" w:rsidRPr="0077524C" w:rsidTr="001D7AE5">
        <w:trPr>
          <w:trHeight w:val="1405"/>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X. M. Zhu 2009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Mild PE was defined as </w:t>
            </w:r>
            <w:r w:rsidRPr="0077524C">
              <w:rPr>
                <w:rFonts w:eastAsia="Times New Roman"/>
                <w:color w:val="000000"/>
                <w:sz w:val="18"/>
                <w:szCs w:val="18"/>
              </w:rPr>
              <w:t>maternal systolic blood pressure of  ≥140 mm Hg and/or diastolic blood pressure of ≥90mmHg on 2 occasions separated by 6 hours and significant proteinuria ( ≥300 mg of protein in a 24-hour urine specimen or ≥1+ by dipstick) after 20 weeks of gestation</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Severe PE was defined as </w:t>
            </w:r>
            <w:r w:rsidRPr="0077524C">
              <w:rPr>
                <w:rFonts w:eastAsia="Times New Roman"/>
                <w:color w:val="000000"/>
                <w:sz w:val="18"/>
                <w:szCs w:val="18"/>
              </w:rPr>
              <w:t>either severe hypertension(systolic blood pressure of ≥160mmHgand/or diastolic blood pressure of ≥110mm Hg on at least 2 occasions 6 hours</w:t>
            </w:r>
            <w:r>
              <w:rPr>
                <w:rFonts w:eastAsia="Times New Roman"/>
                <w:color w:val="000000"/>
                <w:sz w:val="18"/>
                <w:szCs w:val="18"/>
              </w:rPr>
              <w:t xml:space="preserve"> </w:t>
            </w:r>
            <w:r w:rsidRPr="0077524C">
              <w:rPr>
                <w:rFonts w:eastAsia="Times New Roman"/>
                <w:color w:val="000000"/>
                <w:sz w:val="18"/>
                <w:szCs w:val="18"/>
              </w:rPr>
              <w:t>apart) plus mild proteinuria or mild hypertension plus severe proteinuria ( &gt;2 g/24 hr or 2 by dipstick).</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 Guo 2011</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Q. Yang 2011</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 Liu 2012</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175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 Wu 2012</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Severe PE was defined as either severe hypertension (either a systolic blood pressure of 160 mmHg or higher or a diastolic blood pressure of 110 mmHg or higher on two occasions at least 6 h apart</w:t>
            </w:r>
            <w:r>
              <w:rPr>
                <w:rFonts w:eastAsia="Times New Roman"/>
                <w:color w:val="000000"/>
                <w:sz w:val="18"/>
                <w:szCs w:val="18"/>
              </w:rPr>
              <w:t xml:space="preserve"> </w:t>
            </w:r>
            <w:r w:rsidRPr="0077524C">
              <w:rPr>
                <w:rFonts w:eastAsia="Times New Roman"/>
                <w:color w:val="000000"/>
                <w:sz w:val="18"/>
                <w:szCs w:val="18"/>
              </w:rPr>
              <w:t>while the patient was on bed rest) or severe proteinuria (either urinary excretion of 5 g protein or higher in a 24 h urine specimen or 3C protein or greater in two random urine samples collected at least 4 h apart), or both, were present after 20 weeks of gestation</w:t>
            </w:r>
          </w:p>
        </w:tc>
      </w:tr>
      <w:tr w:rsidR="006D38DA" w:rsidRPr="0077524C" w:rsidTr="001D7AE5">
        <w:trPr>
          <w:trHeight w:val="981"/>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Y. Zhang 2012</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 was defined as maternal systolic blood pressure  140 mm Hg and/or diastolic blood pressure  90 mm Hg on two occasions, separated by 6 hrs, and proteinuria 300 mg in a 24-hr period after 20-week gestation</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 was considered as either sever hypertension (maternal blood pressure</w:t>
            </w:r>
            <w:r>
              <w:rPr>
                <w:rFonts w:eastAsia="Times New Roman"/>
                <w:color w:val="000000"/>
                <w:sz w:val="18"/>
                <w:szCs w:val="18"/>
              </w:rPr>
              <w:t>&gt;</w:t>
            </w:r>
            <w:r w:rsidRPr="0077524C">
              <w:rPr>
                <w:rFonts w:eastAsia="Times New Roman"/>
                <w:color w:val="000000"/>
                <w:sz w:val="18"/>
                <w:szCs w:val="18"/>
              </w:rPr>
              <w:t>160/110 mm Hg on two separate readings at least 6 hrs apart) or</w:t>
            </w:r>
            <w:r>
              <w:rPr>
                <w:rFonts w:eastAsia="Times New Roman"/>
                <w:color w:val="000000"/>
                <w:sz w:val="18"/>
                <w:szCs w:val="18"/>
              </w:rPr>
              <w:t xml:space="preserve"> </w:t>
            </w:r>
            <w:r w:rsidRPr="0077524C">
              <w:rPr>
                <w:rFonts w:eastAsia="Times New Roman"/>
                <w:color w:val="000000"/>
                <w:sz w:val="18"/>
                <w:szCs w:val="18"/>
              </w:rPr>
              <w:t>sever</w:t>
            </w:r>
            <w:r>
              <w:rPr>
                <w:rFonts w:eastAsia="Times New Roman"/>
                <w:color w:val="000000"/>
                <w:sz w:val="18"/>
                <w:szCs w:val="18"/>
              </w:rPr>
              <w:t>e</w:t>
            </w:r>
            <w:r w:rsidRPr="0077524C">
              <w:rPr>
                <w:rFonts w:eastAsia="Times New Roman"/>
                <w:color w:val="000000"/>
                <w:sz w:val="18"/>
                <w:szCs w:val="18"/>
              </w:rPr>
              <w:t xml:space="preserve"> proteinuria (</w:t>
            </w:r>
            <w:r>
              <w:rPr>
                <w:rFonts w:eastAsia="Times New Roman"/>
                <w:color w:val="000000"/>
                <w:sz w:val="18"/>
                <w:szCs w:val="18"/>
              </w:rPr>
              <w:t>&gt;</w:t>
            </w:r>
            <w:r w:rsidRPr="0077524C">
              <w:rPr>
                <w:rFonts w:eastAsia="Times New Roman"/>
                <w:color w:val="000000"/>
                <w:sz w:val="18"/>
                <w:szCs w:val="18"/>
              </w:rPr>
              <w:t>2 g protein in a 24-h period).</w:t>
            </w:r>
          </w:p>
        </w:tc>
      </w:tr>
      <w:tr w:rsidR="006D38DA" w:rsidRPr="0077524C" w:rsidTr="001D7AE5">
        <w:trPr>
          <w:trHeight w:val="702"/>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I. Hromadnikova 2013</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Severe preeclampsia</w:t>
            </w:r>
            <w:r>
              <w:rPr>
                <w:rFonts w:eastAsia="Times New Roman"/>
                <w:color w:val="000000"/>
                <w:sz w:val="18"/>
                <w:szCs w:val="18"/>
              </w:rPr>
              <w:t xml:space="preserve"> </w:t>
            </w:r>
            <w:r w:rsidRPr="0077524C">
              <w:rPr>
                <w:rFonts w:eastAsia="Times New Roman"/>
                <w:color w:val="000000"/>
                <w:sz w:val="18"/>
                <w:szCs w:val="18"/>
              </w:rPr>
              <w:t>was diagnosed by the presence of one or</w:t>
            </w:r>
            <w:r>
              <w:rPr>
                <w:rFonts w:eastAsia="Times New Roman"/>
                <w:color w:val="000000"/>
                <w:sz w:val="18"/>
                <w:szCs w:val="18"/>
              </w:rPr>
              <w:t xml:space="preserve"> </w:t>
            </w:r>
            <w:r w:rsidRPr="0077524C">
              <w:rPr>
                <w:rFonts w:eastAsia="Times New Roman"/>
                <w:color w:val="000000"/>
                <w:sz w:val="18"/>
                <w:szCs w:val="18"/>
              </w:rPr>
              <w:t>more of the findings according to the guidelines of ACOG Committee</w:t>
            </w:r>
          </w:p>
        </w:tc>
      </w:tr>
      <w:tr w:rsidR="006D38DA" w:rsidRPr="0077524C" w:rsidTr="001D7AE5">
        <w:trPr>
          <w:trHeight w:val="155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lastRenderedPageBreak/>
              <w:t>H. L. Li 2013</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 xml:space="preserve">mPE was defined as maternal systolic blood pressure of </w:t>
            </w:r>
            <w:r w:rsidRPr="0077524C">
              <w:rPr>
                <w:rFonts w:ascii="Cambria Math" w:eastAsia="Times New Roman" w:hAnsi="Cambria Math"/>
                <w:color w:val="000000"/>
                <w:sz w:val="18"/>
                <w:szCs w:val="18"/>
              </w:rPr>
              <w:t>⩾</w:t>
            </w:r>
            <w:r w:rsidRPr="0077524C">
              <w:rPr>
                <w:rFonts w:eastAsia="Times New Roman"/>
                <w:color w:val="000000"/>
                <w:sz w:val="18"/>
                <w:szCs w:val="18"/>
              </w:rPr>
              <w:t xml:space="preserve">140mmHg and/or diastolic blood pressure of </w:t>
            </w:r>
            <w:r w:rsidRPr="0077524C">
              <w:rPr>
                <w:rFonts w:ascii="Cambria Math" w:eastAsia="Times New Roman" w:hAnsi="Cambria Math"/>
                <w:color w:val="000000"/>
                <w:sz w:val="18"/>
                <w:szCs w:val="18"/>
              </w:rPr>
              <w:t>⩾</w:t>
            </w:r>
            <w:r w:rsidRPr="0077524C">
              <w:rPr>
                <w:rFonts w:eastAsia="Times New Roman"/>
                <w:color w:val="000000"/>
                <w:sz w:val="18"/>
                <w:szCs w:val="18"/>
              </w:rPr>
              <w:t>90mmHg on 2 occasions separated by 6 hours and significant proteinuria (</w:t>
            </w:r>
            <w:r w:rsidRPr="0077524C">
              <w:rPr>
                <w:rFonts w:ascii="Cambria Math" w:eastAsia="Times New Roman" w:hAnsi="Cambria Math"/>
                <w:color w:val="000000"/>
                <w:sz w:val="18"/>
                <w:szCs w:val="18"/>
              </w:rPr>
              <w:t>⩾</w:t>
            </w:r>
            <w:r w:rsidRPr="0077524C">
              <w:rPr>
                <w:rFonts w:eastAsia="Times New Roman"/>
                <w:color w:val="000000"/>
                <w:sz w:val="18"/>
                <w:szCs w:val="18"/>
              </w:rPr>
              <w:t xml:space="preserve">300mg of protein in a 24-hour urine specimen or </w:t>
            </w:r>
            <w:r w:rsidRPr="0077524C">
              <w:rPr>
                <w:rFonts w:ascii="Cambria Math" w:eastAsia="Times New Roman" w:hAnsi="Cambria Math"/>
                <w:color w:val="000000"/>
                <w:sz w:val="18"/>
                <w:szCs w:val="18"/>
              </w:rPr>
              <w:t>⩾</w:t>
            </w:r>
            <w:r w:rsidRPr="0077524C">
              <w:rPr>
                <w:rFonts w:eastAsia="Times New Roman"/>
                <w:color w:val="000000"/>
                <w:sz w:val="18"/>
                <w:szCs w:val="18"/>
              </w:rPr>
              <w:t>1+ by dipstick) after 20 weeks of gestation</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 was defined as either severe</w:t>
            </w:r>
            <w:r w:rsidRPr="0077524C">
              <w:rPr>
                <w:rFonts w:eastAsia="Times New Roman"/>
                <w:color w:val="000000"/>
                <w:sz w:val="18"/>
                <w:szCs w:val="18"/>
              </w:rPr>
              <w:br/>
              <w:t xml:space="preserve">hypertension (systolic blood pressure of </w:t>
            </w:r>
            <w:r w:rsidRPr="0077524C">
              <w:rPr>
                <w:rFonts w:ascii="Cambria Math" w:eastAsia="Times New Roman" w:hAnsi="Cambria Math"/>
                <w:color w:val="000000"/>
                <w:sz w:val="18"/>
                <w:szCs w:val="18"/>
              </w:rPr>
              <w:t>⩾</w:t>
            </w:r>
            <w:r w:rsidRPr="0077524C">
              <w:rPr>
                <w:rFonts w:eastAsia="Times New Roman"/>
                <w:color w:val="000000"/>
                <w:sz w:val="18"/>
                <w:szCs w:val="18"/>
              </w:rPr>
              <w:t xml:space="preserve">160mmHg and/or diastolic blood pressure of </w:t>
            </w:r>
            <w:r w:rsidRPr="0077524C">
              <w:rPr>
                <w:rFonts w:ascii="Cambria Math" w:eastAsia="Times New Roman" w:hAnsi="Cambria Math"/>
                <w:color w:val="000000"/>
                <w:sz w:val="18"/>
                <w:szCs w:val="18"/>
              </w:rPr>
              <w:t>⩾</w:t>
            </w:r>
            <w:r w:rsidRPr="0077524C">
              <w:rPr>
                <w:rFonts w:eastAsia="Times New Roman"/>
                <w:color w:val="000000"/>
                <w:sz w:val="18"/>
                <w:szCs w:val="18"/>
              </w:rPr>
              <w:t>110mmHg on at least 2 occasions 6 hours apart) plus mild proteinuria or mild hypertension</w:t>
            </w:r>
            <w:r>
              <w:rPr>
                <w:rFonts w:eastAsia="Times New Roman"/>
                <w:color w:val="000000"/>
                <w:sz w:val="18"/>
                <w:szCs w:val="18"/>
              </w:rPr>
              <w:t xml:space="preserve"> </w:t>
            </w:r>
            <w:r w:rsidRPr="0077524C">
              <w:rPr>
                <w:rFonts w:eastAsia="Times New Roman"/>
                <w:color w:val="000000"/>
                <w:sz w:val="18"/>
                <w:szCs w:val="18"/>
              </w:rPr>
              <w:t>plus severe proteinuria (</w:t>
            </w:r>
            <w:r w:rsidRPr="0077524C">
              <w:rPr>
                <w:rFonts w:ascii="Cambria Math" w:eastAsia="Times New Roman" w:hAnsi="Cambria Math"/>
                <w:color w:val="000000"/>
                <w:sz w:val="18"/>
                <w:szCs w:val="18"/>
              </w:rPr>
              <w:t>⩾</w:t>
            </w:r>
            <w:r w:rsidRPr="0077524C">
              <w:rPr>
                <w:rFonts w:eastAsia="Times New Roman"/>
                <w:color w:val="000000"/>
                <w:sz w:val="18"/>
                <w:szCs w:val="18"/>
              </w:rPr>
              <w:t xml:space="preserve">2 g/24hr or </w:t>
            </w:r>
            <w:r w:rsidRPr="0077524C">
              <w:rPr>
                <w:rFonts w:ascii="Cambria Math" w:eastAsia="Times New Roman" w:hAnsi="Cambria Math"/>
                <w:color w:val="000000"/>
                <w:sz w:val="18"/>
                <w:szCs w:val="18"/>
              </w:rPr>
              <w:t>⩾</w:t>
            </w:r>
            <w:r w:rsidRPr="0077524C">
              <w:rPr>
                <w:rFonts w:eastAsia="Times New Roman"/>
                <w:color w:val="000000"/>
                <w:sz w:val="18"/>
                <w:szCs w:val="18"/>
              </w:rPr>
              <w:t>2+ by dipstick)</w:t>
            </w:r>
          </w:p>
        </w:tc>
      </w:tr>
      <w:tr w:rsidR="006D38DA" w:rsidRPr="0077524C" w:rsidTr="001D7AE5">
        <w:trPr>
          <w:trHeight w:val="24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 F. Li 2013</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Severe PE was defined by the presence of more than one of the following: (i) severe gestational hypertension (systolic</w:t>
            </w:r>
            <w:r>
              <w:rPr>
                <w:rFonts w:eastAsia="Times New Roman"/>
                <w:color w:val="000000"/>
                <w:sz w:val="18"/>
                <w:szCs w:val="18"/>
              </w:rPr>
              <w:t xml:space="preserve"> </w:t>
            </w:r>
            <w:r w:rsidRPr="0077524C">
              <w:rPr>
                <w:rFonts w:eastAsia="Times New Roman"/>
                <w:color w:val="000000"/>
                <w:sz w:val="18"/>
                <w:szCs w:val="18"/>
              </w:rPr>
              <w:t>pressure&gt;160mmHg or diastolic blood pressure&gt;110mmHg on two or more occasions after gestational week 20), (ii) severe proteinuria (5 g of protein in a 24 h urine specimen), (iii) oliguria &lt;500 ml in 24 h, (iv) cerebral or visual disturbances, (v) pulmonary edema or cyanosis, (vi) epigastric or right upper-quadrant pain, (vii) impaired liver function, (viii) thrombocytopenia or (ix) fetal growth restriction</w:t>
            </w:r>
          </w:p>
        </w:tc>
      </w:tr>
      <w:tr w:rsidR="006D38DA" w:rsidRPr="0077524C" w:rsidTr="001D7AE5">
        <w:trPr>
          <w:trHeight w:val="42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Y. S. Chen 2014</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mPE was defined as </w:t>
            </w:r>
            <w:r w:rsidRPr="0077524C">
              <w:rPr>
                <w:rFonts w:eastAsia="Times New Roman"/>
                <w:color w:val="000000"/>
                <w:sz w:val="18"/>
                <w:szCs w:val="18"/>
              </w:rPr>
              <w:t>systolic pressure ≥140 mmHg or diastolic pressure ≥90 mmHg; 24 h proteinuria ≥300mg</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sPE was defines as </w:t>
            </w:r>
            <w:r w:rsidRPr="0077524C">
              <w:rPr>
                <w:rFonts w:eastAsia="Times New Roman"/>
                <w:color w:val="000000"/>
                <w:sz w:val="18"/>
                <w:szCs w:val="18"/>
              </w:rPr>
              <w:t>systolic pressure ≥160 mmHg or</w:t>
            </w:r>
            <w:r>
              <w:rPr>
                <w:rFonts w:eastAsia="Times New Roman"/>
                <w:color w:val="000000"/>
                <w:sz w:val="18"/>
                <w:szCs w:val="18"/>
              </w:rPr>
              <w:t xml:space="preserve"> </w:t>
            </w:r>
            <w:r w:rsidRPr="0077524C">
              <w:rPr>
                <w:rFonts w:eastAsia="Times New Roman"/>
                <w:color w:val="000000"/>
                <w:sz w:val="18"/>
                <w:szCs w:val="18"/>
              </w:rPr>
              <w:t>diastolic pressure ≥100 mmHg; 24 h proteinuria ≥2g</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 Luque 2014</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8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 S. Weedon-Fekjaer 2014</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after 34 weeks</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before 34 gw</w:t>
            </w:r>
            <w:r w:rsidRPr="0077524C">
              <w:rPr>
                <w:rFonts w:eastAsia="Times New Roman"/>
                <w:color w:val="000000"/>
                <w:sz w:val="18"/>
                <w:szCs w:val="18"/>
              </w:rPr>
              <w:br/>
              <w:t>Severe preeclampsia was defined</w:t>
            </w:r>
            <w:r>
              <w:rPr>
                <w:rFonts w:eastAsia="Times New Roman"/>
                <w:color w:val="000000"/>
                <w:sz w:val="18"/>
                <w:szCs w:val="18"/>
              </w:rPr>
              <w:t xml:space="preserve"> </w:t>
            </w:r>
            <w:r w:rsidRPr="0077524C">
              <w:rPr>
                <w:rFonts w:eastAsia="Times New Roman"/>
                <w:color w:val="000000"/>
                <w:sz w:val="18"/>
                <w:szCs w:val="18"/>
              </w:rPr>
              <w:t>by the American College of Obstetricians and Gynecologist's criteria</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 E. Winger 2014</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 34 gw</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&lt; 34 gw</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G. Zhao 2014</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274"/>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I. Hromadnikova 2015</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PE after 34 weeks of gestation</w:t>
            </w:r>
            <w:r w:rsidRPr="0077524C">
              <w:rPr>
                <w:rFonts w:eastAsia="Times New Roman"/>
                <w:color w:val="000000"/>
                <w:sz w:val="18"/>
                <w:szCs w:val="18"/>
              </w:rPr>
              <w:b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PE before 34 weeks of gestation</w:t>
            </w:r>
            <w:r>
              <w:rPr>
                <w:rFonts w:eastAsia="Times New Roman"/>
                <w:color w:val="000000"/>
                <w:sz w:val="18"/>
                <w:szCs w:val="18"/>
              </w:rPr>
              <w:t xml:space="preserve"> </w:t>
            </w:r>
            <w:r w:rsidRPr="0077524C">
              <w:rPr>
                <w:rFonts w:eastAsia="Times New Roman"/>
                <w:color w:val="000000"/>
                <w:sz w:val="18"/>
                <w:szCs w:val="18"/>
              </w:rPr>
              <w:t>sPE was defined as presence of one or more of the following findings: 1) a systolic blood pressure &gt; 160 mmHg or a diastolic blood pressure &gt; 110 mmHg, 2) proteinuria greater than 5g of protein in a 24-hour sample, 3) very low urine output (less than 500 ml in 24 h), 4) signs of respiratory problems (pulmonary oedema or cyanosis), 5) impairment of liver function, 6) signs of central nervous system problems (severe headache, visual disturbances),7) pain in the epigastric area or right upper quadrant, 8) thrombocytopenia, and 9) the presence of severe fetal growth restriction</w:t>
            </w:r>
          </w:p>
        </w:tc>
      </w:tr>
      <w:tr w:rsidR="006D38DA" w:rsidRPr="0077524C" w:rsidTr="001D7AE5">
        <w:trPr>
          <w:trHeight w:val="2542"/>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lastRenderedPageBreak/>
              <w:t>I. Hromadnikova 2015</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PE after 34 weeks of gestation</w:t>
            </w:r>
            <w:r w:rsidRPr="0077524C">
              <w:rPr>
                <w:rFonts w:eastAsia="Times New Roman"/>
                <w:color w:val="000000"/>
                <w:sz w:val="18"/>
                <w:szCs w:val="18"/>
              </w:rPr>
              <w:b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PE before 34 weeks of gestation</w:t>
            </w:r>
            <w:r w:rsidRPr="0077524C">
              <w:rPr>
                <w:rFonts w:eastAsia="Times New Roman"/>
                <w:color w:val="000000"/>
                <w:sz w:val="18"/>
                <w:szCs w:val="18"/>
              </w:rPr>
              <w:br/>
              <w:t>sPE was defined as presence of one or more of the following findings: 1) a systolic blood pressure &gt;160 mmHg or a diastolic blood pressure &gt; 110 mmHg, 2) proteinuria greater than 5g of protein in a 24-hour sample, 3) very low urine output (less than 500 ml in 24 h), 4) signs of respiratory problems (pulmonary edema or cyanosis), 5) impairment of liver function, 6) signs of central nervous system problems (severe headache, visual disturbances),7) pain in the epigastric area or right upper quadrant, 8) thrombocytopenia, and 9) the presence of severe fetal growth restriction</w:t>
            </w:r>
          </w:p>
        </w:tc>
      </w:tr>
      <w:tr w:rsidR="006D38DA" w:rsidRPr="0077524C" w:rsidTr="001D7AE5">
        <w:trPr>
          <w:trHeight w:val="1684"/>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K. Miura 2015</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Women in whom the onset of</w:t>
            </w:r>
            <w:r>
              <w:rPr>
                <w:rFonts w:eastAsia="Times New Roman"/>
                <w:color w:val="000000"/>
                <w:sz w:val="18"/>
                <w:szCs w:val="18"/>
              </w:rPr>
              <w:t xml:space="preserve"> </w:t>
            </w:r>
            <w:r w:rsidRPr="0077524C">
              <w:rPr>
                <w:rFonts w:eastAsia="Times New Roman"/>
                <w:color w:val="000000"/>
                <w:sz w:val="18"/>
                <w:szCs w:val="18"/>
              </w:rPr>
              <w:t>PE was after 32weeks of ge</w:t>
            </w:r>
            <w:r>
              <w:rPr>
                <w:rFonts w:eastAsia="Times New Roman"/>
                <w:color w:val="000000"/>
                <w:sz w:val="18"/>
                <w:szCs w:val="18"/>
              </w:rPr>
              <w:t>station</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Women in whom the onset of</w:t>
            </w:r>
            <w:r>
              <w:rPr>
                <w:rFonts w:eastAsia="Times New Roman"/>
                <w:color w:val="000000"/>
                <w:sz w:val="18"/>
                <w:szCs w:val="18"/>
              </w:rPr>
              <w:t xml:space="preserve"> </w:t>
            </w:r>
            <w:r w:rsidRPr="0077524C">
              <w:rPr>
                <w:rFonts w:eastAsia="Times New Roman"/>
                <w:color w:val="000000"/>
                <w:sz w:val="18"/>
                <w:szCs w:val="18"/>
              </w:rPr>
              <w:t>PE was before 32weeks of gestation were defined as</w:t>
            </w:r>
            <w:r>
              <w:rPr>
                <w:rFonts w:eastAsia="Times New Roman"/>
                <w:color w:val="000000"/>
                <w:sz w:val="18"/>
                <w:szCs w:val="18"/>
              </w:rPr>
              <w:t xml:space="preserve"> </w:t>
            </w:r>
            <w:r w:rsidRPr="0077524C">
              <w:rPr>
                <w:rFonts w:eastAsia="Times New Roman"/>
                <w:color w:val="000000"/>
                <w:sz w:val="18"/>
                <w:szCs w:val="18"/>
              </w:rPr>
              <w:t>having the early onset type</w:t>
            </w:r>
          </w:p>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 was defined as the presence of one or more of the following criteria: severe gestational hypertension (SBP &gt;160mmHg or DBP &gt;110mmHg on more than two occasions after 20weeks of gestation) or ≥2 g protein in a 24-h urine specimen.</w:t>
            </w:r>
          </w:p>
        </w:tc>
      </w:tr>
      <w:tr w:rsidR="006D38DA" w:rsidRPr="0077524C" w:rsidTr="001D7AE5">
        <w:trPr>
          <w:trHeight w:val="2403"/>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 S. Murphy 2015</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&gt;34 weeks gestation</w:t>
            </w:r>
            <w:r w:rsidRPr="0077524C">
              <w:rPr>
                <w:rFonts w:eastAsia="Times New Roman"/>
                <w:color w:val="000000"/>
                <w:sz w:val="18"/>
                <w:szCs w:val="18"/>
              </w:rPr>
              <w:b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&lt;34 weeks gestation</w:t>
            </w:r>
            <w:r w:rsidRPr="0077524C">
              <w:rPr>
                <w:rFonts w:eastAsia="Times New Roman"/>
                <w:color w:val="000000"/>
                <w:sz w:val="18"/>
                <w:szCs w:val="18"/>
              </w:rPr>
              <w:br/>
              <w:t>Severe PE diagnosis criteria were</w:t>
            </w:r>
            <w:r>
              <w:rPr>
                <w:rFonts w:eastAsia="Times New Roman"/>
                <w:color w:val="000000"/>
                <w:sz w:val="18"/>
                <w:szCs w:val="18"/>
              </w:rPr>
              <w:t xml:space="preserve"> </w:t>
            </w:r>
            <w:r w:rsidRPr="0077524C">
              <w:rPr>
                <w:rFonts w:eastAsia="Times New Roman"/>
                <w:color w:val="000000"/>
                <w:sz w:val="18"/>
                <w:szCs w:val="18"/>
              </w:rPr>
              <w:t>met if in addition to the criteria for PE, an individual presented with any one of the following: two stable measurements of systolic blood pressure 160 mmHg or diastolic blood pressure 110 mmHg a minimum of at least six hours apart, proteinuria of 5g/24 hours or 3+ pm repeat dipstick, oliguria ≤500mL/24 hours, cerebral or visual disturbances, epigastric pain, thrombocytopenia &lt;150,0009/L, AST &gt;46 U/L, ALT &gt;40 U/L, serum creatinine &gt;106 umol/L, pulmonary cyanosis or intrauterine growth restricted baby.</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 Yang 2015</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2684"/>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lastRenderedPageBreak/>
              <w:t>I. Hromadnikova 2016</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&gt;34 weeks gestation</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&lt;34 weeks gestation</w:t>
            </w:r>
            <w:r w:rsidRPr="0077524C">
              <w:rPr>
                <w:rFonts w:eastAsia="Times New Roman"/>
                <w:color w:val="000000"/>
                <w:sz w:val="18"/>
                <w:szCs w:val="18"/>
              </w:rPr>
              <w:br/>
              <w:t>Severe preeclampsia was diagnosed</w:t>
            </w:r>
            <w:r>
              <w:rPr>
                <w:rFonts w:eastAsia="Times New Roman"/>
                <w:color w:val="000000"/>
                <w:sz w:val="18"/>
                <w:szCs w:val="18"/>
              </w:rPr>
              <w:t xml:space="preserve"> </w:t>
            </w:r>
            <w:r w:rsidRPr="0077524C">
              <w:rPr>
                <w:rFonts w:eastAsia="Times New Roman"/>
                <w:color w:val="000000"/>
                <w:sz w:val="18"/>
                <w:szCs w:val="18"/>
              </w:rPr>
              <w:t>by the presence of one or more of the following findings: 1) a systolic blood pressure &gt;160 mm Hg or a diastolic blood pressure &gt;110 mm Hg, 2) proteinuria greater than 5 g of protein in a 24-hour sample, 3) very low urine output (less than 500 mL in 24 h), 4) signs of respiratory problems (pulmonary edema or cyanosis), 5) impairment of liver function, 6) signs of central nervous system problems (severe headache, visual disturbances), 7) pain in the epigastric area or right upper quadrant, 8) thrombocytopenia, and 9) the presence of severe fetal growth restriction</w:t>
            </w:r>
          </w:p>
        </w:tc>
      </w:tr>
      <w:tr w:rsidR="006D38DA" w:rsidRPr="0077524C" w:rsidTr="001D7AE5">
        <w:trPr>
          <w:trHeight w:val="411"/>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T. X. Hu 2016</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r w:rsidRPr="0077524C">
              <w:rPr>
                <w:rFonts w:eastAsia="Times New Roman"/>
                <w:color w:val="000000"/>
                <w:sz w:val="18"/>
                <w:szCs w:val="18"/>
              </w:rPr>
              <w:br/>
              <w:t>blood pressure ≥160/110 mmHg and proteinuria ≥2.0 g/24 h</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 Ospina-Prieto 2016</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at or after 34 gw</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before 34 gw</w:t>
            </w:r>
          </w:p>
        </w:tc>
      </w:tr>
      <w:tr w:rsidR="006D38DA" w:rsidRPr="0077524C" w:rsidTr="001D7AE5">
        <w:trPr>
          <w:trHeight w:val="818"/>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V. C. Sandrim 2016</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Severe pre-eclampsia was defined as ≥160 mmHg systolic or ≥110 mmHg diastolic, on two or more measurements at least 6 hours apart; and/or proteinuria ≥2 g/24 hour</w:t>
            </w:r>
          </w:p>
        </w:tc>
      </w:tr>
      <w:tr w:rsidR="006D38DA" w:rsidRPr="0077524C" w:rsidTr="001D7AE5">
        <w:trPr>
          <w:trHeight w:val="971"/>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 W. Yang 2016</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sEOPE was defined as </w:t>
            </w:r>
            <w:r w:rsidRPr="0077524C">
              <w:rPr>
                <w:rFonts w:eastAsia="Times New Roman"/>
                <w:color w:val="000000"/>
                <w:sz w:val="18"/>
                <w:szCs w:val="18"/>
              </w:rPr>
              <w:t>de-novo occurrence of systolic blood pressure (SBP) ≥160 mmHg or diastolic blood pressure (DBP) ≥110 mm Hg on at least two occasions, accompanying</w:t>
            </w:r>
            <w:r>
              <w:rPr>
                <w:rFonts w:eastAsia="Times New Roman"/>
                <w:color w:val="000000"/>
                <w:sz w:val="18"/>
                <w:szCs w:val="18"/>
              </w:rPr>
              <w:t xml:space="preserve"> </w:t>
            </w:r>
            <w:r w:rsidRPr="0077524C">
              <w:rPr>
                <w:rFonts w:eastAsia="Times New Roman"/>
                <w:color w:val="000000"/>
                <w:sz w:val="18"/>
                <w:szCs w:val="18"/>
              </w:rPr>
              <w:t>severe proteinuria (</w:t>
            </w:r>
            <w:r>
              <w:rPr>
                <w:rFonts w:eastAsia="Times New Roman"/>
                <w:color w:val="000000"/>
                <w:sz w:val="18"/>
                <w:szCs w:val="18"/>
              </w:rPr>
              <w:t>≥</w:t>
            </w:r>
            <w:r w:rsidRPr="0077524C">
              <w:rPr>
                <w:rFonts w:eastAsia="Times New Roman"/>
                <w:color w:val="000000"/>
                <w:sz w:val="18"/>
                <w:szCs w:val="18"/>
              </w:rPr>
              <w:t xml:space="preserve">3+ or </w:t>
            </w:r>
            <w:r>
              <w:rPr>
                <w:rFonts w:eastAsia="Times New Roman"/>
                <w:color w:val="000000"/>
                <w:sz w:val="18"/>
                <w:szCs w:val="18"/>
              </w:rPr>
              <w:t>≥</w:t>
            </w:r>
            <w:r w:rsidRPr="0077524C">
              <w:rPr>
                <w:rFonts w:eastAsia="Times New Roman"/>
                <w:color w:val="000000"/>
                <w:sz w:val="18"/>
                <w:szCs w:val="18"/>
              </w:rPr>
              <w:t>2 g/24h) at 20±34 weeks of gestation</w:t>
            </w:r>
          </w:p>
        </w:tc>
      </w:tr>
      <w:tr w:rsidR="006D38DA" w:rsidRPr="0077524C" w:rsidTr="001D7AE5">
        <w:trPr>
          <w:trHeight w:val="1141"/>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 Adel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systolic blood pressure (140/90–160/110mmHg) as measured twice, using an appropriate cuff, 6 h apart and according to proteinuria in a 24-hour protein excretion ≥300 mg/d or ≥1+by dipstick on two random urine samples collected at least 6 h apart.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systolic blood pressure ≥160/110mmHgas measured twice, using an appropriate cuff, 6 h apart and according to proteinuria in a 24-hour protein excretion ≥5 g/d or ≥3+by dipstick on two random urine samples collected at least 6 h apart.</w:t>
            </w:r>
          </w:p>
        </w:tc>
      </w:tr>
      <w:tr w:rsidR="006D38DA" w:rsidRPr="0077524C" w:rsidTr="001D7AE5">
        <w:trPr>
          <w:trHeight w:val="495"/>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 Gao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delivery before 35 weeks of gestation</w:t>
            </w:r>
          </w:p>
        </w:tc>
      </w:tr>
      <w:tr w:rsidR="006D38DA" w:rsidRPr="0077524C" w:rsidTr="001D7AE5">
        <w:trPr>
          <w:trHeight w:val="754"/>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T. Gunel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sLOPE was defined as </w:t>
            </w:r>
            <w:r w:rsidRPr="0077524C">
              <w:rPr>
                <w:rFonts w:eastAsia="Times New Roman"/>
                <w:color w:val="000000"/>
                <w:sz w:val="18"/>
                <w:szCs w:val="18"/>
              </w:rPr>
              <w:t>either severe hypertension (systolic blood pressure of &gt;160mmHg and/or diastolic blood 15 pressure of &gt;110mmHg on at least 2 measurements 6 hours apart) severe proteinuria, or both,16 presenting after 20 weeks of gestation</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 Han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2684"/>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lastRenderedPageBreak/>
              <w:t>I. Hromadnikova 2017</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after 34 weeks</w:t>
            </w:r>
            <w:r w:rsidRPr="0077524C">
              <w:rPr>
                <w:rFonts w:eastAsia="Times New Roman"/>
                <w:color w:val="000000"/>
                <w:sz w:val="18"/>
                <w:szCs w:val="18"/>
              </w:rPr>
              <w:b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before 34 gw</w:t>
            </w:r>
            <w:r w:rsidRPr="0077524C">
              <w:rPr>
                <w:rFonts w:eastAsia="Times New Roman"/>
                <w:color w:val="000000"/>
                <w:sz w:val="18"/>
                <w:szCs w:val="18"/>
              </w:rPr>
              <w:br/>
              <w:t>presence of one or more of the</w:t>
            </w:r>
            <w:r>
              <w:rPr>
                <w:rFonts w:eastAsia="Times New Roman"/>
                <w:color w:val="000000"/>
                <w:sz w:val="18"/>
                <w:szCs w:val="18"/>
              </w:rPr>
              <w:t xml:space="preserve"> </w:t>
            </w:r>
            <w:r w:rsidRPr="0077524C">
              <w:rPr>
                <w:rFonts w:eastAsia="Times New Roman"/>
                <w:color w:val="000000"/>
                <w:sz w:val="18"/>
                <w:szCs w:val="18"/>
              </w:rPr>
              <w:t>following findings: 1) a systolic blood pressure &gt; 160 mmHg or a diastolic blood pressure &gt; 110 mmHg, 2) proteinuria greater than 5g of protein in a 24-hour sample, 3) very low urine output (less than 500 ml in 24 h), 4) signs of respiratory problems (pulmonary edema or cyanosis), 5) impairment of liver function, 6) signs of central nervous system problems (severe headache, visual disturbances), 7) pain in the epigastric area or right upper quadrant, 8) thrombocytopenia, and 9) the presence of severe fetal growth restriction</w:t>
            </w:r>
          </w:p>
        </w:tc>
      </w:tr>
      <w:tr w:rsidR="006D38DA" w:rsidRPr="0077524C" w:rsidTr="001D7AE5">
        <w:trPr>
          <w:trHeight w:val="1829"/>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D. S. Jairajpuri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Mild PE patients had SBP ≥ 140mmHg, DBP ≥90 mmHg on 2 occasions separated by 6 hours, and proteinuria (≥300 mg of protein in a 24-hour urine</w:t>
            </w:r>
            <w:r>
              <w:rPr>
                <w:rFonts w:eastAsia="Times New Roman"/>
                <w:color w:val="000000"/>
                <w:sz w:val="18"/>
                <w:szCs w:val="18"/>
              </w:rPr>
              <w:t xml:space="preserve"> </w:t>
            </w:r>
            <w:r w:rsidRPr="0077524C">
              <w:rPr>
                <w:rFonts w:eastAsia="Times New Roman"/>
                <w:color w:val="000000"/>
                <w:sz w:val="18"/>
                <w:szCs w:val="18"/>
              </w:rPr>
              <w:t>specimen or ≥1+ by dipstick)</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severe PE was confirmed if one of more of these conditions were met: persistent SBP ≥160mmHg and/or DBP ≥110mmHg on least at 2 occasions 6 hours apart; proteinuria (≥2g/24 h</w:t>
            </w:r>
            <w:r>
              <w:rPr>
                <w:rFonts w:eastAsia="Times New Roman"/>
                <w:color w:val="000000"/>
                <w:sz w:val="18"/>
                <w:szCs w:val="18"/>
              </w:rPr>
              <w:t>our</w:t>
            </w:r>
            <w:r w:rsidRPr="0077524C">
              <w:rPr>
                <w:rFonts w:eastAsia="Times New Roman"/>
                <w:color w:val="000000"/>
                <w:sz w:val="18"/>
                <w:szCs w:val="18"/>
              </w:rPr>
              <w:t xml:space="preserve"> or≥2+ by dipstick); and serum creatinine ≥106 mmol/L (except patients whose serum creatinine was increased before the test), low platelet count (&lt;105/mL); increased lactate dehydrogenase; elevated liver enzyme function (ALT, AST), and persistent upper abdominal pain</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T. M. Lu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H. X. Meng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 V. Nizyaeva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r>
      <w:tr w:rsidR="006D38DA" w:rsidRPr="0077524C" w:rsidTr="001D7AE5">
        <w:trPr>
          <w:trHeight w:val="2747"/>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X. Shao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sEOPE</w:t>
            </w:r>
            <w:r w:rsidRPr="0077524C">
              <w:rPr>
                <w:rFonts w:eastAsia="Times New Roman"/>
                <w:color w:val="000000"/>
                <w:sz w:val="18"/>
                <w:szCs w:val="18"/>
              </w:rPr>
              <w:b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Severe preeclampsia was defined as a pregnancy having no history of preexisting or chronic hypertension but showing systolic blood pressure of ≥160 mm Hg or diastolic blood pressure of ≥110 mm Hg on at least 2 occasions, accompanied by significant proteinuria (≥2 g/24 hours or 3+ by dipstick in 2 random samples collected at &gt;4-hour intervals) or problems in multiple organs (such as pulmonary edema, seizures, oliguria, abnormal liver enzymes associated with persistent epigastric or right upper quadrant pain, or persistent and severe central nervous system symptoms) after the 20</w:t>
            </w:r>
            <w:r w:rsidRPr="0077524C">
              <w:rPr>
                <w:rFonts w:eastAsia="Times New Roman"/>
                <w:color w:val="000000"/>
                <w:sz w:val="18"/>
                <w:szCs w:val="18"/>
                <w:vertAlign w:val="superscript"/>
              </w:rPr>
              <w:t>th</w:t>
            </w:r>
            <w:r w:rsidRPr="0077524C">
              <w:rPr>
                <w:rFonts w:eastAsia="Times New Roman"/>
                <w:color w:val="000000"/>
                <w:sz w:val="18"/>
                <w:szCs w:val="18"/>
              </w:rPr>
              <w:t>week of gestation</w:t>
            </w:r>
          </w:p>
        </w:tc>
      </w:tr>
      <w:tr w:rsidR="006D38DA" w:rsidRPr="0077524C" w:rsidTr="001D7AE5">
        <w:trPr>
          <w:trHeight w:val="155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lastRenderedPageBreak/>
              <w:t>X. Yang 2017</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mLOPE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Late onset PE (≥32 weeks) was defined as those patients who displayed gestational hypertension and proteinuria without a history of hypertension, presenting with systolic blood pressure≥140 mm Hg and/or diastolic blood pressure ≥90 mm Hg.</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T. Gunel 2018</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1674"/>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 L. Martinez-Fierro 2018</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more than 34 + 1 gw</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before 34 gw</w:t>
            </w:r>
            <w:r w:rsidRPr="0077524C">
              <w:rPr>
                <w:rFonts w:eastAsia="Times New Roman"/>
                <w:color w:val="000000"/>
                <w:sz w:val="18"/>
                <w:szCs w:val="18"/>
              </w:rPr>
              <w:br/>
              <w:t>PE was considered as severe ifthe patient had a blood pressure≥ 160 mmHg systolic or ≥ 110 mmHg diastolic on two occasions at least 6 h apart while the patient was at bed rest,</w:t>
            </w:r>
            <w:r>
              <w:rPr>
                <w:rFonts w:eastAsia="Times New Roman"/>
                <w:color w:val="000000"/>
                <w:sz w:val="18"/>
                <w:szCs w:val="18"/>
              </w:rPr>
              <w:t xml:space="preserve"> </w:t>
            </w:r>
            <w:r w:rsidRPr="0077524C">
              <w:rPr>
                <w:rFonts w:eastAsia="Times New Roman"/>
                <w:color w:val="000000"/>
                <w:sz w:val="18"/>
                <w:szCs w:val="18"/>
              </w:rPr>
              <w:t>and a proteinuria of 5 g or more in a 24-h urine specimen, or 3 + or greater in two random urine samples collected at least 4 h apart</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T. M. K. Motawi 2018</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 37 gw term</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&lt; 37gw preterm</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 V. Nizyaeva 2018</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after 34 weeks</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before 34 gw</w:t>
            </w:r>
          </w:p>
        </w:tc>
      </w:tr>
      <w:tr w:rsidR="006D38DA" w:rsidRPr="0077524C" w:rsidTr="001D7AE5">
        <w:trPr>
          <w:trHeight w:val="2487"/>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 V. Timofeeva 2018</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mEOPE</w:t>
            </w:r>
            <w:r w:rsidRPr="0077524C">
              <w:rPr>
                <w:rFonts w:eastAsia="Times New Roman"/>
                <w:color w:val="000000"/>
                <w:sz w:val="18"/>
                <w:szCs w:val="18"/>
              </w:rPr>
              <w:br/>
              <w:t>mLOPE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after 34 weeks</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sEOPE</w:t>
            </w:r>
            <w:r w:rsidRPr="0077524C">
              <w:rPr>
                <w:rFonts w:eastAsia="Times New Roman"/>
                <w:color w:val="000000"/>
                <w:sz w:val="18"/>
                <w:szCs w:val="18"/>
              </w:rPr>
              <w:b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24-34gw</w:t>
            </w:r>
            <w:r w:rsidRPr="0077524C">
              <w:rPr>
                <w:rFonts w:eastAsia="Times New Roman"/>
                <w:color w:val="000000"/>
                <w:sz w:val="18"/>
                <w:szCs w:val="18"/>
              </w:rPr>
              <w:br/>
              <w:t>Severe PE was diagnosed by the</w:t>
            </w:r>
            <w:r>
              <w:rPr>
                <w:rFonts w:eastAsia="Times New Roman"/>
                <w:color w:val="000000"/>
                <w:sz w:val="18"/>
                <w:szCs w:val="18"/>
              </w:rPr>
              <w:t xml:space="preserve"> </w:t>
            </w:r>
            <w:r w:rsidRPr="0077524C">
              <w:rPr>
                <w:rFonts w:eastAsia="Times New Roman"/>
                <w:color w:val="000000"/>
                <w:sz w:val="18"/>
                <w:szCs w:val="18"/>
              </w:rPr>
              <w:t>presence of one or more of the following clinical manifestations: 1) systolic blood pressure above 160 mm Hg or diastolic pressure above 110mmHg, 2) proteinuria above 5 g/l, 3) very low levels of daily diuresis (less than 500 ml in 24 h), 4) respiratory disorders (pulmonary oedema or cyanosis), 5) liver dysfunction, 6) central nervous system malfunction (severe headache or visual disturbances), 7) pain in the epigastric region or right upper quadrant, 8) thrombocytopenia and 9) the presence of severe intrauterine growth retardation</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H. Wang 2018</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372"/>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Y. Wang 2018</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 xml:space="preserve">at or after 34 </w:t>
            </w:r>
            <w:r>
              <w:rPr>
                <w:rFonts w:eastAsia="Times New Roman"/>
                <w:color w:val="000000"/>
                <w:sz w:val="18"/>
                <w:szCs w:val="18"/>
              </w:rPr>
              <w:t>gw</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 xml:space="preserve">before 34 </w:t>
            </w:r>
            <w:r>
              <w:rPr>
                <w:rFonts w:eastAsia="Times New Roman"/>
                <w:color w:val="000000"/>
                <w:sz w:val="18"/>
                <w:szCs w:val="18"/>
              </w:rPr>
              <w:t>gw</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Z. Awamleh2019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prior to 34 gw</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K. Dong 2019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after 34 weeks</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before 34 gw</w:t>
            </w:r>
          </w:p>
        </w:tc>
      </w:tr>
      <w:tr w:rsidR="006D38DA" w:rsidRPr="0077524C" w:rsidTr="001D7AE5">
        <w:trPr>
          <w:trHeight w:val="495"/>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 Hocaoglu 2019</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mEOPE</w:t>
            </w:r>
            <w:r w:rsidRPr="0077524C">
              <w:rPr>
                <w:rFonts w:eastAsia="Times New Roman"/>
                <w:color w:val="000000"/>
                <w:sz w:val="18"/>
                <w:szCs w:val="18"/>
              </w:rPr>
              <w:br/>
              <w:t>mLOPE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PE occurring at 34 weeks or later</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sEOPE</w:t>
            </w:r>
            <w:r w:rsidRPr="0077524C">
              <w:rPr>
                <w:rFonts w:eastAsia="Times New Roman"/>
                <w:color w:val="000000"/>
                <w:sz w:val="18"/>
                <w:szCs w:val="18"/>
              </w:rPr>
              <w:br/>
              <w:t>sLOPE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PE occurring at less than 34 weeks</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I. Hromadnikova 2019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not reported</w:t>
            </w:r>
          </w:p>
        </w:tc>
      </w:tr>
      <w:tr w:rsidR="006D38DA" w:rsidRPr="0077524C" w:rsidTr="001D7AE5">
        <w:trPr>
          <w:trHeight w:val="1692"/>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lastRenderedPageBreak/>
              <w:t>M. L. Martinez-Fierro 2019</w:t>
            </w:r>
          </w:p>
        </w:tc>
        <w:tc>
          <w:tcPr>
            <w:tcW w:w="1091"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r w:rsidRPr="0077524C">
              <w:rPr>
                <w:rFonts w:eastAsia="Times New Roman"/>
                <w:color w:val="000000"/>
                <w:sz w:val="18"/>
                <w:szCs w:val="18"/>
              </w:rPr>
              <w:br/>
              <w:t>mPE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later than 34+1 gw</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r w:rsidRPr="0077524C">
              <w:rPr>
                <w:rFonts w:eastAsia="Times New Roman"/>
                <w:color w:val="000000"/>
                <w:sz w:val="18"/>
                <w:szCs w:val="18"/>
              </w:rPr>
              <w:b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present before 34 WG</w:t>
            </w:r>
            <w:r w:rsidRPr="0077524C">
              <w:rPr>
                <w:rFonts w:eastAsia="Times New Roman"/>
                <w:color w:val="000000"/>
                <w:sz w:val="18"/>
                <w:szCs w:val="18"/>
              </w:rPr>
              <w:br/>
              <w:t>Severe PE was considered as that in which the patient had a blood pressure ≥160mm Hg systolic or≥110mm Hg diastolic on two occasions at least 6 h apart while the patient was at bed rest, and a proteinuria of 5 g or more in a 24-h urine specimen, or 3+ or greater in two random urine samples collected at least 4 h apart</w:t>
            </w:r>
          </w:p>
        </w:tc>
      </w:tr>
      <w:tr w:rsidR="006D38DA" w:rsidRPr="0077524C" w:rsidTr="001D7AE5">
        <w:trPr>
          <w:trHeight w:val="836"/>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P. Pillay 2019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New</w:t>
            </w:r>
            <w:r>
              <w:rPr>
                <w:rFonts w:eastAsia="Times New Roman"/>
                <w:color w:val="000000"/>
                <w:sz w:val="18"/>
                <w:szCs w:val="18"/>
              </w:rPr>
              <w:t xml:space="preserve"> </w:t>
            </w:r>
            <w:r w:rsidRPr="0077524C">
              <w:rPr>
                <w:rFonts w:eastAsia="Times New Roman"/>
                <w:color w:val="000000"/>
                <w:sz w:val="18"/>
                <w:szCs w:val="18"/>
              </w:rPr>
              <w:t>onset hypertension (diastolic blood pressure</w:t>
            </w:r>
            <w:r w:rsidRPr="0077524C">
              <w:rPr>
                <w:rFonts w:eastAsia="Times New Roman"/>
                <w:color w:val="000000"/>
                <w:sz w:val="18"/>
                <w:szCs w:val="18"/>
              </w:rPr>
              <w:br/>
              <w:t>of &gt;90 mm Hg and systolic blood pressure of &gt;140 mm Hg) and proteinuria (≥300 mg) at ≥34 weeks gestational age.</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New</w:t>
            </w:r>
            <w:r>
              <w:rPr>
                <w:rFonts w:eastAsia="Times New Roman"/>
                <w:color w:val="000000"/>
                <w:sz w:val="18"/>
                <w:szCs w:val="18"/>
              </w:rPr>
              <w:t xml:space="preserve"> </w:t>
            </w:r>
            <w:r w:rsidRPr="0077524C">
              <w:rPr>
                <w:rFonts w:eastAsia="Times New Roman"/>
                <w:color w:val="000000"/>
                <w:sz w:val="18"/>
                <w:szCs w:val="18"/>
              </w:rPr>
              <w:t>onset hypertension (dia</w:t>
            </w:r>
            <w:r>
              <w:rPr>
                <w:rFonts w:eastAsia="Times New Roman"/>
                <w:color w:val="000000"/>
                <w:sz w:val="18"/>
                <w:szCs w:val="18"/>
              </w:rPr>
              <w:t>stolic blood pressure of ≥90 mm</w:t>
            </w:r>
            <w:r w:rsidRPr="0077524C">
              <w:rPr>
                <w:rFonts w:eastAsia="Times New Roman"/>
                <w:color w:val="000000"/>
                <w:sz w:val="18"/>
                <w:szCs w:val="18"/>
              </w:rPr>
              <w:t>Hg</w:t>
            </w:r>
            <w:r>
              <w:rPr>
                <w:rFonts w:eastAsia="Times New Roman"/>
                <w:color w:val="000000"/>
                <w:sz w:val="18"/>
                <w:szCs w:val="18"/>
              </w:rPr>
              <w:t xml:space="preserve"> </w:t>
            </w:r>
            <w:r w:rsidRPr="0077524C">
              <w:rPr>
                <w:rFonts w:eastAsia="Times New Roman"/>
                <w:color w:val="000000"/>
                <w:sz w:val="18"/>
                <w:szCs w:val="18"/>
              </w:rPr>
              <w:t>and systolic blood pressure of ≥140 mm Hg) and proteinuria</w:t>
            </w:r>
            <w:r>
              <w:rPr>
                <w:rFonts w:eastAsia="Times New Roman"/>
                <w:color w:val="000000"/>
                <w:sz w:val="18"/>
                <w:szCs w:val="18"/>
              </w:rPr>
              <w:t xml:space="preserve"> </w:t>
            </w:r>
            <w:r w:rsidRPr="0077524C">
              <w:rPr>
                <w:rFonts w:eastAsia="Times New Roman"/>
                <w:color w:val="000000"/>
                <w:sz w:val="18"/>
                <w:szCs w:val="18"/>
              </w:rPr>
              <w:t>(≥300 mg) at ≤33 weeks.</w:t>
            </w:r>
          </w:p>
        </w:tc>
      </w:tr>
      <w:tr w:rsidR="006D38DA" w:rsidRPr="0077524C" w:rsidTr="001D7AE5">
        <w:trPr>
          <w:trHeight w:val="300"/>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Z. Xiaobo 2019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LOPE</w:t>
            </w:r>
          </w:p>
        </w:tc>
        <w:tc>
          <w:tcPr>
            <w:tcW w:w="4098"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after 34 weeks</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EOPE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before 34 weeks of gestation</w:t>
            </w:r>
          </w:p>
        </w:tc>
      </w:tr>
      <w:tr w:rsidR="006D38DA" w:rsidRPr="0077524C" w:rsidTr="001D7AE5">
        <w:trPr>
          <w:trHeight w:val="1533"/>
        </w:trPr>
        <w:tc>
          <w:tcPr>
            <w:tcW w:w="226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H. M. G. Youssef 2019</w:t>
            </w:r>
          </w:p>
        </w:tc>
        <w:tc>
          <w:tcPr>
            <w:tcW w:w="1091" w:type="dxa"/>
            <w:shd w:val="clear" w:color="auto" w:fill="auto"/>
            <w:noWrap/>
            <w:vAlign w:val="center"/>
            <w:hideMark/>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mPE</w:t>
            </w:r>
          </w:p>
        </w:tc>
        <w:tc>
          <w:tcPr>
            <w:tcW w:w="4098" w:type="dxa"/>
            <w:shd w:val="clear" w:color="auto" w:fill="auto"/>
            <w:vAlign w:val="center"/>
            <w:hideMark/>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Mild PE was defined as </w:t>
            </w:r>
            <w:r w:rsidRPr="0077524C">
              <w:rPr>
                <w:rFonts w:eastAsia="Times New Roman"/>
                <w:color w:val="000000"/>
                <w:sz w:val="18"/>
                <w:szCs w:val="18"/>
              </w:rPr>
              <w:t>maternal systolic blood pressure of ≥140 mmHg and/or diastolic blood</w:t>
            </w:r>
            <w:r>
              <w:rPr>
                <w:rFonts w:eastAsia="Times New Roman"/>
                <w:color w:val="000000"/>
                <w:sz w:val="18"/>
                <w:szCs w:val="18"/>
              </w:rPr>
              <w:t xml:space="preserve"> </w:t>
            </w:r>
            <w:r w:rsidRPr="0077524C">
              <w:rPr>
                <w:rFonts w:eastAsia="Times New Roman"/>
                <w:color w:val="000000"/>
                <w:sz w:val="18"/>
                <w:szCs w:val="18"/>
              </w:rPr>
              <w:t>pressure of ≥90 mmHg, with significant proteinuria (≥1+ by dipstick) at 20 to 34 weeks of gestation</w:t>
            </w:r>
          </w:p>
        </w:tc>
        <w:tc>
          <w:tcPr>
            <w:tcW w:w="1134" w:type="dxa"/>
            <w:vAlign w:val="center"/>
          </w:tcPr>
          <w:p w:rsidR="006D38DA" w:rsidRPr="0077524C" w:rsidRDefault="006D38DA" w:rsidP="00E330BB">
            <w:pPr>
              <w:spacing w:before="0" w:after="0"/>
              <w:jc w:val="center"/>
              <w:rPr>
                <w:rFonts w:eastAsia="Times New Roman"/>
                <w:color w:val="000000"/>
                <w:sz w:val="18"/>
                <w:szCs w:val="18"/>
              </w:rPr>
            </w:pPr>
            <w:r w:rsidRPr="0077524C">
              <w:rPr>
                <w:rFonts w:eastAsia="Times New Roman"/>
                <w:color w:val="000000"/>
                <w:sz w:val="18"/>
                <w:szCs w:val="18"/>
              </w:rPr>
              <w:t>sPE</w:t>
            </w:r>
          </w:p>
        </w:tc>
        <w:tc>
          <w:tcPr>
            <w:tcW w:w="4137" w:type="dxa"/>
            <w:vAlign w:val="center"/>
          </w:tcPr>
          <w:p w:rsidR="006D38DA" w:rsidRPr="0077524C" w:rsidRDefault="006D38DA" w:rsidP="00E330BB">
            <w:pPr>
              <w:spacing w:before="0" w:after="0"/>
              <w:jc w:val="center"/>
              <w:rPr>
                <w:rFonts w:eastAsia="Times New Roman"/>
                <w:color w:val="000000"/>
                <w:sz w:val="18"/>
                <w:szCs w:val="18"/>
              </w:rPr>
            </w:pPr>
            <w:r>
              <w:rPr>
                <w:rFonts w:eastAsia="Times New Roman"/>
                <w:color w:val="000000"/>
                <w:sz w:val="18"/>
                <w:szCs w:val="18"/>
              </w:rPr>
              <w:t xml:space="preserve">Severe Pe was defined as </w:t>
            </w:r>
            <w:r w:rsidRPr="0077524C">
              <w:rPr>
                <w:rFonts w:eastAsia="Times New Roman"/>
                <w:color w:val="000000"/>
                <w:sz w:val="18"/>
                <w:szCs w:val="18"/>
              </w:rPr>
              <w:t>blood pressure values&gt;160 mmHg systolic or 110 mmHg diastolic and the amount of proteinuria is considered not</w:t>
            </w:r>
            <w:r w:rsidRPr="0077524C">
              <w:rPr>
                <w:rFonts w:eastAsia="Times New Roman"/>
                <w:color w:val="000000"/>
                <w:sz w:val="18"/>
                <w:szCs w:val="18"/>
              </w:rPr>
              <w:br/>
              <w:t>useful to define the severity, and if thrombocytopenia increase in liver or</w:t>
            </w:r>
            <w:r>
              <w:rPr>
                <w:rFonts w:eastAsia="Times New Roman"/>
                <w:color w:val="000000"/>
                <w:sz w:val="18"/>
                <w:szCs w:val="18"/>
              </w:rPr>
              <w:t xml:space="preserve"> </w:t>
            </w:r>
            <w:r w:rsidRPr="0077524C">
              <w:rPr>
                <w:rFonts w:eastAsia="Times New Roman"/>
                <w:color w:val="000000"/>
                <w:sz w:val="18"/>
                <w:szCs w:val="18"/>
              </w:rPr>
              <w:t>kidney functions, persistent epigastric pain, pulmonary edema, cerebral</w:t>
            </w:r>
            <w:r>
              <w:rPr>
                <w:rFonts w:eastAsia="Times New Roman"/>
                <w:color w:val="000000"/>
                <w:sz w:val="18"/>
                <w:szCs w:val="18"/>
              </w:rPr>
              <w:t xml:space="preserve"> </w:t>
            </w:r>
            <w:r w:rsidRPr="0077524C">
              <w:rPr>
                <w:rFonts w:eastAsia="Times New Roman"/>
                <w:color w:val="000000"/>
                <w:sz w:val="18"/>
                <w:szCs w:val="18"/>
              </w:rPr>
              <w:t>or visual disturbances are present, the patients are categorized as severe</w:t>
            </w:r>
            <w:r w:rsidRPr="0077524C">
              <w:rPr>
                <w:rFonts w:eastAsia="Times New Roman"/>
                <w:color w:val="000000"/>
                <w:sz w:val="18"/>
                <w:szCs w:val="18"/>
              </w:rPr>
              <w:br/>
              <w:t>PE subgroup even with mild hypertension</w:t>
            </w:r>
          </w:p>
        </w:tc>
      </w:tr>
      <w:tr w:rsidR="0084097D" w:rsidRPr="0077524C" w:rsidTr="001D7AE5">
        <w:trPr>
          <w:trHeight w:val="1533"/>
        </w:trPr>
        <w:tc>
          <w:tcPr>
            <w:tcW w:w="2261" w:type="dxa"/>
            <w:shd w:val="clear" w:color="auto" w:fill="auto"/>
            <w:noWrap/>
            <w:vAlign w:val="center"/>
            <w:hideMark/>
          </w:tcPr>
          <w:p w:rsidR="0084097D" w:rsidRPr="0077524C" w:rsidRDefault="0084097D" w:rsidP="00E330BB">
            <w:pPr>
              <w:spacing w:before="0" w:after="0"/>
              <w:jc w:val="center"/>
              <w:rPr>
                <w:rFonts w:eastAsia="Times New Roman"/>
                <w:color w:val="000000"/>
                <w:sz w:val="18"/>
                <w:szCs w:val="18"/>
              </w:rPr>
            </w:pPr>
            <w:r>
              <w:rPr>
                <w:rFonts w:eastAsia="Times New Roman"/>
                <w:color w:val="000000"/>
                <w:sz w:val="18"/>
                <w:szCs w:val="18"/>
              </w:rPr>
              <w:t>Ayoub 2019</w:t>
            </w:r>
          </w:p>
        </w:tc>
        <w:tc>
          <w:tcPr>
            <w:tcW w:w="1091" w:type="dxa"/>
            <w:shd w:val="clear" w:color="auto" w:fill="auto"/>
            <w:noWrap/>
            <w:vAlign w:val="center"/>
            <w:hideMark/>
          </w:tcPr>
          <w:p w:rsidR="0084097D" w:rsidRPr="0077524C" w:rsidRDefault="0056680A" w:rsidP="00E330BB">
            <w:pPr>
              <w:spacing w:before="0" w:after="0"/>
              <w:jc w:val="center"/>
              <w:rPr>
                <w:rFonts w:eastAsia="Times New Roman"/>
                <w:color w:val="000000"/>
                <w:sz w:val="18"/>
                <w:szCs w:val="18"/>
              </w:rPr>
            </w:pPr>
            <w:r>
              <w:rPr>
                <w:rFonts w:eastAsia="Times New Roman"/>
                <w:color w:val="000000"/>
                <w:sz w:val="18"/>
                <w:szCs w:val="18"/>
              </w:rPr>
              <w:t>mPE</w:t>
            </w:r>
          </w:p>
        </w:tc>
        <w:tc>
          <w:tcPr>
            <w:tcW w:w="4098" w:type="dxa"/>
            <w:shd w:val="clear" w:color="auto" w:fill="auto"/>
            <w:vAlign w:val="center"/>
            <w:hideMark/>
          </w:tcPr>
          <w:p w:rsidR="0084097D" w:rsidRPr="00872109" w:rsidRDefault="0056680A" w:rsidP="00E330BB">
            <w:pPr>
              <w:spacing w:before="0" w:after="0"/>
              <w:jc w:val="center"/>
              <w:rPr>
                <w:rFonts w:eastAsia="Times New Roman" w:cs="Times New Roman"/>
                <w:color w:val="000000"/>
                <w:sz w:val="18"/>
                <w:szCs w:val="18"/>
              </w:rPr>
            </w:pPr>
            <w:r w:rsidRPr="00872109">
              <w:rPr>
                <w:rFonts w:eastAsia="Times New Roman" w:cs="Times New Roman"/>
                <w:color w:val="000000"/>
                <w:sz w:val="18"/>
                <w:szCs w:val="18"/>
              </w:rPr>
              <w:t>Not reported</w:t>
            </w:r>
          </w:p>
        </w:tc>
        <w:tc>
          <w:tcPr>
            <w:tcW w:w="1134" w:type="dxa"/>
            <w:vAlign w:val="center"/>
          </w:tcPr>
          <w:p w:rsidR="0084097D" w:rsidRPr="0077524C" w:rsidRDefault="0056680A" w:rsidP="00E330BB">
            <w:pPr>
              <w:spacing w:before="0" w:after="0"/>
              <w:jc w:val="center"/>
              <w:rPr>
                <w:rFonts w:eastAsia="Times New Roman"/>
                <w:color w:val="000000"/>
                <w:sz w:val="18"/>
                <w:szCs w:val="18"/>
              </w:rPr>
            </w:pPr>
            <w:r>
              <w:rPr>
                <w:rFonts w:eastAsia="Times New Roman"/>
                <w:color w:val="000000"/>
                <w:sz w:val="18"/>
                <w:szCs w:val="18"/>
              </w:rPr>
              <w:t>sPE</w:t>
            </w:r>
          </w:p>
        </w:tc>
        <w:tc>
          <w:tcPr>
            <w:tcW w:w="4137" w:type="dxa"/>
            <w:vAlign w:val="center"/>
          </w:tcPr>
          <w:p w:rsidR="0084097D" w:rsidRDefault="0056680A" w:rsidP="00E330BB">
            <w:pPr>
              <w:spacing w:before="0" w:after="0"/>
              <w:jc w:val="center"/>
              <w:rPr>
                <w:rFonts w:eastAsia="Times New Roman"/>
                <w:color w:val="000000"/>
                <w:sz w:val="18"/>
                <w:szCs w:val="18"/>
              </w:rPr>
            </w:pPr>
            <w:r>
              <w:rPr>
                <w:rFonts w:eastAsia="Times New Roman"/>
                <w:color w:val="000000"/>
                <w:sz w:val="18"/>
                <w:szCs w:val="18"/>
              </w:rPr>
              <w:t>Not reported</w:t>
            </w:r>
          </w:p>
        </w:tc>
      </w:tr>
      <w:tr w:rsidR="00872109" w:rsidRPr="0077524C" w:rsidTr="001D7AE5">
        <w:trPr>
          <w:trHeight w:val="1533"/>
        </w:trPr>
        <w:tc>
          <w:tcPr>
            <w:tcW w:w="2261" w:type="dxa"/>
            <w:shd w:val="clear" w:color="auto" w:fill="auto"/>
            <w:noWrap/>
            <w:vAlign w:val="center"/>
            <w:hideMark/>
          </w:tcPr>
          <w:p w:rsidR="00872109" w:rsidRDefault="00872109" w:rsidP="00E330BB">
            <w:pPr>
              <w:spacing w:before="0" w:after="0"/>
              <w:jc w:val="center"/>
              <w:rPr>
                <w:rFonts w:eastAsia="Times New Roman"/>
                <w:color w:val="000000"/>
                <w:sz w:val="18"/>
                <w:szCs w:val="18"/>
              </w:rPr>
            </w:pPr>
            <w:r>
              <w:rPr>
                <w:rFonts w:eastAsia="Times New Roman"/>
                <w:color w:val="000000"/>
                <w:sz w:val="18"/>
                <w:szCs w:val="18"/>
              </w:rPr>
              <w:t>Demirer 2019</w:t>
            </w:r>
          </w:p>
        </w:tc>
        <w:tc>
          <w:tcPr>
            <w:tcW w:w="1091" w:type="dxa"/>
            <w:shd w:val="clear" w:color="auto" w:fill="auto"/>
            <w:noWrap/>
            <w:vAlign w:val="center"/>
            <w:hideMark/>
          </w:tcPr>
          <w:p w:rsidR="00872109" w:rsidRDefault="00872109" w:rsidP="00E330BB">
            <w:pPr>
              <w:spacing w:before="0" w:after="0"/>
              <w:jc w:val="center"/>
              <w:rPr>
                <w:rFonts w:eastAsia="Times New Roman"/>
                <w:color w:val="000000"/>
                <w:sz w:val="18"/>
                <w:szCs w:val="18"/>
              </w:rPr>
            </w:pPr>
            <w:r>
              <w:rPr>
                <w:rFonts w:eastAsia="Times New Roman"/>
                <w:color w:val="000000"/>
                <w:sz w:val="18"/>
                <w:szCs w:val="18"/>
              </w:rPr>
              <w:t>LOPE</w:t>
            </w:r>
          </w:p>
        </w:tc>
        <w:tc>
          <w:tcPr>
            <w:tcW w:w="4098" w:type="dxa"/>
            <w:shd w:val="clear" w:color="auto" w:fill="auto"/>
            <w:vAlign w:val="center"/>
            <w:hideMark/>
          </w:tcPr>
          <w:p w:rsidR="00872109" w:rsidRPr="00872109" w:rsidRDefault="00E33D6E" w:rsidP="00E330BB">
            <w:pPr>
              <w:spacing w:before="0" w:after="0"/>
              <w:jc w:val="center"/>
              <w:rPr>
                <w:rFonts w:eastAsia="Times New Roman" w:cs="Times New Roman"/>
                <w:color w:val="000000"/>
                <w:sz w:val="18"/>
                <w:szCs w:val="18"/>
              </w:rPr>
            </w:pPr>
            <w:r w:rsidRPr="00E33D6E">
              <w:rPr>
                <w:rFonts w:cs="Times New Roman"/>
                <w:sz w:val="18"/>
                <w:szCs w:val="18"/>
                <w:lang w:val="en-GB"/>
              </w:rPr>
              <w:t>Preeclampsia occurring at less than 34 weeks of gestation</w:t>
            </w:r>
          </w:p>
        </w:tc>
        <w:tc>
          <w:tcPr>
            <w:tcW w:w="1134" w:type="dxa"/>
            <w:vAlign w:val="center"/>
          </w:tcPr>
          <w:p w:rsidR="00872109" w:rsidRDefault="00872109" w:rsidP="00E330BB">
            <w:pPr>
              <w:spacing w:before="0" w:after="0"/>
              <w:jc w:val="center"/>
              <w:rPr>
                <w:rFonts w:eastAsia="Times New Roman"/>
                <w:color w:val="000000"/>
                <w:sz w:val="18"/>
                <w:szCs w:val="18"/>
              </w:rPr>
            </w:pPr>
            <w:r>
              <w:rPr>
                <w:rFonts w:eastAsia="Times New Roman"/>
                <w:color w:val="000000"/>
                <w:sz w:val="18"/>
                <w:szCs w:val="18"/>
              </w:rPr>
              <w:t>EOPE</w:t>
            </w:r>
          </w:p>
        </w:tc>
        <w:tc>
          <w:tcPr>
            <w:tcW w:w="4137" w:type="dxa"/>
            <w:vAlign w:val="center"/>
          </w:tcPr>
          <w:p w:rsidR="00872109" w:rsidRPr="00872109" w:rsidRDefault="00E33D6E" w:rsidP="00E330BB">
            <w:pPr>
              <w:spacing w:before="0" w:after="0"/>
              <w:jc w:val="center"/>
              <w:rPr>
                <w:rFonts w:eastAsia="Times New Roman" w:cs="Times New Roman"/>
                <w:color w:val="000000"/>
                <w:sz w:val="18"/>
                <w:szCs w:val="18"/>
              </w:rPr>
            </w:pPr>
            <w:r w:rsidRPr="00E33D6E">
              <w:rPr>
                <w:rFonts w:cs="Times New Roman"/>
                <w:sz w:val="18"/>
                <w:szCs w:val="18"/>
                <w:lang w:val="en-GB"/>
              </w:rPr>
              <w:t>PE that occurred at 34 weeks</w:t>
            </w:r>
          </w:p>
        </w:tc>
      </w:tr>
      <w:tr w:rsidR="007645FD" w:rsidRPr="0077524C" w:rsidTr="001D7AE5">
        <w:trPr>
          <w:trHeight w:val="1533"/>
        </w:trPr>
        <w:tc>
          <w:tcPr>
            <w:tcW w:w="2261" w:type="dxa"/>
            <w:shd w:val="clear" w:color="auto" w:fill="auto"/>
            <w:noWrap/>
            <w:vAlign w:val="center"/>
            <w:hideMark/>
          </w:tcPr>
          <w:p w:rsidR="007645FD" w:rsidRDefault="007645FD" w:rsidP="00E330BB">
            <w:pPr>
              <w:spacing w:before="0" w:after="0"/>
              <w:jc w:val="center"/>
              <w:rPr>
                <w:rFonts w:eastAsia="Times New Roman"/>
                <w:color w:val="000000"/>
                <w:sz w:val="18"/>
                <w:szCs w:val="18"/>
              </w:rPr>
            </w:pPr>
            <w:r>
              <w:rPr>
                <w:rFonts w:eastAsia="Times New Roman"/>
                <w:color w:val="000000"/>
                <w:sz w:val="18"/>
                <w:szCs w:val="18"/>
              </w:rPr>
              <w:t>Dong 2019</w:t>
            </w:r>
          </w:p>
        </w:tc>
        <w:tc>
          <w:tcPr>
            <w:tcW w:w="1091" w:type="dxa"/>
            <w:shd w:val="clear" w:color="auto" w:fill="auto"/>
            <w:noWrap/>
            <w:vAlign w:val="center"/>
            <w:hideMark/>
          </w:tcPr>
          <w:p w:rsidR="007645FD" w:rsidRDefault="007645FD" w:rsidP="00E330BB">
            <w:pPr>
              <w:spacing w:before="0" w:after="0"/>
              <w:jc w:val="center"/>
              <w:rPr>
                <w:rFonts w:eastAsia="Times New Roman"/>
                <w:color w:val="000000"/>
                <w:sz w:val="18"/>
                <w:szCs w:val="18"/>
              </w:rPr>
            </w:pPr>
            <w:r>
              <w:rPr>
                <w:rFonts w:eastAsia="Times New Roman"/>
                <w:color w:val="000000"/>
                <w:sz w:val="18"/>
                <w:szCs w:val="18"/>
              </w:rPr>
              <w:t>LOPE</w:t>
            </w:r>
          </w:p>
        </w:tc>
        <w:tc>
          <w:tcPr>
            <w:tcW w:w="4098" w:type="dxa"/>
            <w:shd w:val="clear" w:color="auto" w:fill="auto"/>
            <w:vAlign w:val="center"/>
            <w:hideMark/>
          </w:tcPr>
          <w:p w:rsidR="007645FD" w:rsidRPr="00872109" w:rsidRDefault="007645FD" w:rsidP="00E330BB">
            <w:pPr>
              <w:spacing w:before="0" w:after="0"/>
              <w:jc w:val="center"/>
              <w:rPr>
                <w:rFonts w:cs="Times New Roman"/>
                <w:sz w:val="18"/>
                <w:szCs w:val="18"/>
                <w:lang w:val="en-GB"/>
              </w:rPr>
            </w:pPr>
            <w:r>
              <w:rPr>
                <w:rFonts w:cs="Times New Roman"/>
                <w:sz w:val="18"/>
                <w:szCs w:val="18"/>
                <w:lang w:val="en-GB"/>
              </w:rPr>
              <w:t>Not reported</w:t>
            </w:r>
          </w:p>
        </w:tc>
        <w:tc>
          <w:tcPr>
            <w:tcW w:w="1134" w:type="dxa"/>
            <w:vAlign w:val="center"/>
          </w:tcPr>
          <w:p w:rsidR="007645FD" w:rsidRDefault="007645FD" w:rsidP="00E330BB">
            <w:pPr>
              <w:spacing w:before="0" w:after="0"/>
              <w:jc w:val="center"/>
              <w:rPr>
                <w:rFonts w:eastAsia="Times New Roman"/>
                <w:color w:val="000000"/>
                <w:sz w:val="18"/>
                <w:szCs w:val="18"/>
              </w:rPr>
            </w:pPr>
            <w:r>
              <w:rPr>
                <w:rFonts w:eastAsia="Times New Roman"/>
                <w:color w:val="000000"/>
                <w:sz w:val="18"/>
                <w:szCs w:val="18"/>
              </w:rPr>
              <w:t>EOPE</w:t>
            </w:r>
          </w:p>
        </w:tc>
        <w:tc>
          <w:tcPr>
            <w:tcW w:w="4137" w:type="dxa"/>
            <w:vAlign w:val="center"/>
          </w:tcPr>
          <w:p w:rsidR="007645FD" w:rsidRPr="00872109" w:rsidRDefault="007645FD" w:rsidP="00E330BB">
            <w:pPr>
              <w:spacing w:before="0" w:after="0"/>
              <w:jc w:val="center"/>
              <w:rPr>
                <w:rFonts w:cs="Times New Roman"/>
                <w:sz w:val="18"/>
                <w:szCs w:val="18"/>
                <w:lang w:val="en-GB"/>
              </w:rPr>
            </w:pPr>
            <w:r>
              <w:rPr>
                <w:rFonts w:cs="Times New Roman"/>
                <w:sz w:val="18"/>
                <w:szCs w:val="18"/>
                <w:lang w:val="en-GB"/>
              </w:rPr>
              <w:t>Not reported</w:t>
            </w:r>
          </w:p>
        </w:tc>
      </w:tr>
      <w:tr w:rsidR="00984F44" w:rsidRPr="0077524C" w:rsidTr="001D7AE5">
        <w:trPr>
          <w:trHeight w:val="1533"/>
        </w:trPr>
        <w:tc>
          <w:tcPr>
            <w:tcW w:w="2261" w:type="dxa"/>
            <w:shd w:val="clear" w:color="auto" w:fill="auto"/>
            <w:noWrap/>
            <w:vAlign w:val="center"/>
            <w:hideMark/>
          </w:tcPr>
          <w:p w:rsidR="00984F44" w:rsidRDefault="00984F44" w:rsidP="00E330BB">
            <w:pPr>
              <w:spacing w:before="0" w:after="0"/>
              <w:jc w:val="center"/>
              <w:rPr>
                <w:rFonts w:eastAsia="Times New Roman"/>
                <w:color w:val="000000"/>
                <w:sz w:val="18"/>
                <w:szCs w:val="18"/>
              </w:rPr>
            </w:pPr>
            <w:r>
              <w:rPr>
                <w:rFonts w:eastAsia="Times New Roman"/>
                <w:color w:val="000000"/>
                <w:sz w:val="18"/>
                <w:szCs w:val="18"/>
              </w:rPr>
              <w:lastRenderedPageBreak/>
              <w:t>Lip 2019</w:t>
            </w:r>
          </w:p>
        </w:tc>
        <w:tc>
          <w:tcPr>
            <w:tcW w:w="1091" w:type="dxa"/>
            <w:shd w:val="clear" w:color="auto" w:fill="auto"/>
            <w:noWrap/>
            <w:vAlign w:val="center"/>
            <w:hideMark/>
          </w:tcPr>
          <w:p w:rsidR="00984F44" w:rsidRDefault="00984F44" w:rsidP="00E330BB">
            <w:pPr>
              <w:spacing w:before="0" w:after="0"/>
              <w:jc w:val="center"/>
              <w:rPr>
                <w:rFonts w:eastAsia="Times New Roman"/>
                <w:color w:val="000000"/>
                <w:sz w:val="18"/>
                <w:szCs w:val="18"/>
              </w:rPr>
            </w:pPr>
            <w:r>
              <w:rPr>
                <w:rFonts w:eastAsia="Times New Roman"/>
                <w:color w:val="000000"/>
                <w:sz w:val="18"/>
                <w:szCs w:val="18"/>
              </w:rPr>
              <w:t>/</w:t>
            </w:r>
          </w:p>
        </w:tc>
        <w:tc>
          <w:tcPr>
            <w:tcW w:w="4098" w:type="dxa"/>
            <w:shd w:val="clear" w:color="auto" w:fill="auto"/>
            <w:vAlign w:val="center"/>
            <w:hideMark/>
          </w:tcPr>
          <w:p w:rsidR="00984F44" w:rsidRDefault="00984F44" w:rsidP="00E330BB">
            <w:pPr>
              <w:spacing w:before="0" w:after="0"/>
              <w:jc w:val="center"/>
              <w:rPr>
                <w:rFonts w:cs="Times New Roman"/>
                <w:sz w:val="18"/>
                <w:szCs w:val="18"/>
                <w:lang w:val="en-GB"/>
              </w:rPr>
            </w:pPr>
            <w:r>
              <w:rPr>
                <w:rFonts w:cs="Times New Roman"/>
                <w:sz w:val="18"/>
                <w:szCs w:val="18"/>
                <w:lang w:val="en-GB"/>
              </w:rPr>
              <w:t>/</w:t>
            </w:r>
          </w:p>
        </w:tc>
        <w:tc>
          <w:tcPr>
            <w:tcW w:w="1134" w:type="dxa"/>
            <w:vAlign w:val="center"/>
          </w:tcPr>
          <w:p w:rsidR="00984F44" w:rsidRDefault="00984F44" w:rsidP="00E330BB">
            <w:pPr>
              <w:spacing w:before="0" w:after="0"/>
              <w:jc w:val="center"/>
              <w:rPr>
                <w:rFonts w:eastAsia="Times New Roman"/>
                <w:color w:val="000000"/>
                <w:sz w:val="18"/>
                <w:szCs w:val="18"/>
              </w:rPr>
            </w:pPr>
            <w:r>
              <w:rPr>
                <w:rFonts w:eastAsia="Times New Roman"/>
                <w:color w:val="000000"/>
                <w:sz w:val="18"/>
                <w:szCs w:val="18"/>
              </w:rPr>
              <w:t>EOPE</w:t>
            </w:r>
          </w:p>
        </w:tc>
        <w:tc>
          <w:tcPr>
            <w:tcW w:w="4137" w:type="dxa"/>
            <w:vAlign w:val="center"/>
          </w:tcPr>
          <w:p w:rsidR="00984F44" w:rsidRDefault="00984F44" w:rsidP="00E330BB">
            <w:pPr>
              <w:spacing w:before="0" w:after="0"/>
              <w:jc w:val="center"/>
              <w:rPr>
                <w:rFonts w:cs="Times New Roman"/>
                <w:sz w:val="18"/>
                <w:szCs w:val="18"/>
                <w:lang w:val="en-GB"/>
              </w:rPr>
            </w:pPr>
            <w:r>
              <w:rPr>
                <w:rFonts w:cs="Times New Roman"/>
                <w:sz w:val="18"/>
                <w:szCs w:val="18"/>
                <w:lang w:val="en-GB"/>
              </w:rPr>
              <w:t>Women delivered before 34 GW</w:t>
            </w:r>
          </w:p>
        </w:tc>
      </w:tr>
      <w:tr w:rsidR="0062248F" w:rsidRPr="0077524C" w:rsidTr="001D7AE5">
        <w:trPr>
          <w:trHeight w:val="1533"/>
        </w:trPr>
        <w:tc>
          <w:tcPr>
            <w:tcW w:w="2261" w:type="dxa"/>
            <w:shd w:val="clear" w:color="auto" w:fill="auto"/>
            <w:noWrap/>
            <w:vAlign w:val="center"/>
            <w:hideMark/>
          </w:tcPr>
          <w:p w:rsidR="0062248F" w:rsidRDefault="0062248F" w:rsidP="00E330BB">
            <w:pPr>
              <w:spacing w:before="0" w:after="0"/>
              <w:jc w:val="center"/>
              <w:rPr>
                <w:rFonts w:eastAsia="Times New Roman"/>
                <w:color w:val="000000"/>
                <w:sz w:val="18"/>
                <w:szCs w:val="18"/>
              </w:rPr>
            </w:pPr>
            <w:r>
              <w:rPr>
                <w:rFonts w:eastAsia="Times New Roman"/>
                <w:color w:val="000000"/>
                <w:sz w:val="18"/>
                <w:szCs w:val="18"/>
              </w:rPr>
              <w:t>Devor 2020</w:t>
            </w:r>
          </w:p>
        </w:tc>
        <w:tc>
          <w:tcPr>
            <w:tcW w:w="1091" w:type="dxa"/>
            <w:shd w:val="clear" w:color="auto" w:fill="auto"/>
            <w:noWrap/>
            <w:vAlign w:val="center"/>
            <w:hideMark/>
          </w:tcPr>
          <w:p w:rsidR="0062248F" w:rsidRDefault="0062248F" w:rsidP="00E330BB">
            <w:pPr>
              <w:spacing w:before="0" w:after="0"/>
              <w:jc w:val="center"/>
              <w:rPr>
                <w:rFonts w:eastAsia="Times New Roman"/>
                <w:color w:val="000000"/>
                <w:sz w:val="18"/>
                <w:szCs w:val="18"/>
              </w:rPr>
            </w:pPr>
            <w:r>
              <w:rPr>
                <w:rFonts w:eastAsia="Times New Roman"/>
                <w:color w:val="000000"/>
                <w:sz w:val="18"/>
                <w:szCs w:val="18"/>
              </w:rPr>
              <w:t>LOPE</w:t>
            </w:r>
          </w:p>
        </w:tc>
        <w:tc>
          <w:tcPr>
            <w:tcW w:w="4098" w:type="dxa"/>
            <w:shd w:val="clear" w:color="auto" w:fill="auto"/>
            <w:vAlign w:val="center"/>
            <w:hideMark/>
          </w:tcPr>
          <w:p w:rsidR="0062248F" w:rsidRDefault="0062248F" w:rsidP="00E330BB">
            <w:pPr>
              <w:spacing w:before="0" w:after="0"/>
              <w:jc w:val="center"/>
              <w:rPr>
                <w:rFonts w:cs="Times New Roman"/>
                <w:sz w:val="18"/>
                <w:szCs w:val="18"/>
                <w:lang w:val="en-GB"/>
              </w:rPr>
            </w:pPr>
            <w:r>
              <w:rPr>
                <w:rFonts w:cs="Times New Roman"/>
                <w:sz w:val="18"/>
                <w:szCs w:val="18"/>
                <w:lang w:val="en-GB"/>
              </w:rPr>
              <w:t>PE diagnosed after 34 GW</w:t>
            </w:r>
          </w:p>
        </w:tc>
        <w:tc>
          <w:tcPr>
            <w:tcW w:w="1134" w:type="dxa"/>
            <w:vAlign w:val="center"/>
          </w:tcPr>
          <w:p w:rsidR="0062248F" w:rsidRDefault="0062248F" w:rsidP="00E330BB">
            <w:pPr>
              <w:spacing w:before="0" w:after="0"/>
              <w:jc w:val="center"/>
              <w:rPr>
                <w:rFonts w:eastAsia="Times New Roman"/>
                <w:color w:val="000000"/>
                <w:sz w:val="18"/>
                <w:szCs w:val="18"/>
              </w:rPr>
            </w:pPr>
            <w:r>
              <w:rPr>
                <w:rFonts w:eastAsia="Times New Roman"/>
                <w:color w:val="000000"/>
                <w:sz w:val="18"/>
                <w:szCs w:val="18"/>
              </w:rPr>
              <w:t>/</w:t>
            </w:r>
          </w:p>
        </w:tc>
        <w:tc>
          <w:tcPr>
            <w:tcW w:w="4137" w:type="dxa"/>
            <w:vAlign w:val="center"/>
          </w:tcPr>
          <w:p w:rsidR="0062248F" w:rsidRDefault="0062248F" w:rsidP="00E330BB">
            <w:pPr>
              <w:spacing w:before="0" w:after="0"/>
              <w:jc w:val="center"/>
              <w:rPr>
                <w:rFonts w:cs="Times New Roman"/>
                <w:sz w:val="18"/>
                <w:szCs w:val="18"/>
                <w:lang w:val="en-GB"/>
              </w:rPr>
            </w:pPr>
            <w:r>
              <w:rPr>
                <w:rFonts w:cs="Times New Roman"/>
                <w:sz w:val="18"/>
                <w:szCs w:val="18"/>
                <w:lang w:val="en-GB"/>
              </w:rPr>
              <w:t>/</w:t>
            </w:r>
          </w:p>
        </w:tc>
      </w:tr>
      <w:tr w:rsidR="0094243D" w:rsidRPr="0077524C" w:rsidTr="001D7AE5">
        <w:trPr>
          <w:trHeight w:val="1533"/>
        </w:trPr>
        <w:tc>
          <w:tcPr>
            <w:tcW w:w="2261" w:type="dxa"/>
            <w:shd w:val="clear" w:color="auto" w:fill="auto"/>
            <w:noWrap/>
            <w:vAlign w:val="center"/>
            <w:hideMark/>
          </w:tcPr>
          <w:p w:rsidR="0094243D" w:rsidRDefault="0094243D" w:rsidP="00E330BB">
            <w:pPr>
              <w:spacing w:before="0" w:after="0"/>
              <w:jc w:val="center"/>
              <w:rPr>
                <w:rFonts w:eastAsia="Times New Roman"/>
                <w:color w:val="000000"/>
                <w:sz w:val="18"/>
                <w:szCs w:val="18"/>
              </w:rPr>
            </w:pPr>
            <w:r>
              <w:rPr>
                <w:rFonts w:eastAsia="Times New Roman"/>
                <w:color w:val="000000"/>
                <w:sz w:val="18"/>
                <w:szCs w:val="18"/>
              </w:rPr>
              <w:t>Han 2020</w:t>
            </w:r>
          </w:p>
        </w:tc>
        <w:tc>
          <w:tcPr>
            <w:tcW w:w="1091" w:type="dxa"/>
            <w:shd w:val="clear" w:color="auto" w:fill="auto"/>
            <w:noWrap/>
            <w:vAlign w:val="center"/>
            <w:hideMark/>
          </w:tcPr>
          <w:p w:rsidR="0094243D" w:rsidRDefault="0094243D" w:rsidP="00E330BB">
            <w:pPr>
              <w:spacing w:before="0" w:after="0"/>
              <w:jc w:val="center"/>
              <w:rPr>
                <w:rFonts w:eastAsia="Times New Roman"/>
                <w:color w:val="000000"/>
                <w:sz w:val="18"/>
                <w:szCs w:val="18"/>
              </w:rPr>
            </w:pPr>
            <w:r>
              <w:rPr>
                <w:rFonts w:eastAsia="Times New Roman"/>
                <w:color w:val="000000"/>
                <w:sz w:val="18"/>
                <w:szCs w:val="18"/>
              </w:rPr>
              <w:t>Mild EOPE</w:t>
            </w:r>
          </w:p>
        </w:tc>
        <w:tc>
          <w:tcPr>
            <w:tcW w:w="4098" w:type="dxa"/>
            <w:shd w:val="clear" w:color="auto" w:fill="auto"/>
            <w:vAlign w:val="center"/>
            <w:hideMark/>
          </w:tcPr>
          <w:p w:rsidR="00000000" w:rsidRDefault="00E33D6E">
            <w:pPr>
              <w:autoSpaceDE w:val="0"/>
              <w:autoSpaceDN w:val="0"/>
              <w:adjustRightInd w:val="0"/>
              <w:spacing w:before="0" w:after="0"/>
              <w:jc w:val="center"/>
              <w:rPr>
                <w:rFonts w:cs="Times New Roman"/>
                <w:sz w:val="18"/>
                <w:szCs w:val="18"/>
                <w:lang w:val="en-GB"/>
              </w:rPr>
            </w:pPr>
            <w:r w:rsidRPr="00E33D6E">
              <w:rPr>
                <w:rFonts w:cs="Times New Roman"/>
                <w:sz w:val="18"/>
                <w:szCs w:val="18"/>
              </w:rPr>
              <w:t xml:space="preserve">systolic blood pressure </w:t>
            </w:r>
            <w:r w:rsidRPr="00E33D6E">
              <w:rPr>
                <w:rFonts w:eastAsia="AdvOTe94fe8f8+22" w:cs="Times New Roman"/>
                <w:sz w:val="18"/>
                <w:szCs w:val="18"/>
              </w:rPr>
              <w:t>≥</w:t>
            </w:r>
            <w:r w:rsidRPr="00E33D6E">
              <w:rPr>
                <w:rFonts w:cs="Times New Roman"/>
                <w:sz w:val="18"/>
                <w:szCs w:val="18"/>
              </w:rPr>
              <w:t>140 mmHg</w:t>
            </w:r>
            <w:r w:rsidR="0094243D">
              <w:rPr>
                <w:rFonts w:cs="Times New Roman"/>
                <w:sz w:val="18"/>
                <w:szCs w:val="18"/>
              </w:rPr>
              <w:t xml:space="preserve"> </w:t>
            </w:r>
            <w:r w:rsidRPr="00E33D6E">
              <w:rPr>
                <w:rFonts w:cs="Times New Roman"/>
                <w:sz w:val="18"/>
                <w:szCs w:val="18"/>
              </w:rPr>
              <w:t xml:space="preserve">and/or diastolic blood pressure </w:t>
            </w:r>
            <w:r w:rsidRPr="00E33D6E">
              <w:rPr>
                <w:rFonts w:eastAsia="AdvOTe94fe8f8+22" w:cs="Times New Roman"/>
                <w:sz w:val="18"/>
                <w:szCs w:val="18"/>
              </w:rPr>
              <w:t>≥</w:t>
            </w:r>
            <w:r w:rsidRPr="00E33D6E">
              <w:rPr>
                <w:rFonts w:cs="Times New Roman"/>
                <w:sz w:val="18"/>
                <w:szCs w:val="18"/>
              </w:rPr>
              <w:t>90 mmHg, urine</w:t>
            </w:r>
            <w:r w:rsidR="0094243D">
              <w:rPr>
                <w:rFonts w:cs="Times New Roman"/>
                <w:sz w:val="18"/>
                <w:szCs w:val="18"/>
              </w:rPr>
              <w:t xml:space="preserve"> </w:t>
            </w:r>
            <w:r w:rsidRPr="00E33D6E">
              <w:rPr>
                <w:rFonts w:cs="Times New Roman"/>
                <w:sz w:val="18"/>
                <w:szCs w:val="18"/>
              </w:rPr>
              <w:t xml:space="preserve">protein </w:t>
            </w:r>
            <w:r w:rsidRPr="00E33D6E">
              <w:rPr>
                <w:rFonts w:eastAsia="AdvOTe94fe8f8+22" w:cs="Times New Roman"/>
                <w:sz w:val="18"/>
                <w:szCs w:val="18"/>
              </w:rPr>
              <w:t>≥</w:t>
            </w:r>
            <w:r w:rsidRPr="00E33D6E">
              <w:rPr>
                <w:rFonts w:cs="Times New Roman"/>
                <w:sz w:val="18"/>
                <w:szCs w:val="18"/>
              </w:rPr>
              <w:t xml:space="preserve">0.3 g/24 h or urine protein </w:t>
            </w:r>
            <w:r w:rsidRPr="00E33D6E">
              <w:rPr>
                <w:rFonts w:eastAsia="AdvOTe94fe8f8+22" w:cs="Times New Roman"/>
                <w:sz w:val="18"/>
                <w:szCs w:val="18"/>
              </w:rPr>
              <w:t>≥.</w:t>
            </w:r>
            <w:r w:rsidRPr="00E33D6E">
              <w:rPr>
                <w:rFonts w:cs="Times New Roman"/>
                <w:sz w:val="18"/>
                <w:szCs w:val="18"/>
              </w:rPr>
              <w:t>(+) before</w:t>
            </w:r>
            <w:r w:rsidR="0094243D">
              <w:rPr>
                <w:rFonts w:cs="Times New Roman"/>
                <w:sz w:val="18"/>
                <w:szCs w:val="18"/>
              </w:rPr>
              <w:t xml:space="preserve"> </w:t>
            </w:r>
            <w:r w:rsidRPr="00E33D6E">
              <w:rPr>
                <w:rFonts w:cs="Times New Roman"/>
                <w:sz w:val="18"/>
                <w:szCs w:val="18"/>
              </w:rPr>
              <w:t>34 weeks of pregnancy</w:t>
            </w:r>
          </w:p>
        </w:tc>
        <w:tc>
          <w:tcPr>
            <w:tcW w:w="1134" w:type="dxa"/>
            <w:vAlign w:val="center"/>
          </w:tcPr>
          <w:p w:rsidR="0094243D" w:rsidRDefault="0094243D" w:rsidP="00E330BB">
            <w:pPr>
              <w:spacing w:before="0" w:after="0"/>
              <w:jc w:val="center"/>
              <w:rPr>
                <w:rFonts w:eastAsia="Times New Roman"/>
                <w:color w:val="000000"/>
                <w:sz w:val="18"/>
                <w:szCs w:val="18"/>
              </w:rPr>
            </w:pPr>
            <w:r>
              <w:rPr>
                <w:rFonts w:eastAsia="Times New Roman"/>
                <w:color w:val="000000"/>
                <w:sz w:val="18"/>
                <w:szCs w:val="18"/>
              </w:rPr>
              <w:t>Severe EOPE</w:t>
            </w:r>
          </w:p>
        </w:tc>
        <w:tc>
          <w:tcPr>
            <w:tcW w:w="4137" w:type="dxa"/>
            <w:vAlign w:val="center"/>
          </w:tcPr>
          <w:p w:rsidR="00000000" w:rsidRDefault="00E33D6E">
            <w:pPr>
              <w:autoSpaceDE w:val="0"/>
              <w:autoSpaceDN w:val="0"/>
              <w:adjustRightInd w:val="0"/>
              <w:spacing w:before="0" w:after="0"/>
              <w:jc w:val="center"/>
              <w:rPr>
                <w:rFonts w:cs="Times New Roman"/>
                <w:sz w:val="18"/>
                <w:szCs w:val="18"/>
              </w:rPr>
            </w:pPr>
            <w:r w:rsidRPr="00E33D6E">
              <w:rPr>
                <w:rFonts w:cs="Times New Roman"/>
                <w:sz w:val="18"/>
                <w:szCs w:val="18"/>
              </w:rPr>
              <w:t xml:space="preserve">hypertension and proteinuria after 20 weeks of pregnancy, accompanied by at least one of the following clinical signs: 1. Systolic blood pressure </w:t>
            </w:r>
            <w:r w:rsidRPr="00E33D6E">
              <w:rPr>
                <w:rFonts w:eastAsia="AdvOTe94fe8f8+22" w:cs="Times New Roman"/>
                <w:sz w:val="18"/>
                <w:szCs w:val="18"/>
              </w:rPr>
              <w:t>≥</w:t>
            </w:r>
            <w:r w:rsidRPr="00E33D6E">
              <w:rPr>
                <w:rFonts w:cs="Times New Roman"/>
                <w:sz w:val="18"/>
                <w:szCs w:val="18"/>
              </w:rPr>
              <w:t xml:space="preserve">160–180 mmHg or diastolic blood pressure </w:t>
            </w:r>
            <w:r w:rsidRPr="00E33D6E">
              <w:rPr>
                <w:rFonts w:eastAsia="AdvOTe94fe8f8+22" w:cs="Times New Roman"/>
                <w:sz w:val="18"/>
                <w:szCs w:val="18"/>
              </w:rPr>
              <w:t>≥</w:t>
            </w:r>
            <w:r w:rsidRPr="00E33D6E">
              <w:rPr>
                <w:rFonts w:cs="Times New Roman"/>
                <w:sz w:val="18"/>
                <w:szCs w:val="18"/>
              </w:rPr>
              <w:t xml:space="preserve">110 mmHg; 2. urinary protein </w:t>
            </w:r>
            <w:r w:rsidRPr="00E33D6E">
              <w:rPr>
                <w:rFonts w:eastAsia="AdvOTe94fe8f8+22" w:cs="Times New Roman"/>
                <w:sz w:val="18"/>
                <w:szCs w:val="18"/>
              </w:rPr>
              <w:t>≥</w:t>
            </w:r>
            <w:r w:rsidRPr="00E33D6E">
              <w:rPr>
                <w:rFonts w:cs="Times New Roman"/>
                <w:sz w:val="18"/>
                <w:szCs w:val="18"/>
              </w:rPr>
              <w:t xml:space="preserve">5 g/24 h or random urine protein </w:t>
            </w:r>
            <w:r w:rsidRPr="00E33D6E">
              <w:rPr>
                <w:rFonts w:eastAsia="AdvOTe94fe8f8+22" w:cs="Times New Roman"/>
                <w:sz w:val="18"/>
                <w:szCs w:val="18"/>
              </w:rPr>
              <w:t>≥r</w:t>
            </w:r>
            <w:r w:rsidRPr="00E33D6E">
              <w:rPr>
                <w:rFonts w:cs="Times New Roman"/>
                <w:sz w:val="18"/>
                <w:szCs w:val="18"/>
              </w:rPr>
              <w:t>(+++); 3. central nervous system dysfunction, mental state changes and severe headache and cerebrovascular accident; 4. blurred vision, spotted hemorrhage; 5. liver dysfunction transaminase increased at least twice; 6. renal dysfunction with oliguria; 7. thrombocytopenia; 8. Subhepatic hemorrhage or liver rupture; 9. coagulopathy; and 10. microvascular hemolysis</w:t>
            </w:r>
          </w:p>
          <w:p w:rsidR="00000000" w:rsidRDefault="00E33D6E">
            <w:pPr>
              <w:autoSpaceDE w:val="0"/>
              <w:autoSpaceDN w:val="0"/>
              <w:adjustRightInd w:val="0"/>
              <w:spacing w:before="0" w:after="0"/>
              <w:jc w:val="center"/>
              <w:rPr>
                <w:rFonts w:cs="Times New Roman"/>
                <w:sz w:val="18"/>
                <w:szCs w:val="18"/>
                <w:lang w:val="en-GB"/>
              </w:rPr>
            </w:pPr>
            <w:r w:rsidRPr="00E33D6E">
              <w:rPr>
                <w:rFonts w:cs="Times New Roman"/>
                <w:sz w:val="18"/>
                <w:szCs w:val="18"/>
              </w:rPr>
              <w:t>combining fetal growth restriction, oligohydramnios and placental abruption.</w:t>
            </w:r>
          </w:p>
        </w:tc>
      </w:tr>
      <w:tr w:rsidR="008E504E" w:rsidRPr="0077524C" w:rsidTr="001D7AE5">
        <w:trPr>
          <w:trHeight w:val="1533"/>
        </w:trPr>
        <w:tc>
          <w:tcPr>
            <w:tcW w:w="2261" w:type="dxa"/>
            <w:shd w:val="clear" w:color="auto" w:fill="auto"/>
            <w:noWrap/>
            <w:vAlign w:val="center"/>
            <w:hideMark/>
          </w:tcPr>
          <w:p w:rsidR="008E504E" w:rsidRDefault="008E504E" w:rsidP="00E330BB">
            <w:pPr>
              <w:spacing w:before="0" w:after="0"/>
              <w:jc w:val="center"/>
              <w:rPr>
                <w:rFonts w:eastAsia="Times New Roman"/>
                <w:color w:val="000000"/>
                <w:sz w:val="18"/>
                <w:szCs w:val="18"/>
              </w:rPr>
            </w:pPr>
            <w:r>
              <w:rPr>
                <w:rFonts w:eastAsia="Times New Roman"/>
                <w:color w:val="000000"/>
                <w:sz w:val="18"/>
                <w:szCs w:val="18"/>
              </w:rPr>
              <w:t>Huang 2020</w:t>
            </w:r>
          </w:p>
        </w:tc>
        <w:tc>
          <w:tcPr>
            <w:tcW w:w="1091" w:type="dxa"/>
            <w:shd w:val="clear" w:color="auto" w:fill="auto"/>
            <w:noWrap/>
            <w:vAlign w:val="center"/>
            <w:hideMark/>
          </w:tcPr>
          <w:p w:rsidR="008E504E" w:rsidRDefault="008E504E" w:rsidP="00E330BB">
            <w:pPr>
              <w:spacing w:before="0" w:after="0"/>
              <w:jc w:val="center"/>
              <w:rPr>
                <w:rFonts w:eastAsia="Times New Roman"/>
                <w:color w:val="000000"/>
                <w:sz w:val="18"/>
                <w:szCs w:val="18"/>
              </w:rPr>
            </w:pPr>
            <w:r>
              <w:rPr>
                <w:rFonts w:eastAsia="Times New Roman"/>
                <w:color w:val="000000"/>
                <w:sz w:val="18"/>
                <w:szCs w:val="18"/>
              </w:rPr>
              <w:t>/</w:t>
            </w:r>
          </w:p>
        </w:tc>
        <w:tc>
          <w:tcPr>
            <w:tcW w:w="4098" w:type="dxa"/>
            <w:shd w:val="clear" w:color="auto" w:fill="auto"/>
            <w:vAlign w:val="center"/>
            <w:hideMark/>
          </w:tcPr>
          <w:p w:rsidR="008E504E" w:rsidRPr="0094243D" w:rsidRDefault="008E504E" w:rsidP="0094243D">
            <w:pPr>
              <w:autoSpaceDE w:val="0"/>
              <w:autoSpaceDN w:val="0"/>
              <w:adjustRightInd w:val="0"/>
              <w:spacing w:before="0" w:after="0"/>
              <w:jc w:val="center"/>
              <w:rPr>
                <w:rFonts w:cs="Times New Roman"/>
                <w:sz w:val="18"/>
                <w:szCs w:val="18"/>
              </w:rPr>
            </w:pPr>
            <w:r>
              <w:rPr>
                <w:rFonts w:cs="Times New Roman"/>
                <w:sz w:val="18"/>
                <w:szCs w:val="18"/>
              </w:rPr>
              <w:t>/</w:t>
            </w:r>
          </w:p>
        </w:tc>
        <w:tc>
          <w:tcPr>
            <w:tcW w:w="1134" w:type="dxa"/>
            <w:vAlign w:val="center"/>
          </w:tcPr>
          <w:p w:rsidR="008E504E" w:rsidRDefault="008E504E" w:rsidP="00E330BB">
            <w:pPr>
              <w:spacing w:before="0" w:after="0"/>
              <w:jc w:val="center"/>
              <w:rPr>
                <w:rFonts w:eastAsia="Times New Roman"/>
                <w:color w:val="000000"/>
                <w:sz w:val="18"/>
                <w:szCs w:val="18"/>
              </w:rPr>
            </w:pPr>
            <w:r>
              <w:rPr>
                <w:rFonts w:eastAsia="Times New Roman"/>
                <w:color w:val="000000"/>
                <w:sz w:val="18"/>
                <w:szCs w:val="18"/>
              </w:rPr>
              <w:t>sPE</w:t>
            </w:r>
          </w:p>
        </w:tc>
        <w:tc>
          <w:tcPr>
            <w:tcW w:w="4137" w:type="dxa"/>
            <w:vAlign w:val="center"/>
          </w:tcPr>
          <w:p w:rsidR="008E504E" w:rsidRPr="0094243D" w:rsidRDefault="008E504E" w:rsidP="0094243D">
            <w:pPr>
              <w:autoSpaceDE w:val="0"/>
              <w:autoSpaceDN w:val="0"/>
              <w:adjustRightInd w:val="0"/>
              <w:spacing w:before="0" w:after="0"/>
              <w:jc w:val="center"/>
              <w:rPr>
                <w:rFonts w:cs="Times New Roman"/>
                <w:sz w:val="18"/>
                <w:szCs w:val="18"/>
              </w:rPr>
            </w:pPr>
            <w:r>
              <w:rPr>
                <w:rFonts w:cs="Times New Roman"/>
                <w:sz w:val="18"/>
                <w:szCs w:val="18"/>
              </w:rPr>
              <w:t xml:space="preserve">According to the </w:t>
            </w:r>
            <w:r>
              <w:rPr>
                <w:sz w:val="16"/>
                <w:szCs w:val="16"/>
              </w:rPr>
              <w:t>International Association for Pregnancy and Hypertension Research (ISSHP) criteria, the patient</w:t>
            </w:r>
            <w:r>
              <w:rPr>
                <w:rFonts w:ascii="STIX" w:hAnsi="STIX" w:cs="STIX"/>
                <w:sz w:val="16"/>
                <w:szCs w:val="16"/>
              </w:rPr>
              <w:t>’</w:t>
            </w:r>
            <w:r>
              <w:rPr>
                <w:sz w:val="16"/>
                <w:szCs w:val="16"/>
              </w:rPr>
              <w:t>s PE status is considered severe</w:t>
            </w:r>
          </w:p>
        </w:tc>
      </w:tr>
      <w:tr w:rsidR="00EE1D86" w:rsidRPr="0077524C" w:rsidTr="001D7AE5">
        <w:trPr>
          <w:trHeight w:val="1533"/>
        </w:trPr>
        <w:tc>
          <w:tcPr>
            <w:tcW w:w="2261" w:type="dxa"/>
            <w:shd w:val="clear" w:color="auto" w:fill="auto"/>
            <w:noWrap/>
            <w:vAlign w:val="center"/>
            <w:hideMark/>
          </w:tcPr>
          <w:p w:rsidR="00EE1D86" w:rsidRDefault="00EE1D86" w:rsidP="00E330BB">
            <w:pPr>
              <w:spacing w:before="0" w:after="0"/>
              <w:jc w:val="center"/>
              <w:rPr>
                <w:rFonts w:eastAsia="Times New Roman"/>
                <w:color w:val="000000"/>
                <w:sz w:val="18"/>
                <w:szCs w:val="18"/>
              </w:rPr>
            </w:pPr>
            <w:r>
              <w:rPr>
                <w:rFonts w:eastAsia="Times New Roman"/>
                <w:color w:val="000000"/>
                <w:sz w:val="18"/>
                <w:szCs w:val="18"/>
              </w:rPr>
              <w:t>Jelena 2020</w:t>
            </w:r>
          </w:p>
        </w:tc>
        <w:tc>
          <w:tcPr>
            <w:tcW w:w="1091" w:type="dxa"/>
            <w:shd w:val="clear" w:color="auto" w:fill="auto"/>
            <w:noWrap/>
            <w:vAlign w:val="center"/>
            <w:hideMark/>
          </w:tcPr>
          <w:p w:rsidR="00EE1D86" w:rsidRDefault="00EE1D86" w:rsidP="00E330BB">
            <w:pPr>
              <w:spacing w:before="0" w:after="0"/>
              <w:jc w:val="center"/>
              <w:rPr>
                <w:rFonts w:eastAsia="Times New Roman"/>
                <w:color w:val="000000"/>
                <w:sz w:val="18"/>
                <w:szCs w:val="18"/>
              </w:rPr>
            </w:pPr>
            <w:r>
              <w:rPr>
                <w:rFonts w:eastAsia="Times New Roman"/>
                <w:color w:val="000000"/>
                <w:sz w:val="18"/>
                <w:szCs w:val="18"/>
              </w:rPr>
              <w:t>mPE</w:t>
            </w:r>
          </w:p>
          <w:p w:rsidR="00DD3C20" w:rsidRDefault="00DD3C20" w:rsidP="00E330BB">
            <w:pPr>
              <w:spacing w:before="0" w:after="0"/>
              <w:jc w:val="center"/>
              <w:rPr>
                <w:rFonts w:eastAsia="Times New Roman"/>
                <w:color w:val="000000"/>
                <w:sz w:val="18"/>
                <w:szCs w:val="18"/>
              </w:rPr>
            </w:pPr>
            <w:r>
              <w:rPr>
                <w:rFonts w:eastAsia="Times New Roman"/>
                <w:color w:val="000000"/>
                <w:sz w:val="18"/>
                <w:szCs w:val="18"/>
              </w:rPr>
              <w:t>LOPE</w:t>
            </w:r>
          </w:p>
        </w:tc>
        <w:tc>
          <w:tcPr>
            <w:tcW w:w="4098" w:type="dxa"/>
            <w:shd w:val="clear" w:color="auto" w:fill="auto"/>
            <w:vAlign w:val="center"/>
            <w:hideMark/>
          </w:tcPr>
          <w:p w:rsidR="00EE1D86" w:rsidRDefault="00EE1D86" w:rsidP="0094243D">
            <w:pPr>
              <w:autoSpaceDE w:val="0"/>
              <w:autoSpaceDN w:val="0"/>
              <w:adjustRightInd w:val="0"/>
              <w:spacing w:before="0" w:after="0"/>
              <w:jc w:val="center"/>
              <w:rPr>
                <w:rFonts w:cs="Times New Roman"/>
                <w:sz w:val="18"/>
                <w:szCs w:val="18"/>
              </w:rPr>
            </w:pPr>
            <w:r>
              <w:rPr>
                <w:rFonts w:cs="Times New Roman"/>
                <w:sz w:val="18"/>
                <w:szCs w:val="18"/>
              </w:rPr>
              <w:t>Not reported</w:t>
            </w:r>
          </w:p>
          <w:p w:rsidR="00DD3C20" w:rsidRDefault="00DD3C20" w:rsidP="0094243D">
            <w:pPr>
              <w:autoSpaceDE w:val="0"/>
              <w:autoSpaceDN w:val="0"/>
              <w:adjustRightInd w:val="0"/>
              <w:spacing w:before="0" w:after="0"/>
              <w:jc w:val="center"/>
              <w:rPr>
                <w:rFonts w:cs="Times New Roman"/>
                <w:sz w:val="18"/>
                <w:szCs w:val="18"/>
              </w:rPr>
            </w:pPr>
            <w:r>
              <w:rPr>
                <w:rFonts w:cs="Times New Roman"/>
                <w:sz w:val="18"/>
                <w:szCs w:val="18"/>
              </w:rPr>
              <w:t>At or after 34 GW</w:t>
            </w:r>
          </w:p>
        </w:tc>
        <w:tc>
          <w:tcPr>
            <w:tcW w:w="1134" w:type="dxa"/>
            <w:vAlign w:val="center"/>
          </w:tcPr>
          <w:p w:rsidR="00EE1D86" w:rsidRDefault="00EE1D86" w:rsidP="00E330BB">
            <w:pPr>
              <w:spacing w:before="0" w:after="0"/>
              <w:jc w:val="center"/>
              <w:rPr>
                <w:rFonts w:eastAsia="Times New Roman"/>
                <w:color w:val="000000"/>
                <w:sz w:val="18"/>
                <w:szCs w:val="18"/>
              </w:rPr>
            </w:pPr>
            <w:r>
              <w:rPr>
                <w:rFonts w:eastAsia="Times New Roman"/>
                <w:color w:val="000000"/>
                <w:sz w:val="18"/>
                <w:szCs w:val="18"/>
              </w:rPr>
              <w:t>/</w:t>
            </w:r>
          </w:p>
          <w:p w:rsidR="00DD3C20" w:rsidRDefault="00DD3C20" w:rsidP="00E330BB">
            <w:pPr>
              <w:spacing w:before="0" w:after="0"/>
              <w:jc w:val="center"/>
              <w:rPr>
                <w:rFonts w:eastAsia="Times New Roman"/>
                <w:color w:val="000000"/>
                <w:sz w:val="18"/>
                <w:szCs w:val="18"/>
              </w:rPr>
            </w:pPr>
            <w:r>
              <w:rPr>
                <w:rFonts w:eastAsia="Times New Roman"/>
                <w:color w:val="000000"/>
                <w:sz w:val="18"/>
                <w:szCs w:val="18"/>
              </w:rPr>
              <w:t>EOPE</w:t>
            </w:r>
          </w:p>
        </w:tc>
        <w:tc>
          <w:tcPr>
            <w:tcW w:w="4137" w:type="dxa"/>
            <w:vAlign w:val="center"/>
          </w:tcPr>
          <w:p w:rsidR="00EE1D86" w:rsidRDefault="00EE1D86" w:rsidP="0094243D">
            <w:pPr>
              <w:autoSpaceDE w:val="0"/>
              <w:autoSpaceDN w:val="0"/>
              <w:adjustRightInd w:val="0"/>
              <w:spacing w:before="0" w:after="0"/>
              <w:jc w:val="center"/>
              <w:rPr>
                <w:rFonts w:cs="Times New Roman"/>
                <w:sz w:val="18"/>
                <w:szCs w:val="18"/>
              </w:rPr>
            </w:pPr>
            <w:r>
              <w:rPr>
                <w:rFonts w:cs="Times New Roman"/>
                <w:sz w:val="18"/>
                <w:szCs w:val="18"/>
              </w:rPr>
              <w:t>/</w:t>
            </w:r>
          </w:p>
          <w:p w:rsidR="00DD3C20" w:rsidRDefault="00DD3C20" w:rsidP="0094243D">
            <w:pPr>
              <w:autoSpaceDE w:val="0"/>
              <w:autoSpaceDN w:val="0"/>
              <w:adjustRightInd w:val="0"/>
              <w:spacing w:before="0" w:after="0"/>
              <w:jc w:val="center"/>
              <w:rPr>
                <w:rFonts w:cs="Times New Roman"/>
                <w:sz w:val="18"/>
                <w:szCs w:val="18"/>
              </w:rPr>
            </w:pPr>
            <w:r>
              <w:rPr>
                <w:rFonts w:cs="Times New Roman"/>
                <w:sz w:val="18"/>
                <w:szCs w:val="18"/>
              </w:rPr>
              <w:t>Before 34 GW</w:t>
            </w:r>
          </w:p>
        </w:tc>
      </w:tr>
      <w:tr w:rsidR="00FC2DA8" w:rsidRPr="0077524C" w:rsidTr="001D7AE5">
        <w:trPr>
          <w:trHeight w:val="1533"/>
        </w:trPr>
        <w:tc>
          <w:tcPr>
            <w:tcW w:w="2261" w:type="dxa"/>
            <w:shd w:val="clear" w:color="auto" w:fill="auto"/>
            <w:noWrap/>
            <w:vAlign w:val="center"/>
            <w:hideMark/>
          </w:tcPr>
          <w:p w:rsidR="00FC2DA8" w:rsidRDefault="00FC2DA8" w:rsidP="00E330BB">
            <w:pPr>
              <w:spacing w:before="0" w:after="0"/>
              <w:jc w:val="center"/>
              <w:rPr>
                <w:rFonts w:eastAsia="Times New Roman"/>
                <w:color w:val="000000"/>
                <w:sz w:val="18"/>
                <w:szCs w:val="18"/>
              </w:rPr>
            </w:pPr>
            <w:r>
              <w:rPr>
                <w:rFonts w:eastAsia="Times New Roman"/>
                <w:color w:val="000000"/>
                <w:sz w:val="18"/>
                <w:szCs w:val="18"/>
              </w:rPr>
              <w:lastRenderedPageBreak/>
              <w:t>Mavreli 2020</w:t>
            </w:r>
          </w:p>
        </w:tc>
        <w:tc>
          <w:tcPr>
            <w:tcW w:w="1091" w:type="dxa"/>
            <w:shd w:val="clear" w:color="auto" w:fill="auto"/>
            <w:noWrap/>
            <w:vAlign w:val="center"/>
            <w:hideMark/>
          </w:tcPr>
          <w:p w:rsidR="00FC2DA8" w:rsidRDefault="00FC2DA8" w:rsidP="00E330BB">
            <w:pPr>
              <w:spacing w:before="0" w:after="0"/>
              <w:jc w:val="center"/>
              <w:rPr>
                <w:rFonts w:eastAsia="Times New Roman"/>
                <w:color w:val="000000"/>
                <w:sz w:val="18"/>
                <w:szCs w:val="18"/>
              </w:rPr>
            </w:pPr>
            <w:r>
              <w:rPr>
                <w:rFonts w:eastAsia="Times New Roman"/>
                <w:color w:val="000000"/>
                <w:sz w:val="18"/>
                <w:szCs w:val="18"/>
              </w:rPr>
              <w:t>LOPE</w:t>
            </w:r>
          </w:p>
        </w:tc>
        <w:tc>
          <w:tcPr>
            <w:tcW w:w="4098" w:type="dxa"/>
            <w:shd w:val="clear" w:color="auto" w:fill="auto"/>
            <w:vAlign w:val="center"/>
            <w:hideMark/>
          </w:tcPr>
          <w:p w:rsidR="00FC2DA8" w:rsidRDefault="00FC2DA8" w:rsidP="0094243D">
            <w:pPr>
              <w:autoSpaceDE w:val="0"/>
              <w:autoSpaceDN w:val="0"/>
              <w:adjustRightInd w:val="0"/>
              <w:spacing w:before="0" w:after="0"/>
              <w:jc w:val="center"/>
              <w:rPr>
                <w:rFonts w:cs="Times New Roman"/>
                <w:sz w:val="18"/>
                <w:szCs w:val="18"/>
              </w:rPr>
            </w:pPr>
            <w:r>
              <w:rPr>
                <w:rFonts w:cs="Times New Roman"/>
                <w:sz w:val="18"/>
                <w:szCs w:val="18"/>
              </w:rPr>
              <w:t>&gt;34 GW</w:t>
            </w:r>
          </w:p>
        </w:tc>
        <w:tc>
          <w:tcPr>
            <w:tcW w:w="1134" w:type="dxa"/>
            <w:vAlign w:val="center"/>
          </w:tcPr>
          <w:p w:rsidR="00FC2DA8" w:rsidRDefault="00FC2DA8" w:rsidP="00E330BB">
            <w:pPr>
              <w:spacing w:before="0" w:after="0"/>
              <w:jc w:val="center"/>
              <w:rPr>
                <w:rFonts w:eastAsia="Times New Roman"/>
                <w:color w:val="000000"/>
                <w:sz w:val="18"/>
                <w:szCs w:val="18"/>
              </w:rPr>
            </w:pPr>
            <w:r>
              <w:rPr>
                <w:rFonts w:eastAsia="Times New Roman"/>
                <w:color w:val="000000"/>
                <w:sz w:val="18"/>
                <w:szCs w:val="18"/>
              </w:rPr>
              <w:t>/</w:t>
            </w:r>
          </w:p>
        </w:tc>
        <w:tc>
          <w:tcPr>
            <w:tcW w:w="4137" w:type="dxa"/>
            <w:vAlign w:val="center"/>
          </w:tcPr>
          <w:p w:rsidR="00FC2DA8" w:rsidRDefault="00FC2DA8" w:rsidP="0094243D">
            <w:pPr>
              <w:autoSpaceDE w:val="0"/>
              <w:autoSpaceDN w:val="0"/>
              <w:adjustRightInd w:val="0"/>
              <w:spacing w:before="0" w:after="0"/>
              <w:jc w:val="center"/>
              <w:rPr>
                <w:rFonts w:cs="Times New Roman"/>
                <w:sz w:val="18"/>
                <w:szCs w:val="18"/>
              </w:rPr>
            </w:pPr>
            <w:r>
              <w:rPr>
                <w:rFonts w:cs="Times New Roman"/>
                <w:sz w:val="18"/>
                <w:szCs w:val="18"/>
              </w:rPr>
              <w:t>/</w:t>
            </w:r>
          </w:p>
        </w:tc>
      </w:tr>
      <w:tr w:rsidR="00BD6D5F" w:rsidRPr="0077524C" w:rsidTr="001D7AE5">
        <w:trPr>
          <w:trHeight w:val="1533"/>
        </w:trPr>
        <w:tc>
          <w:tcPr>
            <w:tcW w:w="2261" w:type="dxa"/>
            <w:shd w:val="clear" w:color="auto" w:fill="auto"/>
            <w:noWrap/>
            <w:vAlign w:val="center"/>
            <w:hideMark/>
          </w:tcPr>
          <w:p w:rsidR="00BD6D5F" w:rsidRDefault="00BD6D5F" w:rsidP="00E330BB">
            <w:pPr>
              <w:spacing w:before="0" w:after="0"/>
              <w:jc w:val="center"/>
              <w:rPr>
                <w:rFonts w:eastAsia="Times New Roman"/>
                <w:color w:val="000000"/>
                <w:sz w:val="18"/>
                <w:szCs w:val="18"/>
              </w:rPr>
            </w:pPr>
            <w:r>
              <w:rPr>
                <w:rFonts w:eastAsia="Times New Roman"/>
                <w:color w:val="000000"/>
                <w:sz w:val="18"/>
                <w:szCs w:val="18"/>
              </w:rPr>
              <w:t>Whigham 2020</w:t>
            </w:r>
          </w:p>
        </w:tc>
        <w:tc>
          <w:tcPr>
            <w:tcW w:w="1091" w:type="dxa"/>
            <w:shd w:val="clear" w:color="auto" w:fill="auto"/>
            <w:noWrap/>
            <w:vAlign w:val="center"/>
            <w:hideMark/>
          </w:tcPr>
          <w:p w:rsidR="00BD6D5F" w:rsidRDefault="00BD6D5F" w:rsidP="00E330BB">
            <w:pPr>
              <w:spacing w:before="0" w:after="0"/>
              <w:jc w:val="center"/>
              <w:rPr>
                <w:rFonts w:eastAsia="Times New Roman"/>
                <w:color w:val="000000"/>
                <w:sz w:val="18"/>
                <w:szCs w:val="18"/>
              </w:rPr>
            </w:pPr>
            <w:r>
              <w:rPr>
                <w:rFonts w:eastAsia="Times New Roman"/>
                <w:color w:val="000000"/>
                <w:sz w:val="18"/>
                <w:szCs w:val="18"/>
              </w:rPr>
              <w:t>LOPE</w:t>
            </w:r>
          </w:p>
        </w:tc>
        <w:tc>
          <w:tcPr>
            <w:tcW w:w="4098" w:type="dxa"/>
            <w:shd w:val="clear" w:color="auto" w:fill="auto"/>
            <w:vAlign w:val="center"/>
            <w:hideMark/>
          </w:tcPr>
          <w:p w:rsidR="00BD6D5F" w:rsidRDefault="00BD6D5F" w:rsidP="0094243D">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134" w:type="dxa"/>
            <w:vAlign w:val="center"/>
          </w:tcPr>
          <w:p w:rsidR="00BD6D5F" w:rsidRDefault="00BD6D5F" w:rsidP="00E330BB">
            <w:pPr>
              <w:spacing w:before="0" w:after="0"/>
              <w:jc w:val="center"/>
              <w:rPr>
                <w:rFonts w:eastAsia="Times New Roman"/>
                <w:color w:val="000000"/>
                <w:sz w:val="18"/>
                <w:szCs w:val="18"/>
              </w:rPr>
            </w:pPr>
            <w:r>
              <w:rPr>
                <w:rFonts w:eastAsia="Times New Roman"/>
                <w:color w:val="000000"/>
                <w:sz w:val="18"/>
                <w:szCs w:val="18"/>
              </w:rPr>
              <w:t>sEOPE</w:t>
            </w:r>
          </w:p>
        </w:tc>
        <w:tc>
          <w:tcPr>
            <w:tcW w:w="4137" w:type="dxa"/>
            <w:vAlign w:val="center"/>
          </w:tcPr>
          <w:p w:rsidR="00BD6D5F" w:rsidRDefault="00BD6D5F" w:rsidP="0094243D">
            <w:pPr>
              <w:autoSpaceDE w:val="0"/>
              <w:autoSpaceDN w:val="0"/>
              <w:adjustRightInd w:val="0"/>
              <w:spacing w:before="0" w:after="0"/>
              <w:jc w:val="center"/>
              <w:rPr>
                <w:rFonts w:cs="Times New Roman"/>
                <w:sz w:val="18"/>
                <w:szCs w:val="18"/>
              </w:rPr>
            </w:pPr>
            <w:r>
              <w:rPr>
                <w:rFonts w:cs="Times New Roman"/>
                <w:sz w:val="18"/>
                <w:szCs w:val="18"/>
              </w:rPr>
              <w:t>Not reported</w:t>
            </w:r>
          </w:p>
        </w:tc>
      </w:tr>
      <w:tr w:rsidR="00866B35" w:rsidRPr="0077524C" w:rsidTr="001D7AE5">
        <w:trPr>
          <w:trHeight w:val="1533"/>
        </w:trPr>
        <w:tc>
          <w:tcPr>
            <w:tcW w:w="2261" w:type="dxa"/>
            <w:shd w:val="clear" w:color="auto" w:fill="auto"/>
            <w:noWrap/>
            <w:vAlign w:val="center"/>
            <w:hideMark/>
          </w:tcPr>
          <w:p w:rsidR="00866B35" w:rsidRDefault="00866B35" w:rsidP="00E330BB">
            <w:pPr>
              <w:spacing w:before="0" w:after="0"/>
              <w:jc w:val="center"/>
              <w:rPr>
                <w:rFonts w:eastAsia="Times New Roman"/>
                <w:color w:val="000000"/>
                <w:sz w:val="18"/>
                <w:szCs w:val="18"/>
              </w:rPr>
            </w:pPr>
            <w:r>
              <w:rPr>
                <w:rFonts w:eastAsia="Times New Roman"/>
                <w:color w:val="000000"/>
                <w:sz w:val="18"/>
                <w:szCs w:val="18"/>
              </w:rPr>
              <w:t>Wu G, 2020</w:t>
            </w:r>
          </w:p>
        </w:tc>
        <w:tc>
          <w:tcPr>
            <w:tcW w:w="1091" w:type="dxa"/>
            <w:shd w:val="clear" w:color="auto" w:fill="auto"/>
            <w:noWrap/>
            <w:vAlign w:val="center"/>
            <w:hideMark/>
          </w:tcPr>
          <w:p w:rsidR="00866B35" w:rsidRDefault="00866B35" w:rsidP="00E330BB">
            <w:pPr>
              <w:spacing w:before="0" w:after="0"/>
              <w:jc w:val="center"/>
              <w:rPr>
                <w:rFonts w:eastAsia="Times New Roman"/>
                <w:color w:val="000000"/>
                <w:sz w:val="18"/>
                <w:szCs w:val="18"/>
              </w:rPr>
            </w:pPr>
            <w:r>
              <w:rPr>
                <w:rFonts w:eastAsia="Times New Roman"/>
                <w:color w:val="000000"/>
                <w:sz w:val="18"/>
                <w:szCs w:val="18"/>
              </w:rPr>
              <w:t>mPE</w:t>
            </w:r>
          </w:p>
        </w:tc>
        <w:tc>
          <w:tcPr>
            <w:tcW w:w="4098" w:type="dxa"/>
            <w:shd w:val="clear" w:color="auto" w:fill="auto"/>
            <w:vAlign w:val="center"/>
            <w:hideMark/>
          </w:tcPr>
          <w:p w:rsidR="00866B35" w:rsidRDefault="00866B35" w:rsidP="0094243D">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134" w:type="dxa"/>
            <w:vAlign w:val="center"/>
          </w:tcPr>
          <w:p w:rsidR="00866B35" w:rsidRDefault="00866B35" w:rsidP="00E330BB">
            <w:pPr>
              <w:spacing w:before="0" w:after="0"/>
              <w:jc w:val="center"/>
              <w:rPr>
                <w:rFonts w:eastAsia="Times New Roman"/>
                <w:color w:val="000000"/>
                <w:sz w:val="18"/>
                <w:szCs w:val="18"/>
              </w:rPr>
            </w:pPr>
            <w:r>
              <w:rPr>
                <w:rFonts w:eastAsia="Times New Roman"/>
                <w:color w:val="000000"/>
                <w:sz w:val="18"/>
                <w:szCs w:val="18"/>
              </w:rPr>
              <w:t>sPE</w:t>
            </w:r>
          </w:p>
        </w:tc>
        <w:tc>
          <w:tcPr>
            <w:tcW w:w="4137" w:type="dxa"/>
            <w:vAlign w:val="center"/>
          </w:tcPr>
          <w:p w:rsidR="00866B35" w:rsidRDefault="00866B35" w:rsidP="0094243D">
            <w:pPr>
              <w:autoSpaceDE w:val="0"/>
              <w:autoSpaceDN w:val="0"/>
              <w:adjustRightInd w:val="0"/>
              <w:spacing w:before="0" w:after="0"/>
              <w:jc w:val="center"/>
              <w:rPr>
                <w:rFonts w:cs="Times New Roman"/>
                <w:sz w:val="18"/>
                <w:szCs w:val="18"/>
              </w:rPr>
            </w:pPr>
            <w:r>
              <w:rPr>
                <w:rFonts w:cs="Times New Roman"/>
                <w:sz w:val="18"/>
                <w:szCs w:val="18"/>
              </w:rPr>
              <w:t>Not reported</w:t>
            </w:r>
          </w:p>
        </w:tc>
      </w:tr>
      <w:tr w:rsidR="00BC7877" w:rsidRPr="0077524C" w:rsidTr="001D7AE5">
        <w:trPr>
          <w:trHeight w:val="1533"/>
        </w:trPr>
        <w:tc>
          <w:tcPr>
            <w:tcW w:w="2261" w:type="dxa"/>
            <w:shd w:val="clear" w:color="auto" w:fill="auto"/>
            <w:noWrap/>
            <w:vAlign w:val="center"/>
            <w:hideMark/>
          </w:tcPr>
          <w:p w:rsidR="00BC7877" w:rsidRDefault="00BC7877" w:rsidP="00E330BB">
            <w:pPr>
              <w:spacing w:before="0" w:after="0"/>
              <w:jc w:val="center"/>
              <w:rPr>
                <w:rFonts w:eastAsia="Times New Roman"/>
                <w:color w:val="000000"/>
                <w:sz w:val="18"/>
                <w:szCs w:val="18"/>
              </w:rPr>
            </w:pPr>
            <w:r>
              <w:rPr>
                <w:rFonts w:eastAsia="Times New Roman"/>
                <w:color w:val="000000"/>
                <w:sz w:val="18"/>
                <w:szCs w:val="18"/>
              </w:rPr>
              <w:t>Ali, 2021</w:t>
            </w:r>
          </w:p>
        </w:tc>
        <w:tc>
          <w:tcPr>
            <w:tcW w:w="1091" w:type="dxa"/>
            <w:shd w:val="clear" w:color="auto" w:fill="auto"/>
            <w:noWrap/>
            <w:vAlign w:val="center"/>
            <w:hideMark/>
          </w:tcPr>
          <w:p w:rsidR="00BC7877" w:rsidRDefault="00BC7877" w:rsidP="00E330BB">
            <w:pPr>
              <w:spacing w:before="0" w:after="0"/>
              <w:jc w:val="center"/>
              <w:rPr>
                <w:rFonts w:eastAsia="Times New Roman"/>
                <w:color w:val="000000"/>
                <w:sz w:val="18"/>
                <w:szCs w:val="18"/>
              </w:rPr>
            </w:pPr>
            <w:r>
              <w:rPr>
                <w:rFonts w:eastAsia="Times New Roman"/>
                <w:color w:val="000000"/>
                <w:sz w:val="18"/>
                <w:szCs w:val="18"/>
              </w:rPr>
              <w:t>LOPE</w:t>
            </w:r>
          </w:p>
        </w:tc>
        <w:tc>
          <w:tcPr>
            <w:tcW w:w="4098" w:type="dxa"/>
            <w:shd w:val="clear" w:color="auto" w:fill="auto"/>
            <w:vAlign w:val="center"/>
            <w:hideMark/>
          </w:tcPr>
          <w:p w:rsidR="00BC7877" w:rsidRPr="005B7CE7" w:rsidRDefault="005B7CE7" w:rsidP="005B7CE7">
            <w:pPr>
              <w:autoSpaceDE w:val="0"/>
              <w:autoSpaceDN w:val="0"/>
              <w:adjustRightInd w:val="0"/>
              <w:spacing w:before="0" w:after="0"/>
              <w:jc w:val="center"/>
              <w:rPr>
                <w:rFonts w:cs="Times New Roman"/>
                <w:sz w:val="18"/>
                <w:szCs w:val="18"/>
              </w:rPr>
            </w:pPr>
            <w:r w:rsidRPr="005B7CE7">
              <w:rPr>
                <w:rFonts w:cs="Times New Roman"/>
                <w:sz w:val="18"/>
                <w:szCs w:val="18"/>
              </w:rPr>
              <w:t xml:space="preserve">PE ranged from </w:t>
            </w:r>
            <w:r w:rsidR="00E33D6E" w:rsidRPr="00E33D6E">
              <w:rPr>
                <w:rFonts w:eastAsia="MyriadPro-Regular" w:cs="Times New Roman"/>
                <w:color w:val="231F20"/>
                <w:sz w:val="18"/>
                <w:szCs w:val="18"/>
              </w:rPr>
              <w:t>28 to 32</w:t>
            </w:r>
            <w:r>
              <w:rPr>
                <w:rFonts w:eastAsia="MyriadPro-Regular" w:cs="Times New Roman"/>
                <w:color w:val="231F20"/>
                <w:sz w:val="18"/>
                <w:szCs w:val="18"/>
              </w:rPr>
              <w:t xml:space="preserve"> </w:t>
            </w:r>
            <w:r w:rsidR="00E33D6E" w:rsidRPr="00E33D6E">
              <w:rPr>
                <w:rFonts w:eastAsia="MyriadPro-Regular" w:cs="Times New Roman"/>
                <w:color w:val="231F20"/>
                <w:sz w:val="18"/>
                <w:szCs w:val="18"/>
              </w:rPr>
              <w:t>weeks</w:t>
            </w:r>
          </w:p>
        </w:tc>
        <w:tc>
          <w:tcPr>
            <w:tcW w:w="1134" w:type="dxa"/>
            <w:vAlign w:val="center"/>
          </w:tcPr>
          <w:p w:rsidR="00BC7877" w:rsidRPr="005B7CE7" w:rsidRDefault="00BC7877" w:rsidP="005B7CE7">
            <w:pPr>
              <w:spacing w:before="0" w:after="0"/>
              <w:jc w:val="center"/>
              <w:rPr>
                <w:rFonts w:eastAsia="Times New Roman" w:cs="Times New Roman"/>
                <w:color w:val="000000"/>
                <w:sz w:val="18"/>
                <w:szCs w:val="18"/>
              </w:rPr>
            </w:pPr>
            <w:r w:rsidRPr="005B7CE7">
              <w:rPr>
                <w:rFonts w:eastAsia="Times New Roman" w:cs="Times New Roman"/>
                <w:color w:val="000000"/>
                <w:sz w:val="18"/>
                <w:szCs w:val="18"/>
              </w:rPr>
              <w:t>EOPE</w:t>
            </w:r>
          </w:p>
        </w:tc>
        <w:tc>
          <w:tcPr>
            <w:tcW w:w="4137" w:type="dxa"/>
            <w:vAlign w:val="center"/>
          </w:tcPr>
          <w:p w:rsidR="00BC7877" w:rsidRPr="005B7CE7" w:rsidRDefault="005B7CE7" w:rsidP="005B7CE7">
            <w:pPr>
              <w:autoSpaceDE w:val="0"/>
              <w:autoSpaceDN w:val="0"/>
              <w:adjustRightInd w:val="0"/>
              <w:spacing w:before="0" w:after="0"/>
              <w:jc w:val="center"/>
              <w:rPr>
                <w:rFonts w:cs="Times New Roman"/>
                <w:sz w:val="18"/>
                <w:szCs w:val="18"/>
              </w:rPr>
            </w:pPr>
            <w:r w:rsidRPr="005B7CE7">
              <w:rPr>
                <w:rFonts w:cs="Times New Roman"/>
                <w:sz w:val="18"/>
                <w:szCs w:val="18"/>
              </w:rPr>
              <w:t xml:space="preserve">PE ranged from </w:t>
            </w:r>
            <w:r w:rsidR="00E33D6E" w:rsidRPr="00E33D6E">
              <w:rPr>
                <w:rFonts w:eastAsia="MyriadPro-Regular" w:cs="Times New Roman"/>
                <w:color w:val="231F20"/>
                <w:sz w:val="18"/>
                <w:szCs w:val="18"/>
              </w:rPr>
              <w:t>32.1 to 40 weeks</w:t>
            </w:r>
          </w:p>
        </w:tc>
      </w:tr>
      <w:tr w:rsidR="00770137" w:rsidRPr="0077524C" w:rsidTr="001D7AE5">
        <w:trPr>
          <w:trHeight w:val="1533"/>
        </w:trPr>
        <w:tc>
          <w:tcPr>
            <w:tcW w:w="2261" w:type="dxa"/>
            <w:shd w:val="clear" w:color="auto" w:fill="auto"/>
            <w:noWrap/>
            <w:vAlign w:val="center"/>
            <w:hideMark/>
          </w:tcPr>
          <w:p w:rsidR="00770137" w:rsidRDefault="00770137" w:rsidP="00E330BB">
            <w:pPr>
              <w:spacing w:before="0" w:after="0"/>
              <w:jc w:val="center"/>
              <w:rPr>
                <w:rFonts w:eastAsia="Times New Roman"/>
                <w:color w:val="000000"/>
                <w:sz w:val="18"/>
                <w:szCs w:val="18"/>
              </w:rPr>
            </w:pPr>
            <w:r>
              <w:rPr>
                <w:rFonts w:eastAsia="Times New Roman"/>
                <w:color w:val="000000"/>
                <w:sz w:val="18"/>
                <w:szCs w:val="18"/>
              </w:rPr>
              <w:t>Jairajpuri, 2021</w:t>
            </w:r>
          </w:p>
        </w:tc>
        <w:tc>
          <w:tcPr>
            <w:tcW w:w="1091" w:type="dxa"/>
            <w:shd w:val="clear" w:color="auto" w:fill="auto"/>
            <w:noWrap/>
            <w:vAlign w:val="center"/>
            <w:hideMark/>
          </w:tcPr>
          <w:p w:rsidR="00770137" w:rsidRDefault="00770137" w:rsidP="00E330BB">
            <w:pPr>
              <w:spacing w:before="0" w:after="0"/>
              <w:jc w:val="center"/>
              <w:rPr>
                <w:rFonts w:eastAsia="Times New Roman"/>
                <w:color w:val="000000"/>
                <w:sz w:val="18"/>
                <w:szCs w:val="18"/>
              </w:rPr>
            </w:pPr>
            <w:r>
              <w:rPr>
                <w:rFonts w:eastAsia="Times New Roman"/>
                <w:color w:val="000000"/>
                <w:sz w:val="18"/>
                <w:szCs w:val="18"/>
              </w:rPr>
              <w:t>mPE</w:t>
            </w:r>
          </w:p>
        </w:tc>
        <w:tc>
          <w:tcPr>
            <w:tcW w:w="4098" w:type="dxa"/>
            <w:shd w:val="clear" w:color="auto" w:fill="auto"/>
            <w:vAlign w:val="center"/>
            <w:hideMark/>
          </w:tcPr>
          <w:p w:rsidR="00770137" w:rsidRPr="00770137" w:rsidRDefault="00E33D6E" w:rsidP="005B7CE7">
            <w:pPr>
              <w:autoSpaceDE w:val="0"/>
              <w:autoSpaceDN w:val="0"/>
              <w:adjustRightInd w:val="0"/>
              <w:spacing w:before="0" w:after="0"/>
              <w:jc w:val="center"/>
              <w:rPr>
                <w:rFonts w:cs="Times New Roman"/>
                <w:sz w:val="18"/>
                <w:szCs w:val="18"/>
              </w:rPr>
            </w:pPr>
            <w:r w:rsidRPr="00E33D6E">
              <w:rPr>
                <w:sz w:val="18"/>
                <w:szCs w:val="18"/>
              </w:rPr>
              <w:t>Mild PE patients had systolic blood pressure ≥140 mm Hg, diastolic blood pressure ≥90 mm Hg on 2 occasions separated by 6 h, and proteinuria (≥300 mg of protein in a 24-h urine specimen or ≥1+ by dipstick)</w:t>
            </w:r>
          </w:p>
        </w:tc>
        <w:tc>
          <w:tcPr>
            <w:tcW w:w="1134" w:type="dxa"/>
            <w:vAlign w:val="center"/>
          </w:tcPr>
          <w:p w:rsidR="00770137" w:rsidRPr="005B7CE7" w:rsidRDefault="00770137"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sPE</w:t>
            </w:r>
          </w:p>
        </w:tc>
        <w:tc>
          <w:tcPr>
            <w:tcW w:w="4137" w:type="dxa"/>
            <w:vAlign w:val="center"/>
          </w:tcPr>
          <w:p w:rsidR="00770137" w:rsidRPr="00770137" w:rsidRDefault="00E33D6E" w:rsidP="005B7CE7">
            <w:pPr>
              <w:autoSpaceDE w:val="0"/>
              <w:autoSpaceDN w:val="0"/>
              <w:adjustRightInd w:val="0"/>
              <w:spacing w:before="0" w:after="0"/>
              <w:jc w:val="center"/>
              <w:rPr>
                <w:rFonts w:cs="Times New Roman"/>
                <w:sz w:val="18"/>
                <w:szCs w:val="18"/>
              </w:rPr>
            </w:pPr>
            <w:r w:rsidRPr="00E33D6E">
              <w:rPr>
                <w:rFonts w:cs="Times New Roman"/>
                <w:sz w:val="18"/>
                <w:szCs w:val="18"/>
              </w:rPr>
              <w:t>severe PE was confirmed if one or more of these conditions were met: persistent systolic blood pressure ≥160 mm Hg and/or diastolic blood pressure ≥110 mm Hg on least at 2 occasions 6 h apart; proteinuria (≥2 g/24 h or ≥2+ by dipstick); and serum creatinine ≥106 mmol/l (except patients whose serum creatinine was increased before the test), low platelet count (</w:t>
            </w:r>
            <w:r w:rsidRPr="00E33D6E">
              <w:rPr>
                <w:rFonts w:cs="Times New Roman"/>
                <w:i/>
                <w:iCs/>
                <w:sz w:val="18"/>
                <w:szCs w:val="18"/>
              </w:rPr>
              <w:t>&lt;</w:t>
            </w:r>
            <w:r w:rsidRPr="00E33D6E">
              <w:rPr>
                <w:rFonts w:cs="Times New Roman"/>
                <w:sz w:val="18"/>
                <w:szCs w:val="18"/>
              </w:rPr>
              <w:t>105/ml); increased lactate dehydrogenase; elevated liver enzyme function (ALT, AST), and persistent upper abdominal pain</w:t>
            </w:r>
          </w:p>
        </w:tc>
      </w:tr>
      <w:tr w:rsidR="000264D1" w:rsidRPr="0077524C" w:rsidTr="001D7AE5">
        <w:trPr>
          <w:trHeight w:val="1533"/>
        </w:trPr>
        <w:tc>
          <w:tcPr>
            <w:tcW w:w="2261" w:type="dxa"/>
            <w:shd w:val="clear" w:color="auto" w:fill="auto"/>
            <w:noWrap/>
            <w:vAlign w:val="center"/>
            <w:hideMark/>
          </w:tcPr>
          <w:p w:rsidR="000264D1" w:rsidRDefault="000264D1" w:rsidP="00E330BB">
            <w:pPr>
              <w:spacing w:before="0" w:after="0"/>
              <w:jc w:val="center"/>
              <w:rPr>
                <w:rFonts w:eastAsia="Times New Roman"/>
                <w:color w:val="000000"/>
                <w:sz w:val="18"/>
                <w:szCs w:val="18"/>
              </w:rPr>
            </w:pPr>
            <w:r>
              <w:rPr>
                <w:rFonts w:eastAsia="Times New Roman"/>
                <w:color w:val="000000"/>
                <w:sz w:val="18"/>
                <w:szCs w:val="18"/>
              </w:rPr>
              <w:lastRenderedPageBreak/>
              <w:t>Kolkova, 2021</w:t>
            </w:r>
          </w:p>
        </w:tc>
        <w:tc>
          <w:tcPr>
            <w:tcW w:w="1091" w:type="dxa"/>
            <w:shd w:val="clear" w:color="auto" w:fill="auto"/>
            <w:noWrap/>
            <w:vAlign w:val="center"/>
            <w:hideMark/>
          </w:tcPr>
          <w:p w:rsidR="000264D1" w:rsidRDefault="000264D1" w:rsidP="00E330BB">
            <w:pPr>
              <w:spacing w:before="0" w:after="0"/>
              <w:jc w:val="center"/>
              <w:rPr>
                <w:rFonts w:eastAsia="Times New Roman"/>
                <w:color w:val="000000"/>
                <w:sz w:val="18"/>
                <w:szCs w:val="18"/>
              </w:rPr>
            </w:pPr>
            <w:r>
              <w:rPr>
                <w:rFonts w:eastAsia="Times New Roman"/>
                <w:color w:val="000000"/>
                <w:sz w:val="18"/>
                <w:szCs w:val="18"/>
              </w:rPr>
              <w:t>LOPE</w:t>
            </w:r>
          </w:p>
          <w:p w:rsidR="000264D1" w:rsidRDefault="000264D1" w:rsidP="00E330BB">
            <w:pPr>
              <w:spacing w:before="0" w:after="0"/>
              <w:jc w:val="center"/>
              <w:rPr>
                <w:rFonts w:eastAsia="Times New Roman"/>
                <w:color w:val="000000"/>
                <w:sz w:val="18"/>
                <w:szCs w:val="18"/>
              </w:rPr>
            </w:pPr>
            <w:r>
              <w:rPr>
                <w:rFonts w:eastAsia="Times New Roman"/>
                <w:color w:val="000000"/>
                <w:sz w:val="18"/>
                <w:szCs w:val="18"/>
              </w:rPr>
              <w:t>mPE</w:t>
            </w:r>
          </w:p>
        </w:tc>
        <w:tc>
          <w:tcPr>
            <w:tcW w:w="4098" w:type="dxa"/>
            <w:shd w:val="clear" w:color="auto" w:fill="auto"/>
            <w:vAlign w:val="center"/>
            <w:hideMark/>
          </w:tcPr>
          <w:p w:rsidR="000264D1" w:rsidRDefault="00E33D6E" w:rsidP="005B7CE7">
            <w:pPr>
              <w:autoSpaceDE w:val="0"/>
              <w:autoSpaceDN w:val="0"/>
              <w:adjustRightInd w:val="0"/>
              <w:spacing w:before="0" w:after="0"/>
              <w:jc w:val="center"/>
              <w:rPr>
                <w:rFonts w:cs="Times New Roman"/>
                <w:sz w:val="18"/>
                <w:szCs w:val="18"/>
              </w:rPr>
            </w:pPr>
            <w:r w:rsidRPr="00E33D6E">
              <w:rPr>
                <w:rFonts w:cs="Times New Roman"/>
                <w:sz w:val="18"/>
                <w:szCs w:val="18"/>
              </w:rPr>
              <w:t>late-onset PE (after 34 weeks of pregnancy)</w:t>
            </w:r>
          </w:p>
          <w:p w:rsidR="007E1BB7" w:rsidRPr="000264D1" w:rsidRDefault="007E1BB7" w:rsidP="005B7CE7">
            <w:pPr>
              <w:autoSpaceDE w:val="0"/>
              <w:autoSpaceDN w:val="0"/>
              <w:adjustRightInd w:val="0"/>
              <w:spacing w:before="0" w:after="0"/>
              <w:jc w:val="center"/>
              <w:rPr>
                <w:rFonts w:cs="Times New Roman"/>
                <w:sz w:val="18"/>
                <w:szCs w:val="18"/>
              </w:rPr>
            </w:pPr>
            <w:r>
              <w:rPr>
                <w:rFonts w:cs="Times New Roman"/>
                <w:sz w:val="18"/>
                <w:szCs w:val="18"/>
              </w:rPr>
              <w:t>mPE criteria not reported</w:t>
            </w:r>
          </w:p>
        </w:tc>
        <w:tc>
          <w:tcPr>
            <w:tcW w:w="1134" w:type="dxa"/>
            <w:vAlign w:val="center"/>
          </w:tcPr>
          <w:p w:rsidR="000264D1" w:rsidRDefault="000264D1"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EOPE</w:t>
            </w:r>
          </w:p>
          <w:p w:rsidR="000264D1" w:rsidRDefault="000264D1"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sPE</w:t>
            </w:r>
          </w:p>
        </w:tc>
        <w:tc>
          <w:tcPr>
            <w:tcW w:w="4137" w:type="dxa"/>
            <w:vAlign w:val="center"/>
          </w:tcPr>
          <w:p w:rsidR="00000000" w:rsidRDefault="00E33D6E">
            <w:pPr>
              <w:autoSpaceDE w:val="0"/>
              <w:autoSpaceDN w:val="0"/>
              <w:adjustRightInd w:val="0"/>
              <w:spacing w:before="0" w:after="0"/>
              <w:jc w:val="center"/>
              <w:rPr>
                <w:rFonts w:cs="Times New Roman"/>
                <w:sz w:val="18"/>
                <w:szCs w:val="18"/>
              </w:rPr>
            </w:pPr>
            <w:r w:rsidRPr="00E33D6E">
              <w:rPr>
                <w:rFonts w:cs="Times New Roman"/>
                <w:sz w:val="18"/>
                <w:szCs w:val="18"/>
              </w:rPr>
              <w:t>early (before 34 weeks of</w:t>
            </w:r>
            <w:r w:rsidR="000264D1">
              <w:rPr>
                <w:rFonts w:cs="Times New Roman"/>
                <w:sz w:val="18"/>
                <w:szCs w:val="18"/>
              </w:rPr>
              <w:t xml:space="preserve"> </w:t>
            </w:r>
            <w:r w:rsidRPr="00E33D6E">
              <w:rPr>
                <w:rFonts w:cs="Times New Roman"/>
                <w:sz w:val="18"/>
                <w:szCs w:val="18"/>
              </w:rPr>
              <w:t>pregnancy)</w:t>
            </w:r>
          </w:p>
          <w:p w:rsidR="000264D1" w:rsidRPr="00770137" w:rsidRDefault="00E33D6E" w:rsidP="000264D1">
            <w:pPr>
              <w:autoSpaceDE w:val="0"/>
              <w:autoSpaceDN w:val="0"/>
              <w:adjustRightInd w:val="0"/>
              <w:spacing w:before="0" w:after="0"/>
              <w:jc w:val="center"/>
              <w:rPr>
                <w:rFonts w:cs="Times New Roman"/>
                <w:sz w:val="18"/>
                <w:szCs w:val="18"/>
              </w:rPr>
            </w:pPr>
            <w:r w:rsidRPr="00E33D6E">
              <w:rPr>
                <w:rFonts w:cs="Times New Roman"/>
                <w:sz w:val="18"/>
                <w:szCs w:val="18"/>
              </w:rPr>
              <w:t>Severe PE was defined as severe</w:t>
            </w:r>
            <w:r w:rsidR="000264D1">
              <w:rPr>
                <w:rFonts w:cs="Times New Roman"/>
                <w:sz w:val="18"/>
                <w:szCs w:val="18"/>
              </w:rPr>
              <w:t xml:space="preserve"> </w:t>
            </w:r>
            <w:r w:rsidRPr="00E33D6E">
              <w:rPr>
                <w:rFonts w:cs="Times New Roman"/>
                <w:sz w:val="18"/>
                <w:szCs w:val="18"/>
              </w:rPr>
              <w:t>gestational hypertension (systolic blood pressure</w:t>
            </w:r>
            <w:r w:rsidR="000264D1">
              <w:rPr>
                <w:rFonts w:cs="Times New Roman"/>
                <w:sz w:val="18"/>
                <w:szCs w:val="18"/>
              </w:rPr>
              <w:t xml:space="preserve"> ≥</w:t>
            </w:r>
            <w:r w:rsidRPr="00E33D6E">
              <w:rPr>
                <w:rFonts w:cs="Times New Roman"/>
                <w:sz w:val="18"/>
                <w:szCs w:val="18"/>
              </w:rPr>
              <w:t xml:space="preserve">160 mmHg or diastolic </w:t>
            </w:r>
            <w:r w:rsidR="000264D1">
              <w:rPr>
                <w:rFonts w:cs="Times New Roman"/>
                <w:sz w:val="18"/>
                <w:szCs w:val="18"/>
              </w:rPr>
              <w:t>≥</w:t>
            </w:r>
            <w:r w:rsidRPr="00E33D6E">
              <w:rPr>
                <w:rFonts w:cs="Times New Roman"/>
                <w:sz w:val="18"/>
                <w:szCs w:val="18"/>
              </w:rPr>
              <w:t>110 mmHg</w:t>
            </w:r>
            <w:r w:rsidR="000264D1">
              <w:rPr>
                <w:rFonts w:cs="Times New Roman"/>
                <w:sz w:val="18"/>
                <w:szCs w:val="18"/>
              </w:rPr>
              <w:t xml:space="preserve"> </w:t>
            </w:r>
            <w:r w:rsidRPr="00E33D6E">
              <w:rPr>
                <w:rFonts w:cs="Times New Roman"/>
                <w:sz w:val="18"/>
                <w:szCs w:val="18"/>
              </w:rPr>
              <w:t>on two occasions at least four hours apart), based on ACOG criteria</w:t>
            </w:r>
          </w:p>
        </w:tc>
      </w:tr>
      <w:tr w:rsidR="0029146F" w:rsidRPr="0077524C" w:rsidTr="001D7AE5">
        <w:trPr>
          <w:trHeight w:val="1533"/>
        </w:trPr>
        <w:tc>
          <w:tcPr>
            <w:tcW w:w="2261" w:type="dxa"/>
            <w:shd w:val="clear" w:color="auto" w:fill="auto"/>
            <w:noWrap/>
            <w:vAlign w:val="center"/>
            <w:hideMark/>
          </w:tcPr>
          <w:p w:rsidR="0029146F" w:rsidRDefault="0029146F" w:rsidP="00E330BB">
            <w:pPr>
              <w:spacing w:before="0" w:after="0"/>
              <w:jc w:val="center"/>
              <w:rPr>
                <w:rFonts w:eastAsia="Times New Roman"/>
                <w:color w:val="000000"/>
                <w:sz w:val="18"/>
                <w:szCs w:val="18"/>
              </w:rPr>
            </w:pPr>
            <w:r>
              <w:rPr>
                <w:rFonts w:eastAsia="Times New Roman"/>
                <w:color w:val="000000"/>
                <w:sz w:val="18"/>
                <w:szCs w:val="18"/>
              </w:rPr>
              <w:t>Liao, 2021</w:t>
            </w:r>
          </w:p>
        </w:tc>
        <w:tc>
          <w:tcPr>
            <w:tcW w:w="1091" w:type="dxa"/>
            <w:shd w:val="clear" w:color="auto" w:fill="auto"/>
            <w:noWrap/>
            <w:vAlign w:val="center"/>
            <w:hideMark/>
          </w:tcPr>
          <w:p w:rsidR="0029146F" w:rsidRDefault="0029146F" w:rsidP="00E330BB">
            <w:pPr>
              <w:spacing w:before="0" w:after="0"/>
              <w:jc w:val="center"/>
              <w:rPr>
                <w:rFonts w:eastAsia="Times New Roman"/>
                <w:color w:val="000000"/>
                <w:sz w:val="18"/>
                <w:szCs w:val="18"/>
              </w:rPr>
            </w:pPr>
            <w:r>
              <w:rPr>
                <w:rFonts w:eastAsia="Times New Roman"/>
                <w:color w:val="000000"/>
                <w:sz w:val="18"/>
                <w:szCs w:val="18"/>
              </w:rPr>
              <w:t>/</w:t>
            </w:r>
          </w:p>
        </w:tc>
        <w:tc>
          <w:tcPr>
            <w:tcW w:w="4098" w:type="dxa"/>
            <w:shd w:val="clear" w:color="auto" w:fill="auto"/>
            <w:vAlign w:val="center"/>
            <w:hideMark/>
          </w:tcPr>
          <w:p w:rsidR="0029146F" w:rsidRPr="001C20F8" w:rsidRDefault="0029146F" w:rsidP="005B7CE7">
            <w:pPr>
              <w:autoSpaceDE w:val="0"/>
              <w:autoSpaceDN w:val="0"/>
              <w:adjustRightInd w:val="0"/>
              <w:spacing w:before="0" w:after="0"/>
              <w:jc w:val="center"/>
              <w:rPr>
                <w:rFonts w:cs="Times New Roman"/>
                <w:sz w:val="18"/>
                <w:szCs w:val="18"/>
              </w:rPr>
            </w:pPr>
            <w:r>
              <w:rPr>
                <w:rFonts w:cs="Times New Roman"/>
                <w:sz w:val="18"/>
                <w:szCs w:val="18"/>
              </w:rPr>
              <w:t>/</w:t>
            </w:r>
          </w:p>
        </w:tc>
        <w:tc>
          <w:tcPr>
            <w:tcW w:w="1134" w:type="dxa"/>
            <w:vAlign w:val="center"/>
          </w:tcPr>
          <w:p w:rsidR="0029146F" w:rsidRDefault="0029146F"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mEOPE</w:t>
            </w:r>
          </w:p>
          <w:p w:rsidR="0029146F" w:rsidRDefault="0029146F"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sEOPE</w:t>
            </w:r>
          </w:p>
        </w:tc>
        <w:tc>
          <w:tcPr>
            <w:tcW w:w="4137" w:type="dxa"/>
            <w:vAlign w:val="center"/>
          </w:tcPr>
          <w:p w:rsidR="00000000" w:rsidRDefault="00E33D6E">
            <w:pPr>
              <w:autoSpaceDE w:val="0"/>
              <w:autoSpaceDN w:val="0"/>
              <w:adjustRightInd w:val="0"/>
              <w:spacing w:before="0" w:after="0"/>
              <w:jc w:val="center"/>
              <w:rPr>
                <w:rFonts w:ascii="AdvGulliv-R" w:hAnsi="AdvGulliv-R" w:cs="AdvGulliv-R"/>
                <w:sz w:val="18"/>
                <w:szCs w:val="18"/>
                <w:lang w:val="en-GB"/>
              </w:rPr>
            </w:pPr>
            <w:r w:rsidRPr="00E33D6E">
              <w:rPr>
                <w:rFonts w:ascii="AdvGulliv-R" w:hAnsi="AdvGulliv-R" w:cs="AdvGulliv-R"/>
                <w:sz w:val="18"/>
                <w:szCs w:val="18"/>
                <w:lang w:val="en-GB"/>
              </w:rPr>
              <w:t>The diagnostic criteria for EOPE were: (1) first</w:t>
            </w:r>
          </w:p>
          <w:p w:rsidR="00000000" w:rsidRDefault="00E33D6E">
            <w:pPr>
              <w:autoSpaceDE w:val="0"/>
              <w:autoSpaceDN w:val="0"/>
              <w:adjustRightInd w:val="0"/>
              <w:spacing w:before="0" w:after="0"/>
              <w:jc w:val="center"/>
              <w:rPr>
                <w:rFonts w:ascii="AdvGulliv-R" w:hAnsi="AdvGulliv-R" w:cs="AdvGulliv-R"/>
                <w:sz w:val="18"/>
                <w:szCs w:val="18"/>
                <w:lang w:val="en-GB"/>
              </w:rPr>
            </w:pPr>
            <w:r w:rsidRPr="00E33D6E">
              <w:rPr>
                <w:rFonts w:ascii="AdvGulliv-R" w:hAnsi="AdvGulliv-R" w:cs="AdvGulliv-R"/>
                <w:sz w:val="18"/>
                <w:szCs w:val="18"/>
                <w:lang w:val="en-GB"/>
              </w:rPr>
              <w:t xml:space="preserve">detected hypertension after 20-week gestation (systolic blood pressure ≥140 mm Hg or diastolic blood pressure </w:t>
            </w:r>
            <w:r w:rsidRPr="00E33D6E">
              <w:rPr>
                <w:rFonts w:ascii="AdvP4C4E74" w:hAnsi="AdvP4C4E74" w:cs="AdvP4C4E74"/>
                <w:sz w:val="18"/>
                <w:szCs w:val="18"/>
                <w:lang w:val="en-GB"/>
              </w:rPr>
              <w:t>≥</w:t>
            </w:r>
            <w:r w:rsidRPr="00E33D6E">
              <w:rPr>
                <w:rFonts w:ascii="AdvGulliv-R" w:hAnsi="AdvGulliv-R" w:cs="AdvGulliv-R"/>
                <w:sz w:val="18"/>
                <w:szCs w:val="18"/>
                <w:lang w:val="en-GB"/>
              </w:rPr>
              <w:t>140 mm Hg); (2) urinary protein &gt; 0.3 g/24 h or random urinary protein &gt; 1+; (3) new-onset hypertension or one or more of adverse characteristics [including thrombocytopenia (&lt;100000/</w:t>
            </w:r>
            <w:r w:rsidRPr="00E33D6E">
              <w:rPr>
                <w:rFonts w:ascii="AdvPSMP13" w:hAnsi="AdvPSMP13" w:cs="AdvPSMP13"/>
                <w:sz w:val="18"/>
                <w:szCs w:val="18"/>
                <w:lang w:val="en-GB"/>
              </w:rPr>
              <w:t>l</w:t>
            </w:r>
            <w:r w:rsidRPr="00E33D6E">
              <w:rPr>
                <w:rFonts w:ascii="AdvGulliv-R" w:hAnsi="AdvGulliv-R" w:cs="AdvGulliv-R"/>
                <w:sz w:val="18"/>
                <w:szCs w:val="18"/>
                <w:lang w:val="en-GB"/>
              </w:rPr>
              <w:t>L), renal injury (creatinine &gt; 1.1 mg/dL), pulmonary edema, liver dysfunction, cerebral or visual impairment. Patients showing systolic blood pressure ≥160 mm Hg or diastolic blood pressure ≥110 mm Hg accompanied with mild proteinuria, or mild hypertension with severe proteinuria (&gt;2 g/24 h or random</w:t>
            </w:r>
          </w:p>
          <w:p w:rsidR="0029146F" w:rsidRPr="00154E05" w:rsidRDefault="00E33D6E" w:rsidP="0029146F">
            <w:pPr>
              <w:autoSpaceDE w:val="0"/>
              <w:autoSpaceDN w:val="0"/>
              <w:adjustRightInd w:val="0"/>
              <w:spacing w:before="0" w:after="0"/>
              <w:jc w:val="center"/>
              <w:rPr>
                <w:rFonts w:cs="Times New Roman"/>
                <w:sz w:val="18"/>
                <w:szCs w:val="18"/>
              </w:rPr>
            </w:pPr>
            <w:r w:rsidRPr="00E33D6E">
              <w:rPr>
                <w:rFonts w:ascii="AdvGulliv-R" w:hAnsi="AdvGulliv-R" w:cs="AdvGulliv-R"/>
                <w:sz w:val="18"/>
                <w:szCs w:val="18"/>
                <w:lang w:val="en-GB"/>
              </w:rPr>
              <w:t>urinary protein &gt; 2+) were included in the severe EOPE group, and the rest were included in the mild EOPE group</w:t>
            </w:r>
          </w:p>
        </w:tc>
      </w:tr>
      <w:tr w:rsidR="00B41038" w:rsidRPr="0077524C" w:rsidTr="001D7AE5">
        <w:trPr>
          <w:trHeight w:val="1533"/>
        </w:trPr>
        <w:tc>
          <w:tcPr>
            <w:tcW w:w="2261" w:type="dxa"/>
            <w:shd w:val="clear" w:color="auto" w:fill="auto"/>
            <w:noWrap/>
            <w:vAlign w:val="center"/>
            <w:hideMark/>
          </w:tcPr>
          <w:p w:rsidR="00B41038" w:rsidRDefault="00B41038" w:rsidP="00E330BB">
            <w:pPr>
              <w:spacing w:before="0" w:after="0"/>
              <w:jc w:val="center"/>
              <w:rPr>
                <w:rFonts w:eastAsia="Times New Roman"/>
                <w:color w:val="000000"/>
                <w:sz w:val="18"/>
                <w:szCs w:val="18"/>
              </w:rPr>
            </w:pPr>
            <w:r>
              <w:rPr>
                <w:rFonts w:eastAsia="Times New Roman"/>
                <w:color w:val="000000"/>
                <w:sz w:val="18"/>
                <w:szCs w:val="18"/>
              </w:rPr>
              <w:t>Luizon, 2021</w:t>
            </w:r>
          </w:p>
        </w:tc>
        <w:tc>
          <w:tcPr>
            <w:tcW w:w="1091" w:type="dxa"/>
            <w:shd w:val="clear" w:color="auto" w:fill="auto"/>
            <w:noWrap/>
            <w:vAlign w:val="center"/>
            <w:hideMark/>
          </w:tcPr>
          <w:p w:rsidR="00B41038" w:rsidRDefault="00B41038" w:rsidP="00E330BB">
            <w:pPr>
              <w:spacing w:before="0" w:after="0"/>
              <w:jc w:val="center"/>
              <w:rPr>
                <w:rFonts w:eastAsia="Times New Roman"/>
                <w:color w:val="000000"/>
                <w:sz w:val="18"/>
                <w:szCs w:val="18"/>
              </w:rPr>
            </w:pPr>
            <w:r>
              <w:rPr>
                <w:rFonts w:eastAsia="Times New Roman"/>
                <w:color w:val="000000"/>
                <w:sz w:val="18"/>
                <w:szCs w:val="18"/>
              </w:rPr>
              <w:t>mPE</w:t>
            </w:r>
          </w:p>
        </w:tc>
        <w:tc>
          <w:tcPr>
            <w:tcW w:w="4098" w:type="dxa"/>
            <w:shd w:val="clear" w:color="auto" w:fill="auto"/>
            <w:vAlign w:val="center"/>
            <w:hideMark/>
          </w:tcPr>
          <w:p w:rsidR="00B41038" w:rsidRDefault="00B41038" w:rsidP="005B7CE7">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134" w:type="dxa"/>
            <w:vAlign w:val="center"/>
          </w:tcPr>
          <w:p w:rsidR="00B41038" w:rsidRDefault="00B41038"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sPE</w:t>
            </w:r>
          </w:p>
        </w:tc>
        <w:tc>
          <w:tcPr>
            <w:tcW w:w="4137" w:type="dxa"/>
            <w:vAlign w:val="center"/>
          </w:tcPr>
          <w:p w:rsidR="00B41038" w:rsidRPr="00154E05" w:rsidRDefault="00E33D6E" w:rsidP="0029146F">
            <w:pPr>
              <w:autoSpaceDE w:val="0"/>
              <w:autoSpaceDN w:val="0"/>
              <w:adjustRightInd w:val="0"/>
              <w:spacing w:before="0" w:after="0"/>
              <w:jc w:val="center"/>
              <w:rPr>
                <w:rFonts w:ascii="AdvGulliv-R" w:hAnsi="AdvGulliv-R" w:cs="AdvGulliv-R"/>
                <w:sz w:val="18"/>
                <w:szCs w:val="18"/>
                <w:lang w:val="en-GB"/>
              </w:rPr>
            </w:pPr>
            <w:r w:rsidRPr="00E33D6E">
              <w:rPr>
                <w:rFonts w:ascii="AdvGulliv-R" w:hAnsi="AdvGulliv-R" w:cs="AdvGulliv-R"/>
                <w:sz w:val="18"/>
                <w:szCs w:val="18"/>
                <w:lang w:val="en-GB"/>
              </w:rPr>
              <w:t>Not reported</w:t>
            </w:r>
          </w:p>
        </w:tc>
      </w:tr>
      <w:tr w:rsidR="00D5679E" w:rsidRPr="0077524C" w:rsidTr="001D7AE5">
        <w:trPr>
          <w:trHeight w:val="1533"/>
        </w:trPr>
        <w:tc>
          <w:tcPr>
            <w:tcW w:w="2261" w:type="dxa"/>
            <w:shd w:val="clear" w:color="auto" w:fill="auto"/>
            <w:noWrap/>
            <w:vAlign w:val="center"/>
            <w:hideMark/>
          </w:tcPr>
          <w:p w:rsidR="00D5679E" w:rsidRDefault="00D5679E" w:rsidP="00E330BB">
            <w:pPr>
              <w:spacing w:before="0" w:after="0"/>
              <w:jc w:val="center"/>
              <w:rPr>
                <w:rFonts w:eastAsia="Times New Roman"/>
                <w:color w:val="000000"/>
                <w:sz w:val="18"/>
                <w:szCs w:val="18"/>
              </w:rPr>
            </w:pPr>
            <w:r>
              <w:rPr>
                <w:rFonts w:eastAsia="Times New Roman"/>
                <w:color w:val="000000"/>
                <w:sz w:val="18"/>
                <w:szCs w:val="18"/>
              </w:rPr>
              <w:t>Witvrouwen, 2021</w:t>
            </w:r>
          </w:p>
        </w:tc>
        <w:tc>
          <w:tcPr>
            <w:tcW w:w="1091" w:type="dxa"/>
            <w:shd w:val="clear" w:color="auto" w:fill="auto"/>
            <w:noWrap/>
            <w:vAlign w:val="center"/>
            <w:hideMark/>
          </w:tcPr>
          <w:p w:rsidR="00D5679E" w:rsidRDefault="00D5679E" w:rsidP="00E330BB">
            <w:pPr>
              <w:spacing w:before="0" w:after="0"/>
              <w:jc w:val="center"/>
              <w:rPr>
                <w:rFonts w:eastAsia="Times New Roman"/>
                <w:color w:val="000000"/>
                <w:sz w:val="18"/>
                <w:szCs w:val="18"/>
              </w:rPr>
            </w:pPr>
            <w:r>
              <w:rPr>
                <w:rFonts w:eastAsia="Times New Roman"/>
                <w:color w:val="000000"/>
                <w:sz w:val="18"/>
                <w:szCs w:val="18"/>
              </w:rPr>
              <w:t>/</w:t>
            </w:r>
          </w:p>
        </w:tc>
        <w:tc>
          <w:tcPr>
            <w:tcW w:w="4098" w:type="dxa"/>
            <w:shd w:val="clear" w:color="auto" w:fill="auto"/>
            <w:vAlign w:val="center"/>
            <w:hideMark/>
          </w:tcPr>
          <w:p w:rsidR="00D5679E" w:rsidRDefault="00D5679E" w:rsidP="005B7CE7">
            <w:pPr>
              <w:autoSpaceDE w:val="0"/>
              <w:autoSpaceDN w:val="0"/>
              <w:adjustRightInd w:val="0"/>
              <w:spacing w:before="0" w:after="0"/>
              <w:jc w:val="center"/>
              <w:rPr>
                <w:rFonts w:cs="Times New Roman"/>
                <w:sz w:val="18"/>
                <w:szCs w:val="18"/>
              </w:rPr>
            </w:pPr>
            <w:r>
              <w:rPr>
                <w:rFonts w:cs="Times New Roman"/>
                <w:sz w:val="18"/>
                <w:szCs w:val="18"/>
              </w:rPr>
              <w:t>/</w:t>
            </w:r>
          </w:p>
        </w:tc>
        <w:tc>
          <w:tcPr>
            <w:tcW w:w="1134" w:type="dxa"/>
            <w:vAlign w:val="center"/>
          </w:tcPr>
          <w:p w:rsidR="00D5679E" w:rsidRDefault="00D5679E"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EOPE</w:t>
            </w:r>
          </w:p>
        </w:tc>
        <w:tc>
          <w:tcPr>
            <w:tcW w:w="4137" w:type="dxa"/>
            <w:vAlign w:val="center"/>
          </w:tcPr>
          <w:p w:rsidR="00D5679E" w:rsidRPr="00154E05" w:rsidRDefault="00E33D6E" w:rsidP="0029146F">
            <w:pPr>
              <w:autoSpaceDE w:val="0"/>
              <w:autoSpaceDN w:val="0"/>
              <w:adjustRightInd w:val="0"/>
              <w:spacing w:before="0" w:after="0"/>
              <w:jc w:val="center"/>
              <w:rPr>
                <w:rFonts w:ascii="AdvGulliv-R" w:hAnsi="AdvGulliv-R" w:cs="AdvGulliv-R"/>
                <w:sz w:val="18"/>
                <w:szCs w:val="18"/>
                <w:lang w:val="en-GB"/>
              </w:rPr>
            </w:pPr>
            <w:r w:rsidRPr="00E33D6E">
              <w:rPr>
                <w:rFonts w:ascii="AdvGulliv-R" w:hAnsi="AdvGulliv-R" w:cs="AdvGulliv-R"/>
                <w:sz w:val="18"/>
                <w:szCs w:val="18"/>
                <w:lang w:val="en-GB"/>
              </w:rPr>
              <w:t>Gestational age &lt;34 weeks</w:t>
            </w:r>
          </w:p>
        </w:tc>
      </w:tr>
      <w:tr w:rsidR="0082041D" w:rsidRPr="0077524C" w:rsidTr="001D7AE5">
        <w:trPr>
          <w:trHeight w:val="1533"/>
        </w:trPr>
        <w:tc>
          <w:tcPr>
            <w:tcW w:w="2261" w:type="dxa"/>
            <w:shd w:val="clear" w:color="auto" w:fill="auto"/>
            <w:noWrap/>
            <w:vAlign w:val="center"/>
            <w:hideMark/>
          </w:tcPr>
          <w:p w:rsidR="0082041D" w:rsidRDefault="0082041D" w:rsidP="00E330BB">
            <w:pPr>
              <w:spacing w:before="0" w:after="0"/>
              <w:jc w:val="center"/>
              <w:rPr>
                <w:rFonts w:eastAsia="Times New Roman"/>
                <w:color w:val="000000"/>
                <w:sz w:val="18"/>
                <w:szCs w:val="18"/>
              </w:rPr>
            </w:pPr>
            <w:r>
              <w:rPr>
                <w:rFonts w:eastAsia="Times New Roman"/>
                <w:color w:val="000000"/>
                <w:sz w:val="18"/>
                <w:szCs w:val="18"/>
              </w:rPr>
              <w:lastRenderedPageBreak/>
              <w:t>Xu, 2021</w:t>
            </w:r>
          </w:p>
        </w:tc>
        <w:tc>
          <w:tcPr>
            <w:tcW w:w="1091" w:type="dxa"/>
            <w:shd w:val="clear" w:color="auto" w:fill="auto"/>
            <w:noWrap/>
            <w:vAlign w:val="center"/>
            <w:hideMark/>
          </w:tcPr>
          <w:p w:rsidR="0082041D" w:rsidRDefault="0082041D" w:rsidP="00E330BB">
            <w:pPr>
              <w:spacing w:before="0" w:after="0"/>
              <w:jc w:val="center"/>
              <w:rPr>
                <w:rFonts w:eastAsia="Times New Roman"/>
                <w:color w:val="000000"/>
                <w:sz w:val="18"/>
                <w:szCs w:val="18"/>
              </w:rPr>
            </w:pPr>
            <w:r>
              <w:rPr>
                <w:rFonts w:eastAsia="Times New Roman"/>
                <w:color w:val="000000"/>
                <w:sz w:val="18"/>
                <w:szCs w:val="18"/>
              </w:rPr>
              <w:t>/</w:t>
            </w:r>
          </w:p>
        </w:tc>
        <w:tc>
          <w:tcPr>
            <w:tcW w:w="4098" w:type="dxa"/>
            <w:shd w:val="clear" w:color="auto" w:fill="auto"/>
            <w:vAlign w:val="center"/>
            <w:hideMark/>
          </w:tcPr>
          <w:p w:rsidR="0082041D" w:rsidRDefault="0082041D" w:rsidP="005B7CE7">
            <w:pPr>
              <w:autoSpaceDE w:val="0"/>
              <w:autoSpaceDN w:val="0"/>
              <w:adjustRightInd w:val="0"/>
              <w:spacing w:before="0" w:after="0"/>
              <w:jc w:val="center"/>
              <w:rPr>
                <w:rFonts w:cs="Times New Roman"/>
                <w:sz w:val="18"/>
                <w:szCs w:val="18"/>
              </w:rPr>
            </w:pPr>
            <w:r>
              <w:rPr>
                <w:rFonts w:cs="Times New Roman"/>
                <w:sz w:val="18"/>
                <w:szCs w:val="18"/>
              </w:rPr>
              <w:t>/</w:t>
            </w:r>
          </w:p>
        </w:tc>
        <w:tc>
          <w:tcPr>
            <w:tcW w:w="1134" w:type="dxa"/>
            <w:vAlign w:val="center"/>
          </w:tcPr>
          <w:p w:rsidR="0082041D" w:rsidRDefault="0082041D"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EOPE</w:t>
            </w:r>
          </w:p>
          <w:p w:rsidR="0082041D" w:rsidRDefault="0082041D"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sPE</w:t>
            </w:r>
          </w:p>
        </w:tc>
        <w:tc>
          <w:tcPr>
            <w:tcW w:w="4137" w:type="dxa"/>
            <w:vAlign w:val="center"/>
          </w:tcPr>
          <w:p w:rsidR="0082041D" w:rsidRPr="00154E05" w:rsidRDefault="00E33D6E" w:rsidP="0029146F">
            <w:pPr>
              <w:autoSpaceDE w:val="0"/>
              <w:autoSpaceDN w:val="0"/>
              <w:adjustRightInd w:val="0"/>
              <w:spacing w:before="0" w:after="0"/>
              <w:jc w:val="center"/>
              <w:rPr>
                <w:rFonts w:ascii="AdvGulliv-R" w:hAnsi="AdvGulliv-R" w:cs="AdvGulliv-R"/>
                <w:sz w:val="18"/>
                <w:szCs w:val="18"/>
                <w:lang w:val="en-GB"/>
              </w:rPr>
            </w:pPr>
            <w:r w:rsidRPr="00E33D6E">
              <w:rPr>
                <w:rFonts w:ascii="AdvGulliv-R" w:hAnsi="AdvGulliv-R" w:cs="AdvGulliv-R"/>
                <w:sz w:val="18"/>
                <w:szCs w:val="18"/>
                <w:lang w:val="en-GB"/>
              </w:rPr>
              <w:t>Not reported</w:t>
            </w:r>
          </w:p>
        </w:tc>
      </w:tr>
      <w:tr w:rsidR="00DC1665" w:rsidRPr="0077524C" w:rsidTr="001D7AE5">
        <w:trPr>
          <w:trHeight w:val="1533"/>
        </w:trPr>
        <w:tc>
          <w:tcPr>
            <w:tcW w:w="2261" w:type="dxa"/>
            <w:shd w:val="clear" w:color="auto" w:fill="auto"/>
            <w:noWrap/>
            <w:vAlign w:val="center"/>
            <w:hideMark/>
          </w:tcPr>
          <w:p w:rsidR="00DC1665" w:rsidRDefault="00DC1665" w:rsidP="00E330BB">
            <w:pPr>
              <w:spacing w:before="0" w:after="0"/>
              <w:jc w:val="center"/>
              <w:rPr>
                <w:rFonts w:eastAsia="Times New Roman"/>
                <w:color w:val="000000"/>
                <w:sz w:val="18"/>
                <w:szCs w:val="18"/>
              </w:rPr>
            </w:pPr>
            <w:r>
              <w:rPr>
                <w:rFonts w:eastAsia="Times New Roman"/>
                <w:color w:val="000000"/>
                <w:sz w:val="18"/>
                <w:szCs w:val="18"/>
              </w:rPr>
              <w:t>Yu, 2021</w:t>
            </w:r>
          </w:p>
        </w:tc>
        <w:tc>
          <w:tcPr>
            <w:tcW w:w="1091" w:type="dxa"/>
            <w:shd w:val="clear" w:color="auto" w:fill="auto"/>
            <w:noWrap/>
            <w:vAlign w:val="center"/>
            <w:hideMark/>
          </w:tcPr>
          <w:p w:rsidR="00DC1665" w:rsidRDefault="00DC1665" w:rsidP="00E330BB">
            <w:pPr>
              <w:spacing w:before="0" w:after="0"/>
              <w:jc w:val="center"/>
              <w:rPr>
                <w:rFonts w:eastAsia="Times New Roman"/>
                <w:color w:val="000000"/>
                <w:sz w:val="18"/>
                <w:szCs w:val="18"/>
              </w:rPr>
            </w:pPr>
            <w:r>
              <w:rPr>
                <w:rFonts w:eastAsia="Times New Roman"/>
                <w:color w:val="000000"/>
                <w:sz w:val="18"/>
                <w:szCs w:val="18"/>
              </w:rPr>
              <w:t>/</w:t>
            </w:r>
          </w:p>
        </w:tc>
        <w:tc>
          <w:tcPr>
            <w:tcW w:w="4098" w:type="dxa"/>
            <w:shd w:val="clear" w:color="auto" w:fill="auto"/>
            <w:vAlign w:val="center"/>
            <w:hideMark/>
          </w:tcPr>
          <w:p w:rsidR="00DC1665" w:rsidRDefault="00DC1665" w:rsidP="005B7CE7">
            <w:pPr>
              <w:autoSpaceDE w:val="0"/>
              <w:autoSpaceDN w:val="0"/>
              <w:adjustRightInd w:val="0"/>
              <w:spacing w:before="0" w:after="0"/>
              <w:jc w:val="center"/>
              <w:rPr>
                <w:rFonts w:cs="Times New Roman"/>
                <w:sz w:val="18"/>
                <w:szCs w:val="18"/>
              </w:rPr>
            </w:pPr>
            <w:r>
              <w:rPr>
                <w:rFonts w:cs="Times New Roman"/>
                <w:sz w:val="18"/>
                <w:szCs w:val="18"/>
              </w:rPr>
              <w:t>/</w:t>
            </w:r>
          </w:p>
        </w:tc>
        <w:tc>
          <w:tcPr>
            <w:tcW w:w="1134" w:type="dxa"/>
            <w:vAlign w:val="center"/>
          </w:tcPr>
          <w:p w:rsidR="00DC1665" w:rsidRDefault="00DC1665" w:rsidP="005B7CE7">
            <w:pPr>
              <w:spacing w:before="0" w:after="0"/>
              <w:jc w:val="center"/>
              <w:rPr>
                <w:rFonts w:eastAsia="Times New Roman" w:cs="Times New Roman"/>
                <w:color w:val="000000"/>
                <w:sz w:val="18"/>
                <w:szCs w:val="18"/>
              </w:rPr>
            </w:pPr>
            <w:r>
              <w:rPr>
                <w:rFonts w:eastAsia="Times New Roman" w:cs="Times New Roman"/>
                <w:color w:val="000000"/>
                <w:sz w:val="18"/>
                <w:szCs w:val="18"/>
              </w:rPr>
              <w:t>sPE</w:t>
            </w:r>
          </w:p>
        </w:tc>
        <w:tc>
          <w:tcPr>
            <w:tcW w:w="4137" w:type="dxa"/>
            <w:vAlign w:val="center"/>
          </w:tcPr>
          <w:p w:rsidR="00DC1665" w:rsidRPr="00154E05" w:rsidRDefault="00E33D6E" w:rsidP="00DC1665">
            <w:pPr>
              <w:autoSpaceDE w:val="0"/>
              <w:autoSpaceDN w:val="0"/>
              <w:adjustRightInd w:val="0"/>
              <w:spacing w:before="0" w:after="0"/>
              <w:jc w:val="center"/>
              <w:rPr>
                <w:rFonts w:ascii="AdvGulliv-R" w:hAnsi="AdvGulliv-R" w:cs="AdvGulliv-R"/>
                <w:sz w:val="18"/>
                <w:szCs w:val="18"/>
                <w:lang w:val="en-GB"/>
              </w:rPr>
            </w:pPr>
            <w:r w:rsidRPr="00E33D6E">
              <w:rPr>
                <w:rFonts w:eastAsia="STIX-Regular" w:cs="Times New Roman"/>
                <w:sz w:val="18"/>
                <w:szCs w:val="18"/>
              </w:rPr>
              <w:t>Diagnosis of severe PE was based on the definition in Williams Obstetrics (23</w:t>
            </w:r>
            <w:r w:rsidRPr="00E33D6E">
              <w:rPr>
                <w:rFonts w:eastAsia="STIX-Regular" w:cs="Times New Roman"/>
                <w:sz w:val="18"/>
                <w:szCs w:val="18"/>
                <w:vertAlign w:val="superscript"/>
              </w:rPr>
              <w:t>rd</w:t>
            </w:r>
            <w:r w:rsidRPr="00E33D6E">
              <w:rPr>
                <w:rFonts w:eastAsia="STIX-Regular" w:cs="Times New Roman"/>
                <w:sz w:val="18"/>
                <w:szCs w:val="18"/>
              </w:rPr>
              <w:t xml:space="preserve"> Edition)</w:t>
            </w:r>
          </w:p>
        </w:tc>
      </w:tr>
    </w:tbl>
    <w:p w:rsidR="00F800A3" w:rsidRDefault="00F800A3" w:rsidP="00163EED">
      <w:pPr>
        <w:spacing w:before="0" w:after="200" w:line="276" w:lineRule="auto"/>
        <w:rPr>
          <w:szCs w:val="24"/>
        </w:rPr>
        <w:sectPr w:rsidR="00F800A3" w:rsidSect="00CC083E">
          <w:pgSz w:w="15840" w:h="12240" w:orient="landscape"/>
          <w:pgMar w:top="1282" w:right="1138" w:bottom="1181" w:left="1138" w:header="720" w:footer="720" w:gutter="0"/>
          <w:cols w:space="720"/>
          <w:titlePg/>
          <w:docGrid w:linePitch="360"/>
        </w:sectPr>
      </w:pPr>
    </w:p>
    <w:p w:rsidR="006D38DA" w:rsidRDefault="006D38DA" w:rsidP="006D38DA">
      <w:pPr>
        <w:rPr>
          <w:szCs w:val="24"/>
        </w:rPr>
      </w:pPr>
      <w:r>
        <w:rPr>
          <w:szCs w:val="24"/>
        </w:rPr>
        <w:lastRenderedPageBreak/>
        <w:t xml:space="preserve">Table </w:t>
      </w:r>
      <w:r w:rsidR="003F696B">
        <w:rPr>
          <w:szCs w:val="24"/>
        </w:rPr>
        <w:t>S</w:t>
      </w:r>
      <w:r w:rsidR="00296202">
        <w:rPr>
          <w:szCs w:val="24"/>
        </w:rPr>
        <w:t>4</w:t>
      </w:r>
      <w:r>
        <w:rPr>
          <w:szCs w:val="24"/>
        </w:rPr>
        <w:t>. Quantification methods and housekeeping gene</w:t>
      </w:r>
    </w:p>
    <w:tbl>
      <w:tblPr>
        <w:tblW w:w="11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3100"/>
        <w:gridCol w:w="4280"/>
        <w:gridCol w:w="1099"/>
        <w:gridCol w:w="1836"/>
      </w:tblGrid>
      <w:tr w:rsidR="00247AFE" w:rsidRPr="000459A8" w:rsidTr="00130F93">
        <w:trPr>
          <w:trHeight w:val="492"/>
          <w:jc w:val="center"/>
        </w:trPr>
        <w:tc>
          <w:tcPr>
            <w:tcW w:w="1052"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Ref No</w:t>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First method (which)</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Validation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Validation population</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Housekeeping</w:t>
            </w:r>
          </w:p>
          <w:p w:rsidR="00247AFE" w:rsidRPr="000710F5" w:rsidRDefault="00247AFE" w:rsidP="009B2A14">
            <w:pPr>
              <w:spacing w:after="0"/>
              <w:jc w:val="center"/>
              <w:rPr>
                <w:rFonts w:eastAsia="Times New Roman"/>
                <w:sz w:val="18"/>
                <w:szCs w:val="18"/>
              </w:rPr>
            </w:pPr>
            <w:r w:rsidRPr="000710F5">
              <w:rPr>
                <w:rFonts w:eastAsia="Times New Roman"/>
                <w:sz w:val="18"/>
                <w:szCs w:val="18"/>
              </w:rPr>
              <w:t>gene</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{"citationItems":[{"id":"ITEM-1","itemData":{"DOI":"10.1016/j.ajog.2007.01.008","abstract":"Objective: Preeclampsia and small-for-gestational age (SGA) neonates have partially overlapping clinicopathologic features. MicroRNAs (miRNAs) are critical posttranscriptional regulators of gene expression. This study was performed to determine whether preeclampsia and SGA are associated with alterations in placental miRNA expression. Study design: Placentas were obtained from patients with (1) preeclampsia (n = 9); (2) SGA (n = 9); (3) preeclampsia + SGA (n = 9); and (4) a control group with spontaneous preterm labor and delivery (PTL; n = 9). The expression of 157 miRNAs was assessed by real-time quantitative reverse transcription-polymerase chain reaction. Results: Differential expression between preeclampsia and the control group (miR-210, miR-182) and between preeclampsia + SGA and the control group (miR-210, miR-182*, and others) was found. Gene Ontology analysis of the target genes revealed enrichment for specific biological process categories (antiapoptosis: miR-182; regulation of transcription: miR-210). Conclusion: This study reports, for the first time, increased expression of specific placental miRNAs in preeclampsia with and without SGA. The findings also provide novel targets for further investigation of the pathophysiology of preeclampsia. © 2007 Mosby, Inc. All rights reserved.","author":[{"dropping-particle":"","family":"Pineles","given":"Beth L.","non-dropping-particle":"","parse-names":false,"suffix":""},{"dropping-particle":"","family":"Romero","given":"Roberto","non-dropping-particle":"","parse-names":false,"suffix":""},{"dropping-particle":"","family":"Montenegro","given":"Daniel","non-dropping-particle":"","parse-names":false,"suffix":""},{"dropping-particle":"","family":"Tarca","given":"Adi L.","non-dropping-particle":"","parse-names":false,"suffix":""},{"dropping-particle":"","family":"Han","given":"Yu Mi","non-dropping-particle":"","parse-names":false,"suffix":""},{"dropping-particle":"","family":"Kim","given":"Yeon Mee","non-dropping-particle":"","parse-names":false,"suffix":""},{"dropping-particle":"","family":"Draghici","given":"Sorin","non-dropping-particle":"","parse-names":false,"suffix":""},{"dropping-particle":"","family":"Espinoza","given":"Jimmy","non-dropping-particle":"","parse-names":false,"suffix":""},{"dropping-particle":"","family":"Kusanovic","given":"Juan Pedro","non-dropping-particle":"","parse-names":false,"suffix":""},{"dropping-particle":"","family":"Mittal","given":"Pooja","non-dropping-particle":"","parse-names":false,"suffix":""},{"dropping-particle":"","family":"Hassan","given":"Sonia S.","non-dropping-particle":"","parse-names":false,"suffix":""},{"dropping-particle":"","family":"Kim","given":"Chong Jai","non-dropping-particle":"","parse-names":false,"suffix":""}],"container-title":"American Journal of Obstetrics and Gynecology","id":"ITEM-1","issue":"3","issued":{"date-parts":[["2007"]]},"page":"261.e1-261.e6","title":"Distinct subsets of microRNAs are expressed differentially in the human placentas of patients with preeclampsia","type":"article-journal","volume":"196"},"uris":["http://www.mendeley.com/documents/?uuid=42454892-87c6-324a-acee-8b1ea4c9457e"]}],"mendeley":{"formattedCitation":"(Pineles et al., 2007)","plainTextFormattedCitation":"(Pineles et al., 2007)","previouslyFormattedCitation":"(Pineles et al., 2007)"},"properties":{"noteIndex":0},"schema":"https://github.com/citation-style-language/schema/raw/master/csl-citation.json"}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(Pineles et al., 2007)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Assays Human</w:t>
            </w:r>
            <w:r w:rsidRPr="000710F5">
              <w:rPr>
                <w:rFonts w:eastAsia="Times New Roman"/>
                <w:sz w:val="18"/>
                <w:szCs w:val="18"/>
              </w:rPr>
              <w:br/>
              <w:t>Panel–Early Access Kit (Applied Biosystems, Foster City, CA), with 2-step qRT-PCR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5S rRNA for qRT-PCR</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(Hu et al., 2009)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w:t>
            </w:r>
            <w:r w:rsidRPr="000710F5">
              <w:rPr>
                <w:rFonts w:eastAsia="Times New Roman"/>
                <w:sz w:val="18"/>
                <w:szCs w:val="18"/>
              </w:rPr>
              <w:br/>
              <w:t>microarray chip</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(TaqMan  MicroRNA</w:t>
            </w:r>
            <w:r w:rsidRPr="000710F5">
              <w:rPr>
                <w:rFonts w:eastAsia="Times New Roman"/>
                <w:sz w:val="18"/>
                <w:szCs w:val="18"/>
              </w:rPr>
              <w:br/>
              <w:t>Assays with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{"citationItems":[{"id":"ITEM-1","itemData":{"DOI":"10.1016/j.ajog.2008.12.045","abstract":"Objective: The purpose of this study was to perform a comprehensive analysis of the microRNA expression profile in placentas from preeclamptic pregnancies vs normal placentas. Study Design: Placentas were obtained from patients with (1) mild preeclampsia (n = 8) and (2) severe preeclampsia (n = 15) and (3) in a normal control group (n = 11) with elective cesarean delivery. The microRNA expression profile was assessed by microRNA microarray and real-time reverse transcriptase-polymerase chain reaction analysis. Results: Thirty-four microRNAs were expressed differentially in preeclamptic placentas, compared with normal placentas. Of these, 11 microRNAs were overexpressed, and 23 microRNAs were underexpressed in preeclamptic pregnancies. Notably, several microRNA clusters on human chromosome 19q13.42, 13q31.3, Xq26.2, Xq26.3, and 14q32.31 (a human imprinted region) were expressed differentially in preeclamptic placentas. These results were confirmed with the use of real-time polymerase chain reaction for selected microRNAs (miR-210, -152, -411, and so on). Conclusion: The results show that 34 microRNAs are deregulated in preeclamptic pregnancies, which suggests the involvement of these microRNAs in the pathogenesis of preeclampsia. © 2009 Mosby, Inc. All rights reserved.","author":[{"dropping-particle":"","family":"Zhu","given":"Xiao ming","non-dropping-particle":"","parse-names":false,"suffix":""},{"dropping-particle":"","family":"Han","given":"Tao","non-dropping-particle":"","parse-names":false,"suffix":""},{"dropping-particle":"","family":"Sargent","given":"Ian L.","non-dropping-particle":"","parse-names":false,"suffix":""},{"dropping-particle":"","family":"Yin","given":"Guo wu","non-dropping-particle":"","parse-names":false,"suffix":""},{"dropping-particle":"","family":"Yao","given":"Yuan qing","non-dropping-particle":"","parse-names":false,"suffix":""}],"container-title":"American Journal of Obstetrics and Gynecology","id":"ITEM-1","issue":"6","issued":{"date-parts":[["2009"]]},"page":"661.e1-661.e7","title":"Differential expression profile of microRNAs in human placentas from preeclamptic pregnancies vs normal pregnancies","type":"article-journal","volume":"200"},"uris":["http://www.mendeley.com/documents/?uuid=26350f18-b7af-3b6b-92bb-0efc7dbb860e"]}],"mendeley":{"formattedCitation":"(Zhu et al., 2009)","plainTextFormattedCitation":"(Zhu et al., 2009)","previouslyFormattedCitation":"(Zhu et al., 2009)"},"properties":{"noteIndex":0},"schema":"https://github.com/citation-style-language/schema/raw/master/csl-citation.json"}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(Zhu et al., 2009)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w:t>
            </w:r>
            <w:r w:rsidRPr="000710F5">
              <w:rPr>
                <w:rFonts w:eastAsia="Times New Roman"/>
                <w:sz w:val="18"/>
                <w:szCs w:val="18"/>
              </w:rPr>
              <w:br/>
              <w:t>microarray chip (Exiqon)</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{"citationItems":[{"id":"ITEM-1","itemData":{"DOI":"10.1016/j.ajog.2010.01.057","abstract":"Objective: The aim of this study was to characterize the molecular mechanism of preeclampsia (PE) development through miR-155. Study Design: PE and normal placentas were used to measure miR-155 and cysteine-rich protein 61 (CYR61) expression. CYR61 3' untranslated region was validated as the target of miR-155 using in vitro transfections. miR-155 and CYR61 expression levels were assessed by real-time reverse transcription polymerase chain reaction or Western blot. Results: An inverse correlation was found between miR-155 and CYR61 expression levels, with miR-155 up-regulated and CYR61 down-regulated in PE tissues. Luciferase assays and CYR61 transfection assays experimentally validated that miR-155 efficiently targets the 3' untranslated region of CYR61. Conclusion: This study reported for the first time that overexpression of miR-155 contributes to PE development by targeting and down-regulating angiogenic regulating factor CYR61, leading to pathological alterations. This finding not only characterizes a new mechanism for the disease but also provides a potential therapeutic target. © 2010 Mosby, Inc. All rights reserved.","author":[{"dropping-particle":"","family":"Zhang","given":"Yanqing","non-dropping-particle":"","parse-names":false,"suffix":""},{"dropping-particle":"","family":"Diao","given":"Zhenyu","non-dropping-particle":"","parse-names":false,"suffix":""},{"dropping-particle":"","family":"Su","given":"Li","non-dropping-particle":"","parse-names":false,"suffix":""},{"dropping-particle":"","family":"Sun","given":"Haixiang","non-dropping-particle":"","parse-names":false,"suffix":""},{"dropping-particle":"","family":"Li","given":"Ruotian","non-dropping-particle":"","parse-names":false,"suffix":""},{"dropping-particle":"","family":"Cui","given":"Hengmi","non-dropping-particle":"","parse-names":false,"suffix":""},{"dropping-particle":"","family":"Hu","given":"Yali","non-dropping-particle":"","parse-names":false,"suffix":""}],"container-title":"American Journal of Obstetrics and Gynecology","id":"ITEM-1","issue":"5","issued":{"date-parts":[["2010"]]},"page":"466.e1-466.e7","title":"MicroRNA-155 contributes to preeclampsia by down-regulating CYR61","type":"article-journal","volume":"202"},"uris":["http://www.mendeley.com/documents/?uuid=dccb29b1-58e4-3ac2-a8aa-204332e5bd7a"]}],"mendeley":{"formattedCitation":"(Zhang et al., 2010)","plainTextFormattedCitation":"(Zhang et al., 2010)","previouslyFormattedCitation":"(Zhang et al., 2010)"},"properties":{"noteIndex":0},"schema":"https://github.com/citation-style-language/schema/raw/master/csl-citation.json"}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(Zhang et al., 2010)</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Sybr green qRT-PCR (Toyobo co.,)</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migration assay, Sybr green 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{"citationItems":[{"id":"ITEM-1","itemData":{"DOI":"10.3892/ijmm.2011.598","abstract":"Angiotensin II is critical in pre-eclampsia pathogenesis. In addition, microRNA-155 regulates angiotensin II type 1 receptor expression. We have explored the function of microRNA-155 in pre-eclamptic pregnant women. Human umbilical vein endothelial cells were isolated and cultured from healthy puerperant women and pre-eclampsia patients. The cells were transfected with a mature microRNA-155 plasmid. The effect of microRNA-155 was assessed by Northern blotting, in situ hybridization, quantitative real-time PCR, immunofluorescent staining and Western blotting. In addition, activation of extracellular signal-regulated kinase 1/2 was assessed by co-immunoprecipitation and Western blotting. Severely pre-eclamptic pregnant women expressed less mature miR-155 compared to healthy pregnant women. In addition, angiotensin II type 1 receptor expression decreased substantially in healthy cells and miR-155-transfected cells compared to miR-155-mutant-transfected cells and cells from pre-eclamptic patients. Mature miR-155 reduced angiotensin II-induced extracellular signal-regulated kinase 1/2 activation. In conclusion, endogenous mature miR-155 expression may be an important contributor to the pathogenesis of severe pre-eclampsia.","author":[{"dropping-particle":"","family":"Cheng","given":"Weiwei","non-dropping-particle":"","parse-names":false,"suffix":""},{"dropping-particle":"","family":"Liu","given":"Te","non-dropping-particle":"","parse-names":false,"suffix":""},{"dropping-particle":"","family":"Jiang","given":"Feizhou","non-dropping-particle":"","parse-names":false,"suffix":""},{"dropping-particle":"","family":"Liu","given":"Chunmin","non-dropping-particle":"","parse-names":false,"suffix":""},{"dropping-particle":"","family":"Zhao","given":"Xinrong","non-dropping-particle":"","parse-names":false,"suffix":""},{"dropping-particle":"","family":"Gao","given":"Yongtao","non-dropping-particle":"","parse-names":false,"suffix":""},{"dropping-particle":"","family":"Wang","given":"Hui","non-dropping-particle":"","parse-names":false,"suffix":""},{"dropping-particle":"","family":"Liu","given":"Zhixue","non-dropping-particle":"","parse-names":false,"suffix":""}],"container-title":"International Journal of Molecular Medicine","id":"ITEM-1","issue":"3","issued":{"date-parts":[["2011"]]},"page":"393-399","title":"microRNA-155 regulates angiotensin II type 1 receptor expression in umbilical vein endothelial cells from severely pre-eclamptic pregnant women","type":"article-journal","volume":"27"},"uris":["http://www.mendeley.com/documents/?uuid=93563ca2-1932-3d6a-8237-6a0ddc57b480"]}],"mendeley":{"formattedCitation":"(Cheng et al., 2011)","plainTextFormattedCitation":"(Cheng et al., 2011)","previouslyFormattedCitation":"(Cheng et al., 2011)"},"properties":{"noteIndex":0},"schema":"https://github.com/citation-style-language/schema/raw/master/csl-citation.json"}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(Cheng et al., 2011)</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Northern blot</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Differential expression profile of microRNAs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{"citationItems":[{"id":"ITEM-1","itemData":{"DOI":"10.1016/j.ajog.2010.09.004","abstract":"Objective The role of posttranscription regulation in preeclampsia is largely unknown. We investigated preeclampsia-related placental microRNA (miRNA) expression using microarray and confirmatory quantitative real-time polymerase chain reaction experiments. Study Design Placental expressions of characterized and novel miRNAs (1295 probes) were measured in samples collected from 20 preeclampsia cases and 20 controls. Differential expression was evaluated using Student t test and fold change analyses. In pathway analysis, we examined functions/functional relationships of targets of differentially expressed miRNAs. Results Eight miRNAs were differentially expressed (1 up-regulated and 7 down-regulated) among preeclampsia cases compared with controls. These included previously identified candidates (miR-210, miR-1, and a miRNA in the 14q32.31 cluster region) and others that are novel (miR-584 and miR-34c-5p). These miRNAs target genes that participate in organ/system development (cardiovascular and reproductive system), immunologic dysfunction, cell adhesion, cell cycle, and signaling. Conclusion Expression of miRNAs that target genes in diverse pathophysiological processes is altered in the setting of preeclampsia. © 2011 Mosby, Inc.","author":[{"dropping-particle":"","family":"Enquobahrie","given":"Daniel A.","non-dropping-particle":"","parse-names":false,"suffix":""},{"dropping-particle":"","family":"Abetew","given":"Dejene F.","non-dropping-particle":"","parse-names":false,"suffix":""},{"dropping-particle":"","family":"Sorensen","given":"Tanya K.","non-dropping-particle":"","parse-names":false,"suffix":""},{"dropping-particle":"","family":"Willoughby","given":"David","non-dropping-particle":"","parse-names":false,"suffix":""},{"dropping-particle":"","family":"Chidambaram","given":"Kumaravel","non-dropping-particle":"","parse-names":false,"suffix":""},{"dropping-particle":"","family":"Williams","given":"Michelle A.","non-dropping-particle":"","parse-names":false,"suffix":""}],"container-title":"American Journal of Obstetrics and Gynecology","id":"ITEM-1","issue":"2","issued":{"date-parts":[["2011"]]},"page":"178.e12-178.e21","title":"Placental microRNA expression in pregnancies complicated by preeclampsia","type":"article-journal","volume":"204"},"uris":["http://www.mendeley.com/documents/?uuid=ff7de385-0a48-36c6-a392-ff9cb1ec17fb"]}],"mendeley":{"formattedCitation":"(Enquobahrie et al., 2011)","plainTextFormattedCitation":"(Enquobahrie et al., 2011)","previouslyFormattedCitation":"(Enquobahrie et al., 2011)"},"properties":{"noteIndex":0},"schema":"https://github.com/citation-style-language/schema/raw/master/csl-citation.json"}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(Enquobahrie et al., 2011)</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w:t>
            </w:r>
            <w:r w:rsidRPr="000710F5">
              <w:rPr>
                <w:rFonts w:eastAsia="Times New Roman"/>
                <w:sz w:val="18"/>
                <w:szCs w:val="18"/>
              </w:rPr>
              <w:br/>
              <w:t>microarray chip</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pregnancies vs normal pregnancies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836" w:type="dxa"/>
            <w:shd w:val="clear" w:color="auto" w:fill="auto"/>
            <w:noWrap/>
            <w:vAlign w:val="center"/>
            <w:hideMark/>
          </w:tcPr>
          <w:p w:rsidR="00247AFE" w:rsidRPr="000710F5" w:rsidRDefault="001E29D7" w:rsidP="009B2A14">
            <w:pPr>
              <w:spacing w:after="0"/>
              <w:jc w:val="center"/>
              <w:rPr>
                <w:rFonts w:eastAsia="Times New Roman"/>
                <w:sz w:val="18"/>
                <w:szCs w:val="18"/>
              </w:rPr>
            </w:pPr>
            <w:r>
              <w:rPr>
                <w:rFonts w:eastAsia="Times New Roman"/>
                <w:sz w:val="18"/>
                <w:szCs w:val="18"/>
              </w:rPr>
              <w:t>has</w:t>
            </w:r>
            <w:r w:rsidR="00247AFE" w:rsidRPr="000710F5">
              <w:rPr>
                <w:rFonts w:eastAsia="Times New Roman"/>
                <w:sz w:val="18"/>
                <w:szCs w:val="18"/>
              </w:rPr>
              <w:t>-miRNA-525-5p</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{"citationItems":[{"id":"ITEM-1","itemData":{"DOI":"10.4238/2011.November.8.5","abstract":"Preeclampsia continues to be a mortal disease of pregnant women throughout the world. Recently, geneticists, allied with obstetricians, have opened new frontiers. MicroRNAs (miRNAs) are members of a class of small, noncoding RNA molecules. They are critical posttranscriptional regulators of gene expression. We extracted circulating miRNA from maternal plasma and quantified mir-152 and mir-210. We found up-regulated miR-210 levels as well as down-regulated mir-152 levels in preeclampsia patients.We propose that detection of increased mir-210 levels in maternal serum could be used to improve prediction methods for noninvasive prenatal diagnosis of preeclampsia.","author":[{"dropping-particle":"","family":"Gunel","given":"T.","non-dropping-particle":"","parse-names":false,"suffix":""},{"dropping-particle":"","family":"Zeybek","given":"Y. G.","non-dropping-particle":"","parse-names":false,"suffix":""},{"dropping-particle":"","family":"Akçakaya","given":"P.","non-dropping-particle":"","parse-names":false,"suffix":""},{"dropping-particle":"","family":"Kalelioğlu","given":"I.","non-dropping-particle":"","parse-names":false,"suffix":""},{"dropping-particle":"","family":"Benian","given":"A.","non-dropping-particle":"","parse-names":false,"suffix":""},{"dropping-particle":"","family":"Ermis","given":"H.","non-dropping-particle":"","parse-names":false,"suffix":""},{"dropping-particle":"","family":"Aydınlı","given":"K.","non-dropping-particle":"","parse-names":false,"suffix":""}],"container-title":"Genetics and Molecular Research","id":"ITEM-1","issue":"4","issued":{"date-parts":[["2011"]]},"page":"4034-4040","title":"Serum microRNA expression in pregnancies with preeclampsia","type":"article-journal","volume":"10"},"uris":["http://www.mendeley.com/documents/?uuid=d5ccabc1-34c1-3b98-8865-bc5a5c5a912e"]}],"mendeley":{"formattedCitation":"(Gunel et al., 2011)","plainTextFormattedCitation":"(Gunel et al., 2011)","previouslyFormattedCitation":"(Gunel et al., 2011)"},"properties":{"noteIndex":0},"schema":"https://github.com/citation-style-language/schema/raw/master/csl-citation.json"}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(Gunel et al., 2011)</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High-specificity TaqMan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{"citationItems":[{"id":"ITEM-1","itemData":{"DOI":"10.1371/journal.pone.0021072","abstract":"Background: To gain insight into potential roles of isomiR spectrum and isomiRs with 3′ additions in pre-eclampsia, we performed a comprehensive survey of miRNA repertoire and 3′ addition events from placental samples with different degrees of pre-eclampsia by applying SOLiD sequencing platform. Principal Findings: Over 30% isomiRs were detected with 3′ non-template additional nucleotides, especially for additional nucleotide of adenosine. However, these modified isomiRs showed a lower percentage of total miRNA expression (&lt;15%). Generally, 1-3 abundant isomiRs from a given miRNA locus were identified, but none of them was detected with 3′ additions. Different miRNAs indicated various isomiR spectrums and expression patterns. The most abundant isomiR spectrum, isomiR profile and expression pattern always were stability, but herein we found several exceptions across samples, especially between normal and diseased samples. At isomiR level, we detected a distinct subset of differentially expressed modified isomiRs between normal and diseased samples or between mild and severe samples. Gene Ontology analysis of their experimentally validated target genes revealed enrichment for specific biological process categories. Conclusions: The phenomenon of multiple isomiRs, especially for isomiRs with 3′ additions, is not a random event during pre-miRNA processing. Varieties of isomiRs and expression patterns reveal potential functional implication and should be taken into account. The study enriches association of miRNAs and human disease, including potential roles of various miRNA variants and 3′ addition events. © 2011 Guo et al.","author":[{"dropping-particle":"","family":"Guo","given":"Li","non-dropping-particle":"","parse-names":false,"suffix":""},{"dropping-particle":"","family":"Yang","given":"Qi","non-dropping-particle":"","parse-names":false,"suffix":""},{"dropping-particle":"","family":"Lu","given":"Jiafeng","non-dropping-particle":"","parse-names":false,"suffix":""},{"dropping-particle":"","family":"Li","given":"Hailing","non-dropping-particle":"","parse-names":false,"suffix":""},{"dropping-particle":"","family":"Ge","given":"Qinyu","non-dropping-particle":"","parse-names":false,"suffix":""},{"dropping-particle":"","family":"Gu","given":"Wanjun","non-dropping-particle":"","parse-names":false,"suffix":""},{"dropping-particle":"","family":"Bai","given":"Yunfei","non-dropping-particle":"","parse-names":false,"suffix":""},{"dropping-particle":"","family":"Lu","given":"Zuhong","non-dropping-particle":"","parse-names":false,"suffix":""}],"container-title":"PLoS ONE","id":"ITEM-1","issue":"6","issued":{"date-parts":[["2011"]]},"page":"e21072","title":"A comprehensive survey of miRNA repertoire and 3′ addition events in the placentas of patients with pre-eclampsia from high-throughput sequencing","type":"article-journal","volume":"6"},"uris":["http://www.mendeley.com/documents/?uuid=3aff92af-fa46-389b-9716-1010b1828408"]}],"mendeley":{"formattedCitation":"(Guo et al., 2011)","plainTextFormattedCitation":"(Guo et al., 2011)","previouslyFormattedCitation":"(Guo et al., 2011)"},"properties":{"noteIndex":0},"schema":"https://github.com/citation-style-language/schema/raw/master/csl-citation.json"}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(Guo et al., 2011)</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Small RNA library preparation and sequencing (SOLiDTM sequencing platform)</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Gene Ontology enrichment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{"citationItems":[{"id":"ITEM-1","itemData":{"DOI":"10.1177/1933719110374115","abstract":"MicroRNAs (miRNAs) have emerged as key regulators of gene expression stability implicated in cell proliferation, apoptosis, and development, whereas their altered expression has been associated with various pathological disorders. The objective of this study was to assess the expression profile of miRNAs and their predicted target genes in placentas from patients with preeclampsia (PC) and preterm (PT) labor as compared to normal term (NT) pregnancies. Using microarray profiling of 820 miRNAs and 18,630 mRNA transcripts, the analysis indicated that 283 of these miRNAs and 9119 mRNAs were expressed in all placentas, of which the relative expression of 20 miRNAs (P &lt; .05 and ≥1.5-fold) and 120 mRNAs (P &lt; .05, and 2-fold cutoff) was differentially expressed in PT and PC as compared to NT. The expression of miR-15b, miR-181a, miR-200C, miR-210, miR-296-3p, miR-377, miR-483-5p, and miR-493 and a few of their predicted target genes: matrix metalloproteinases (MMP-1, MMP-9), a disintegrin and metalloproteinase domains (ADAM-17, ADAM-30), tissue inhibitor of metalloproteinase 3 (TIMP-3); suppressor of cytokine signaling 1 (SOCS1); Stanniocalcin (STC2); corticotropin-releasing hormone (CRH), CRH-binding protein (CRHBP); and endothelin-2 (EDN2) were validated in these cohorts using real-time polymerase chain reaction (PCR), some displaying an inverse correlation with the expression of their predicted target genes. Functional analysis indicated that the products of these genes regulate cellular activities considered critical in normal placental functions and those affected by PC and PT labor. In conclusion, the results provide further evidence that placentas affected by PC and PT labor display an altered expression of a number of miRNAs with potential regulatory functions on the expression of specific target genes whose altered expression and function have been associated with these pregnancy complications. © The Author(s) 2011.","author":[{"dropping-particle":"","family":"Mayor-Lynn","given":"Kathleen","non-dropping-particle":"","parse-names":false,"suffix":""},{"dropping-particle":"","family":"Toloubeydokhti","given":"Tannaz","non-dropping-particle":"","parse-names":false,"suffix":""},{"dropping-particle":"","family":"Cruz","given":"Amelia C.","non-dropping-particle":"","parse-names":false,"suffix":""},{"dropping-particle":"","family":"Chegini","given":"Nasser","non-dropping-particle":"","parse-names":false,"suffix":""}],"container-title":"Reproductive Sciences","id":"ITEM-1","issue":"1","issued":{"date-parts":[["2011"]]},"page":"46-56","title":"Expression profile of microRNAs and mRNAs in human placentas from pregnancies complicated by preeclampsia and preterm labor","type":"article-journal","volume":"18"},"uris":["http://www.mendeley.com/documents/?uuid=52ad8c6c-ad7d-3467-9cde-262f3af5b834"]}],"mendeley":{"formattedCitation":"(Mayor-Lynn et al., 2011)","plainTextFormattedCitation":"(Mayor-Lynn et al., 2011)","previouslyFormattedCitation":"(Mayor-Lynn et al., 2011)"},"properties":{"noteIndex":0},"schema":"https://github.com/citation-style-language/schema/raw/master/csl-citation.json"}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(Mayor-Lynn et al., 2011)</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w:t>
            </w:r>
            <w:r w:rsidRPr="000710F5">
              <w:rPr>
                <w:rFonts w:eastAsia="Times New Roman"/>
                <w:sz w:val="18"/>
                <w:szCs w:val="18"/>
              </w:rPr>
              <w:br/>
              <w:t>microarray chip</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not clear</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 and 18S rRNA</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{"citationItems":[{"id":"ITEM-1","itemData":{"DOI":"10.1016/j.cca.2011.07.029","abstract":"Background: Circulating miRNAs, as a new family of miRNAs existing in plasma and serum, had shown great potential to serve as a novel biomarker in body fluid for non-invasive diagnosis and prognosis of plenty kinds of disease, such as cancer and prenatal screening. Methods: In this present study, we analyzed the expression profiles of circulating miRNAs in the serum of four pregnant women with preeclampsia (PE) and one normal control of pregnant women, by the next generation sequencing technology. Results: By annotated the raw sequence reads with the databases of miRNA, genome and others small RNA library, miRNA was found to be the major composition of those small RNA-annotated reads. In the result of circulating miRNA profiles in serum, up to 573 distinct miRNAs were annotated to miRBase. The biological features of circulating miRNA in serum were consistent with those tissue/cell based miRNA in the database. Notably, 22 miRNAs were found to be dys-regulated expressed with PE. Compared to the normal control, 15 and 7 miRNAs were up-regulated and down-regulated respectively in each four PE samples. Among these 22 miRNAs, 3 dys-regulated miRNAs have been reported to be dys-regulated in the placentas of PE pregnancies. Conclusions: Results showed that circulating miRNAs in serum of pregnant women could be detected more comprehensive by the next generation sequencing technology. It also suggested that those PE-related miRNAs obtained in this study might be used as notable biomarkers for diagnosis and prognosis of PE. © 2011 Elsevier B.V.","author":[{"dropping-particle":"","family":"Yang","given":"Qi","non-dropping-particle":"","parse-names":false,"suffix":""},{"dropping-particle":"","family":"Lu","given":"Jiafeng","non-dropping-particle":"","parse-names":false,"suffix":""},{"dropping-particle":"","family":"Wang","given":"Shengqin","non-dropping-particle":"","parse-names":false,"suffix":""},{"dropping-particle":"","family":"Li","given":"Hailin","non-dropping-particle":"","parse-names":false,"suffix":""},{"dropping-particle":"","family":"Ge","given":"Qinyu","non-dropping-particle":"","parse-names":false,"suffix":""},{"dropping-particle":"","family":"Lu","given":"Zuhong","non-dropping-particle":"","parse-names":false,"suffix":""}],"container-title":"Clinica Chimica Acta","id":"ITEM-1","issue":"23-24","issued":{"date-parts":[["2011"]]},"page":"2167-2173","title":"Application of next-generation sequencing technology to profile the circulating microRNAs in the serum of preeclampsia versus normal pregnant women","type":"article-journal","volume":"412"},"uris":["http://www.mendeley.com/documents/?uuid=e63e5120-2f03-33d9-af4f-607d91526a62"]}],"mendeley":{"formattedCitation":"(Yang et al., 2011)","plainTextFormattedCitation":"(Yang et al., 2011)","previouslyFormattedCitation":"(Yang et al., 2011)"},"properties":{"noteIndex":0},"schema":"https://github.com/citation-style-language/schema/raw/master/csl-citation.json"}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et al., 2011)</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next-generation sequencing (ABI SOLID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{"citationItems":[{"id":"ITEM-1","itemData":{"DOI":"10.1371/journal.pone.0038875","abstract":"Background: Preeclampsia (PE) is a pregnancy-specific syndrome manifested by on-set of hypertension and proteinuria after 20 weeks of gestation. Abnormal placenta development has been generally accepted as initial cause of the disorder. Recently, miR-195 was found to be down-regulated in preeclamptic placentas compared with normal pregnant ones, indicating possible association of this small molecule with placental pathology of preeclampsia. By far the function of miR-195 in the development of placenta remains unknown. Methodology/Principal Findings: Bioinformatic assay predicted ActRIIA as one of the targets for miR-195. By using Real-time PCR, Western blotting and Dual Luciferase Assay, we validated that ActRIIA was the direct target of miR-195 in human trophoblast cells. Transwell insert invasion assay showed that miR-195 could promote cell invasion in trophoblast cell line, HTR8/SVneo cells, and the effect could be abrogated by overexpressed ActRIIA. In preeclamptic placenta tissues, pri-miR-195 and mature miR-195 expressions were down-regulated, whereas ActRIIA level appeared to be increased when compared with that in gestational-week-matched normal placentas. Conclusions/Significance: This is the first report on the function of miR-195 in human placental trophoblast cells which reveals an invasion-promoting effect of the small RNA via repressing ActRIIA. Aberrant expression of miR-195 may contribute to the occurrence of preeclampsia through interfering with Activin/Nodal signaling mediated by ActRIIA in human placenta. © 2012 Bai et al.","author":[{"dropping-particle":"","family":"Bai","given":"Yang","non-dropping-particle":"","parse-names":false,"suffix":""},{"dropping-particle":"","family":"Yang","given":"Weiwei","non-dropping-particle":"","parse-names":false,"suffix":""},{"dropping-particle":"","family":"Yang","given":"Hui xia","non-dropping-particle":"","parse-names":false,"suffix":""},{"dropping-particle":"","family":"Liao","given":"Qinping","non-dropping-particle":"","parse-names":false,"suffix":""},{"dropping-particle":"","family":"Ye","given":"Gang","non-dropping-particle":"","parse-names":false,"suffix":""},{"dropping-particle":"","family":"Fu","given":"Guodong","non-dropping-particle":"","parse-names":false,"suffix":""},{"dropping-particle":"","family":"Ji","given":"Lei","non-dropping-particle":"","parse-names":false,"suffix":""},{"dropping-particle":"","family":"Xu","given":"Peng","non-dropping-particle":"","parse-names":false,"suffix":""},{"dropping-particle":"","family":"Wang","given":"Hao","non-dropping-particle":"","parse-names":false,"suffix":""},{"dropping-particle":"","family":"Li","given":"Yu xia","non-dropping-particle":"","parse-names":false,"suffix":""},{"dropping-particle":"","family":"Peng","given":"Chun","non-dropping-particle":"","parse-names":false,"suffix":""},{"dropping-particle":"","family":"Wang","given":"Yan ling","non-dropping-particle":"","parse-names":false,"suffix":""}],"container-title":"PLoS ONE","id":"ITEM-1","issue":"6","issued":{"date-parts":[["2012"]]},"page":"e38875","title":"Downregulated miR-195 detected in Preeclamptic Placenta affects trophoblast cell invasion via modulating ActRIIA expression","type":"article-journal","volume":"7"},"uris":["http://www.mendeley.com/documents/?uuid=6487de34-569c-3778-bec2-480d8ca6122f"]}],"mendeley":{"formattedCitation":"(Bai et al., 2012)","plainTextFormattedCitation":"(Bai et al., 2012)","previouslyFormattedCitation":"(Bai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(Bai et al., 2012)</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 Western blot, Luciferase Dual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{"citationItems":[{"id":"ITEM-1","itemData":{"DOI":"10.1016/j.jmoldx.2011.11.003","abstract":"Placental insufficiencyrelated complications are one of the leading causes of maternal and perinatal morbidity and mortality. This study investigated the quantification of placenta-specific microRNAs (miRNAs) in the maternal circulation during gestation in a cohort of women with normally progressing pregnancies, the differentiation between placental insufficiencyrelated complications and normally progressing pregnancies, and the differentiation between placental insufficiency and normally progressing pregnancies during the early stages of gestation. Both absolute and relative quantification of placenta-specific miRNAs (ie, miR-516-5p, miR-517 (*), miR-518b, miR-520a (*), miR-520h, miR-525, and miR-526a) was determined in 50 women with normally progressing pregnancies, 32 with complicated pregnancies [21 with preeclampsia with or without intrauterine growth retardation (IUGR) and 11 with IUGR], and 7 women with pregnancies at various gestational stages who later developed preeclampsia and/or IUGR using real-time PCR and a comparative C T method relative to normalization factor (ie, geometric mean of ubiquitous miR-16 and let-7d). Both quantification approaches revealed significant increases in extracellular placentaspecific miRNA levels over time in women with normally progressing pregnancies; however, they were not able to differentiate between normally progressing and complicated pregnancies at the time of preeclampsia and/or IUGR onset. Nevertheless, significant elevation of extracellular miRNA levels was observed during early gestation (ie, within the 12th to 16th weeks) in pregnancies with later onset of preeclampsia and/or IUGR. Early gestation extracellular miRNA screening can differentiate between women with normally progressing pregnancies and those who may later develop placental insufficiencyrelated complications. © 2012 American Society for Investigative Pathology and the Association for Molecular Pathology.","author":[{"dropping-particle":"","family":"Hromadnikova","given":"Ilona","non-dropping-particle":"","parse-names":false,"suffix":""},{"dropping-particle":"","family":"Kotlabova","given":"Katerina","non-dropping-particle":"","parse-names":false,"suffix":""},{"dropping-particle":"","family":"Doucha","given":"Jindrich","non-dropping-particle":"","parse-names":false,"suffix":""},{"dropping-particle":"","family":"Dlouha","given":"Klara","non-dropping-particle":"","parse-names":false,"suffix":""},{"dropping-particle":"","family":"Krofta","given":"Ladislav","non-dropping-particle":"","parse-names":false,"suffix":""}],"container-title":"Journal of Molecular Diagnostics","id":"ITEM-1","issue":"2","issued":{"date-parts":[["2012"]]},"page":"160-167","title":"Absolute and relative quantification of placenta-specific microRNAs in maternal circulation with placental insufficiency - Related complications","type":"article-journal","volume":"14"},"uris":["http://www.mendeley.com/documents/?uuid=c05d8735-b468-3272-8a5b-0eeabc251ca1"]}],"mendeley":{"formattedCitation":"(Hromadnikova et al., 2012)","plainTextFormattedCitation":"(Hromadnikova et al., 2012)","previouslyFormattedCitation":"(Hromadnikova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2012)</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{"citationItems":[{"id":"ITEM-1","itemData":{"DOI":"10.1161/HYPERTENSIONAHA.111.180232","abstract":"In this study, to search for novel preeclampsia (PE) biomarkers, we focused on microRNA expression and function in the human placenta complicated with PE. By comprehensive analyses of microRNA expression, we identified 22 microRNAs significantly upregulated in preeclamptic placentas, 5 of which were predicted in silico to commonly target the mRNA encoding hydroxysteroid (17-β) dehydrogenase 1 (HSD17B1), a steroidogenetic enzyme expressed predominantly in the placenta. In vivo HSD17B1 expression, at both the mRNA and protein levels, was significantly decreased in preeclamptic placentas. Of these microRNAs, miR-210 and miR-518c were experimentally validated to target HSD17B1 by luciferase assay, real-time PCR, and ELISA. Furthermore, we found that plasma HSD17B1 protein levels in preeclamptic pregnant women reflected the decrease of its placental expression. Moreover, a prospective cohort study of plasma HSD17B1 revealed a significant reduction of plasma HSD17B1 levels in pregnant women at 20 to 23 and 27 to 30 weeks of gestation before PE onset compared with those with normal pregnancies. The sensitivities/specificities for predicting PE at 20 to 23 and 27 to 30 weeks of gestation were 0.75/0.67 (cutoff value=21.9 ng/mL) and 0.88/0.51 (cutoff value=30.5 ng/mL), and the odds ratios were 6.09 (95% CI: 2.35-15.77) and 7.83 (95% CI: 1.70-36.14), respectively. We conclude that HSD17B1 is dysregulated by miR-210 and miR-518c that are aberrantly expressed in preeclamptic placenta and that reducing plasma level of HSD17B1 precedes the onset of PE and is a potential prognostic factor for PE. © 2011 American Heart Association, Inc.","author":[{"dropping-particle":"","family":"Takizawa","given":"Toshihiro","non-dropping-particle":"","parse-names":false,"suffix":""},{"dropping-particle":"","family":"Ishibashi","given":"Osamu","non-dropping-particle":"","parse-names":false,"suffix":""},{"dropping-particle":"","family":"Ohkuchi","given":"Akihide","non-dropping-particle":"","parse-names":false,"suffix":""},{"dropping-particle":"","family":"Moksed Ali","given":"Md","non-dropping-particle":"","parse-names":false,"suffix":""},{"dropping-particle":"","family":"Kurashina","given":"Ryuhei","non-dropping-particle":"","parse-names":false,"suffix":""},{"dropping-particle":"","family":"Luo","given":"Shan Shun","non-dropping-particle":"","parse-names":false,"suffix":""},{"dropping-particle":"","family":"Ishikawa","given":"Tomoko","non-dropping-particle":"","parse-names":false,"suffix":""},{"dropping-particle":"","family":"Takizawa","given":"Takami","non-dropping-particle":"","parse-names":false,"suffix":""},{"dropping-particle":"","family":"Hirashima","given":"Chikako","non-dropping-particle":"","parse-names":false,"suffix":""},{"dropping-particle":"","family":"Takahashi","given":"Kayo","non-dropping-particle":"","parse-names":false,"suffix":""},{"dropping-particle":"","family":"Migita","given":"Makoto","non-dropping-particle":"","parse-names":false,"suffix":""},{"dropping-particle":"","family":"Ishikawa","given":"Gen","non-dropping-particle":"","parse-names":false,"suffix":""},{"dropping-particle":"","family":"Yoneyama","given":"Koichi","non-dropping-particle":"","parse-names":false,"suffix":""},{"dropping-particle":"","family":"Asakura","given":"Hirobumi","non-dropping-particle":"","parse-names":false,"suffix":""},{"dropping-particle":"","family":"Izumi","given":"Akio","non-dropping-particle":"","parse-names":false,"suffix":""},{"dropping-particle":"","family":"Matsubara","given":"Shigeki","non-dropping-particle":"","parse-names":false,"suffix":""},{"dropping-particle":"","family":"Takeshita","given":"Toshiyuki","non-dropping-particle":"","parse-names":false,"suffix":""}],"container-title":"Hypertension","id":"ITEM-1","issue":"2","issued":{"date-parts":[["2012"]]},"page":"265-273","title":"Hydroxysteroid (17-β) dehydrogenase 1 is dysregulated by miR-210 and miR-518c that are aberrantly expressed in preeclamptic placentas: A novel marker for predicting preeclampsia","type":"article-journal","volume":"59"},"uris":["http://www.mendeley.com/documents/?uuid=5e63fefe-a960-3714-9938-f80af91b7f5d"]}],"mendeley":{"formattedCitation":"(Takizawa et al., 2012)","plainTextFormattedCitation":"(Takizawa et al., 2012)","previouslyFormattedCitation":"(Takizawa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(Takizawa et al., 2012)</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HTS (high-throughput sequencing analysis), TaqMan Human MicroRNA</w:t>
            </w:r>
            <w:r w:rsidRPr="000710F5">
              <w:rPr>
                <w:rFonts w:eastAsia="Times New Roman"/>
                <w:sz w:val="18"/>
                <w:szCs w:val="18"/>
              </w:rPr>
              <w:br/>
              <w:t>Arrays version 2.0, 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(TaqMan Human MicroRNA</w:t>
            </w:r>
            <w:r w:rsidRPr="000710F5">
              <w:rPr>
                <w:rFonts w:eastAsia="Times New Roman"/>
                <w:sz w:val="18"/>
                <w:szCs w:val="18"/>
              </w:rPr>
              <w:br/>
              <w:t>Array,Luciferase Assay,ELISA)</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{"citationItems":[{"id":"ITEM-1","itemData":{"DOI":"10.3892/mmr.2012.954","abstract":"Preeclampsia (PE) is a common pregnancy-specific syndrome characterized by hypertension and proteinuria. Evidence has demonstrated that hypertensive disorders in pregnancy are associated with alterations in the expression of different microRNAs (miRNAs). miRNAs are endogenously expressed non-coding RNAs that have significant biological and pathological functions due to their potential mechanisms of regulation of gene expression. The purpose of the present study was to investigate the expression of hsa-miR-325 in placental samples of preeclamptic and uncomplicated pregnancy patients. hsa-miR-325 was isolated from placenta tissue samples obtained from 31 preeclamptic and 28 normotensive pregnant females. Quantitative real-time polymerase chain reaction was used to analyze miRNA expression. The expression of hsa-miR-325 was elevated in uncomplicated pregnancies compared with preeclamptic patients. ΔCt (mean ± SD) values were 0.117±0.07 in PE tissues and 0.135±0.051 in normotensive cases (p&lt;0.05). The expression levels correlated with patient blood pressure (p=0.015, r=-0.23), and tended to correlate with body mass index (p=0.065, r=0.261). The expression of hsa-miR-325 was downregulated in the case of PE. Changes in hsa-miR-325 expression in the case of pregnancy-related hypertensive disorders might affect the oxidative stress pathways and heat-shock protein production. These factors have a strong correlation with the development of PE. We, therefore, suggest that hsa-miR-325 contributes to the pathogenesis of PE.","author":[{"dropping-particle":"","family":"Lázár","given":"Levente","non-dropping-particle":"","parse-names":false,"suffix":""},{"dropping-particle":"","family":"Nagy","given":"Bálint","non-dropping-particle":"","parse-names":false,"suffix":""},{"dropping-particle":"","family":"Molvarec","given":"Attila","non-dropping-particle":"","parse-names":false,"suffix":""},{"dropping-particle":"","family":"Szarka","given":"András","non-dropping-particle":"","parse-names":false,"suffix":""},{"dropping-particle":"","family":"Rigó","given":"János","non-dropping-particle":"","parse-names":false,"suffix":""}],"container-title":"Molecular Medicine Reports","id":"ITEM-1","issue":"3","issued":{"date-parts":[["2012"]]},"page":"597-600","title":"Role of hsa-miR-325 in the etiopathology of preeclampsia","type":"article-journal","volume":"6"},"uris":["http://www.mendeley.com/documents/?uuid=5d2c6509-4d8f-3fbf-8966-691751084af9"]}],"mendeley":{"formattedCitation":"(Lázár et al., 2012)","plainTextFormattedCitation":"(Lázár et al., 2012)","previouslyFormattedCitation":"(Lázár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(Lázár et al., 2012)</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Human MicroRNA</w:t>
            </w:r>
            <w:r w:rsidRPr="000710F5">
              <w:rPr>
                <w:rFonts w:eastAsia="Times New Roman"/>
                <w:sz w:val="18"/>
                <w:szCs w:val="18"/>
              </w:rPr>
              <w:br/>
              <w:t>Arrays version 2.0, 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snoRNA202</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{"citationItems":[{"id":"ITEM-1","itemData":{"DOI":"10.1002/stem.1156","abstract":"Mesenchymal stem cells (MSCs) exhibit extensive self-renewal potential and can modulate immunocyte activation. Our previous study reported that miR-181a expression was significantly increased in placenta from women with severe preeclampsia (PE), but the mechanisms by which miR-181a regulates MSCs are unknown. In this study, we asked if and how miR-181a regulates MSCs' proliferation and immunosuppressive properties. We found that the expression of miR-181a in the MSCs derived from the umbilical cord and decidua of PE patients increased relative to MSCs derived from normal patients. Transfection with miR-181a oligos prevented MSCs proliferation but did not affect MSCs apoptosis. Overexpression of miR-181a blocked activation of the TGF-β signaling pathway and caused downregulation of target gene (TGFBR1 and TGFBRAP1) mRNA and protein expression. Reporter genes with putative miR-181a binding sites from the TGFBR1 and TGFBRAP1 3′-untranslated regions (3′-UTRs) were downregulated in the presence of miR-181a, suggesting that miR-181a binds to TGFBR1 and TGFBRAP1 3′-UTRs. In contrast, transfection of MSCs with miR-181a oligo enhanced expression of IL-6 and indoleamine 2,3-dioxygenase by activating p38 and JNK signaling pathways, respectively. MSCs transfected with miR-181a also enhanced the proliferation of T cells in a short-term culture. Additionally, treatment with control MSCs, but not miR-181a transfected MSCs, improved dextran sulfate sodium-induced experimental colitis, suggesting that miR-181a attenuates the immunosuppressive properties of MSCs in vivo. Together, our data demonstrate that miR-181a is an important endogenous regulator in the proliferation and immunosuppressive properties of MSCs. © AlphaMed Press.","author":[{"dropping-particle":"","family":"Liu","given":"Liu","non-dropping-particle":"","parse-names":false,"suffix":""},{"dropping-particle":"","family":"Wang","given":"Yaping","non-dropping-particle":"","parse-names":false,"suffix":""},{"dropping-particle":"","family":"Fan","given":"Hongye","non-dropping-particle":"","parse-names":false,"suffix":""},{"dropping-particle":"","family":"Zhao","given":"Xiaoyin","non-dropping-particle":"","parse-names":false,"suffix":""},{"dropping-particle":"","family":"Liu","given":"Dan","non-dropping-particle":"","parse-names":false,"suffix":""},{"dropping-particle":"","family":"Hu","given":"Yali","non-dropping-particle":"","parse-names":false,"suffix":""},{"dropping-particle":"","family":"Kidd","given":"Ambrose R.","non-dropping-particle":"","parse-names":false,"suffix":""},{"dropping-particle":"","family":"Bao","given":"Jianxin","non-dropping-particle":"","parse-names":false,"suffix":""},{"dropping-particle":"","family":"Hou","given":"Yayi","non-dropping-particle":"","parse-names":false,"suffix":""}],"container-title":"Stem Cells","id":"ITEM-1","issue":"8","issued":{"date-parts":[["2012"]]},"page":"1756-1770","title":"MicroRNA-181a regulates local immune balance by inhibiting proliferation and immunosuppressive properties of mesenchymal stem cells","type":"article-journal","volume":"30"},"uris":["http://www.mendeley.com/documents/?uuid=3b485af6-0210-348c-abcb-6c205ed6f446"]}],"mendeley":{"formattedCitation":"(Liu et al., 2012)","plainTextFormattedCitation":"(Liu et al., 2012)","previouslyFormattedCitation":"(Liu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(Liu et al., 2012)</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 and ELISA, Transient Transfection and Reporter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{"citationItems":[{"id":"ITEM-1","itemData":{"DOI":"10.1016/j.placenta.2012.07.002","abstract":"Preeclampsia (PE) affects 5-8% of all pregnancies and is associated with significant maternal and fetal morbidity and mortality. Placental mitochondrial dysfunction has been reported in PE. MicroRNAs (miRNA) are small non-coding RNAs that regulate gene expression through mRNA degradation and translational repression. MiR-210 has been previously shown to be upregulated in placentas from pregnancies complicated by PE. We hypothesized that placental mitochondrial dysfunction during PE can be mediated by miR-210. Placentas were collected at term from normotensive pregnancies (CTRL) and those complicated by severe PE (n = 6 each) following c-section (no labor). Villous tissue from PE showed significantly increased levels of HIF-1α compared to CTRL with no change in corresponding mRNA expression but with reduced DNA-binding activity. Mitochondrial complex III was significantly decreased in PE along with significantly reduced protein expression in complex I and IV during PE. Among the four miRNAs tested, miR-210 showed significant up regulation in PE and significant downregulation of its target, ISCU mRNA. To understand the role of miR-210 in PE, loss- and gain-of-function studies were performed using primary trophoblasts. Trophoblasts were transfected with miR-210 inhibitor or pre-miR-210 and mitochondrial function was measured using Seahorse Extracellular Flux Analyzer. Cells transfected with pre-miR-210 showed significant reduction in oxygen consumption. In contrast, transfection of trophoblast with AntagomiR-210 was sufficient to prevent the DFO-mediated respiratory deficiency. These data collectively suggest that miR-210 overexpression during PE could be responsible for placental mitochondria dysfunction. © 2012 Elsevier Ltd. All rights reserved.","author":[{"dropping-particle":"","family":"Muralimanoharan","given":"S.","non-dropping-particle":"","parse-names":false,"suffix":""},{"dropping-particle":"","family":"Maloyan","given":"A.","non-dropping-particle":"","parse-names":false,"suffix":""},{"dropping-particle":"","family":"Mele","given":"J.","non-dropping-particle":"","parse-names":false,"suffix":""},{"dropping-particle":"","family":"Guo","given":"C.","non-dropping-particle":"","parse-names":false,"suffix":""},{"dropping-particle":"","family":"Myatt","given":"L. G.","non-dropping-particle":"","parse-names":false,"suffix":""},{"dropping-particle":"","family":"Myatt","given":"L.","non-dropping-particle":"","parse-names":false,"suffix":""}],"container-title":"Placenta","id":"ITEM-1","issue":"10","issued":{"date-parts":[["2012"]]},"page":"816-823","title":"MIR-210 modulates mitochondrial respiration in placenta with preeclampsia","type":"article-journal","volume":"33"},"uris":["http://www.mendeley.com/documents/?uuid=7d72b5a2-9c94-3b18-a187-15a436f75c4e"]}],"mendeley":{"formattedCitation":"(Muralimanoharan et al., 2012)","plainTextFormattedCitation":"(Muralimanoharan et al., 2012)","previouslyFormattedCitation":"(Muralimanoharan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(Muralimanoharan et al., 2012)</w:t>
            </w:r>
            <w:r>
              <w:rPr>
                <w:rFonts w:eastAsia="Times New Roman"/>
                <w:sz w:val="18"/>
                <w:szCs w:val="18"/>
              </w:rPr>
              <w:fldChar w:fldCharType="end"/>
            </w:r>
          </w:p>
        </w:tc>
        <w:tc>
          <w:tcPr>
            <w:tcW w:w="3100" w:type="dxa"/>
            <w:shd w:val="clear" w:color="auto" w:fill="auto"/>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4280" w:type="dxa"/>
            <w:shd w:val="clear" w:color="auto" w:fill="auto"/>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18S rRNA</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2012a)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 analysis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(qRT-PCR,,transfection of miRNA precursors or antagomirs into endothelial and BeWo cells)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U18</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{"citationItems":[{"id":"ITEM-1","itemData":{"DOI":"10.1111/febs.12037","abstract":"Pre-eclampsia is thought to be a systemic disease of maternal endothelial cell dysfunctions. miRNAs regulate various basic biological functions in cells, including stem cells. Mesenchymal stem cells exist in almost all tissues and are the key cellular source for tissue repair and regeneration. Our aims are to investigate whether miRNAs regulate MSCs in fetal-maternal interfaces to influence the pathogenesis of pre-eclampsia. The differential expression of miRNAs in decidua-derived mesenchymal stem cells of all patients with severe pre-eclampsia (n = 20) and normal groups (n = 20) was first screened by microarray analysis and validated by quantitative real-time PCR analysis. The integrated bioinformatics analysis showed that miR-16 showed the highest number of connections in the miRNA GO network and the miRNA gene network. Moreover, over-expressed miR-16 inhibited the proliferation and migration of decidua-derived mesenchymal stem cells and induced cell-cycle arrest by targeting cyclin E1. Interestingly, over-expression of miR-16 by decidua-derived mesenchymal stem cells reduced the ability of human umbilical vein endothelial cells to form blood vessels and reduced the migration of trophoblast cells. Furthermore, decidua-derived mesenchymal stem cell-expressed endothelial growth factor VEGF-A was involved in migration of trophoblast cells and human umbilical vein endothelial cells as well as tube and network formation. Importantly, the levels of cyclin E1 and VEGF-A were negatively correlated with the level of miR-16 expression in decidua-derived mesenchymal stem cells from the patients with severe pre-eclampsia. Together, these data suggest that the alteration of miR-16 expression in decidua-derived mesenchymal stem cells may be involved in the development of pre-eclampsia. © 2012 FEBS.","author":[{"dropping-particle":"","family":"Wang","given":"Yaping","non-dropping-particle":"","parse-names":false,"suffix":""},{"dropping-particle":"","family":"Fan","given":"Hongye","non-dropping-particle":"","parse-names":false,"suffix":""},{"dropping-particle":"","family":"Zhao","given":"Guangfeng","non-dropping-particle":"","parse-names":false,"suffix":""},{"dropping-particle":"","family":"Liu","given":"Dan","non-dropping-particle":"","parse-names":false,"suffix":""},{"dropping-particle":"","family":"Du","given":"Leilei","non-dropping-particle":"","parse-names":false,"suffix":""},{"dropping-particle":"","family":"Wang","given":"Zhiqun","non-dropping-particle":"","parse-names":false,"suffix":""},{"dropping-particle":"","family":"Hu","given":"Yali","non-dropping-particle":"","parse-names":false,"suffix":""},{"dropping-particle":"","family":"Hou","given":"Yayi","non-dropping-particle":"","parse-names":false,"suffix":""}],"container-title":"FEBS Journal","id":"ITEM-1","issue":"24","issued":{"date-parts":[["2012"]]},"page":"4510-4524","title":"MiR-16 inhibits the proliferation and angiogenesis-regulating potential of mesenchymal stem cells in severe pre-eclampsia","type":"article-journal","volume":"279"},"uris":["http://www.mendeley.com/documents/?uuid=8d7fde39-13d1-3398-b9a3-cbda19dd4b60"]}],"mendeley":{"formattedCitation":"(Wang et al., 2012b)","plainTextFormattedCitation":"(Wang et al., 2012b)","previouslyFormattedCitation":"(Wang et al., 2012b)"},"properties":{"noteIndex":0},"schema":"https://github.com/citation-style-language/schema/raw/master/csl-citation.json"}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2012b)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Agilent human miRNA microarray,qRT-PCR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miRNA gene network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{"citationItems":[{"id":"ITEM-1","itemData":{"DOI":"10.1530/REP-11-0304","abstract":"Until recently, the molecular pathogenesis of preeclampsia (PE) remained largely unknown. Reports have shown that circulating microRNAs (miRNAs) are promising novel biomarkers for cancer, pregnancy, tissue injury, and other conditions. The objective of this study was to identify differentially expressed miRNAs in plasma from severe preeclamptic pregnancies compared with plasma from normal pregnancies. By mature miRNA microarray analysis, 15 miRNAs, including 13 up- and two downregulated miRNAs, were screened to be differentially expressed in plasma from women with severe PE (sPE). Seven miRNAs, namely miR-24, miR-26a, miR-103, miR-130b, miR-181a, miR-342-3p, and miR-574-5p, were validated to be elevated in plasma from severe preeclamptic pregnancies by real-time quantitative stem-loop RT-PCR analysis. Gene ontology and pathway enrichment analyses revealed that these miRNAs were involved in specific biological process categories (including regulation of metabolic processes, regulation of transcription, and cell cycle) and signaling pathways (including the MAP kinase signaling pathway, the transforming growth factor-β signaling pathway, and pathways in cancer metastasis). This study presents, for the first time, the differential expression profile of circulating miRNAs in sPE patients. The seven elevated circulating miRNAs may play critical roles in the pathogenesis of sPE, and one or more of them may become potential markers for diagnosing sPE. © 2012 Society for Reproduction and Fertility.","author":[{"dropping-particle":"","family":"Wu","given":"Liang","non-dropping-particle":"","parse-names":false,"suffix":""},{"dropping-particle":"","family":"Zhou","given":"Honghui","non-dropping-particle":"","parse-names":false,"suffix":""},{"dropping-particle":"","family":"Lin","given":"Haiyan","non-dropping-particle":"","parse-names":false,"suffix":""},{"dropping-particle":"","family":"Qi","given":"Jianguo","non-dropping-particle":"","parse-names":false,"suffix":""},{"dropping-particle":"","family":"Zhu","given":"Cheng","non-dropping-particle":"","parse-names":false,"suffix":""},{"dropping-particle":"","family":"Gao","given":"Zhiying","non-dropping-particle":"","parse-names":false,"suffix":""},{"dropping-particle":"","family":"Wang","given":"Hongmei","non-dropping-particle":"","parse-names":false,"suffix":""}],"container-title":"Reproduction","id":"ITEM-1","issue":"3","issued":{"date-parts":[["2012"]]},"page":"389-397","title":"Circulating microRNAs are elevated in plasma from severe preeclamptic pregnancies","type":"article-journal","volume":"143"},"uris":["http://www.mendeley.com/documents/?uuid=08bf4d7f-013a-306f-93ff-ab976015d3cf"]}],"mendeley":{"formattedCitation":"(Wu et al., 2012)","plainTextFormattedCitation":"(Wu et al., 2012)","previouslyFormattedCitation":"(Wu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(Wu et al., 2012)</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Agilent miRNA microarray chip</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(Real-time</w:t>
            </w:r>
            <w:r w:rsidRPr="000710F5">
              <w:rPr>
                <w:rFonts w:eastAsia="Times New Roman"/>
                <w:sz w:val="18"/>
                <w:szCs w:val="18"/>
              </w:rPr>
              <w:br/>
              <w:t>quantitative stem-loop 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 cel-miR-54, and cel-miR-238</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460963">
              <w:rPr>
                <w:rFonts w:eastAsia="Times New Roman"/>
                <w:sz w:val="18"/>
                <w:szCs w:val="18"/>
              </w:rPr>
              <w:instrText>ADDIN CSL_CITATION {"citationItems":[{"id":"ITEM-1","itemData":{"DOI":"10.1111/j.1582-4934.2011.01291.x","abstract":"Pre-eclampsia is a leading cause of maternal and foetal morbidity and mortality worldwide. Insufficient uteroplacental oxygenation is believed to be responsible for the disease. However, what molecular events involve in hypoxic responses and how they affect placental development remain unclear. Recently, miRNAs have emerged as a new class of molecules in response to hypoxia. We show here that the expression of microRNA-210 (mir-210) is up-regulated in patients with pre-eclampsia, as well as in trophoblast cells cultured under hypoxic conditions. Ectopic expression of mir-210 inhibited the migration and invasion capability of trophoblast cells. Ephrin-A3 and Homeobox-A9, which related with cell migration and vascular remodelling, were then experimentally validated as the functional targets of mir-210 both in vivo and in vitro. Using luciferase reporter, chromatin immunoprecipitation (ChIP) and small interfering RNA (siRNA) experiments, we finally identified a new transcriptional mechanism that the overexpression of mir-210 under hypoxia was regulated by NF-κB transcriptional factor p50, apart from the well-known HIF 1α. Taken together, our study implicates an important role for mir-210 in the molecular mechanism of pre-eclampsia. © 2011 The Authors Journal of Cellular and Molecular Medicine © 2011 Foundation for Cellular and Molecular Medicine/Blackwell Publishing Ltd.","author":[{"dropping-particle":"","family":"Zhang","given":"Yi","non-dropping-particle":"","parse-names":false,"suffix":""},{"dropping-particle":"","family":"Fei","given":"Mingyu","non-dropping-particle":"","parse-names":false,"suffix":""},{"dropping-particle":"","family":"Xue","given":"Geng","non-dropping-particle":"","parse-names":false,"suffix":""},{"dropping-particle":"","family":"Zhou","given":"Qi","non-dropping-particle":"","parse-names":false,"suffix":""},{"dropping-particle":"","family":"Jia","given":"Yin","non-dropping-particle":"","parse-names":false,"suffix":""},{"dropping-particle":"","family":"Li","given":"Li","non-dropping-particle":"","parse-names":false,"suffix":""},{"dropping-particle":"","family":"Xin","given":"Hong","non-dropping-particle":"","parse-names":false,"suffix":""},{"dropping-particle":"","family":"Sun","given":"Shuhan","non-dropping-particle":"","parse-names":false,"suffix":""}],"container-title":"Journal of Cellular and Molecular Medicine","id":"ITEM-1","issue":"2","issued":{"date-parts":[["2012","2"]]},"page":"249-259","title":"Elevated levels of hypoxia-inducible microRNA-210 in pre-eclampsia: New insights into molecular mechanisms for the disease","type":"article-journal","volume":"16"},"uris":["http://www.mendeley.com/documents/?uuid=8e1e833f-02ce-34e7-a3a8-77e8f4291f24"]}],"mendeley":{"formattedCitation":"(Zhang et al., 2012)","plainTextFormattedCitation":"(Zhang et al., 2012)","previouslyFormattedCitation":"(Zhang et al., 2012)"},"properties":{"noteIndex":0},"schema":"https://github.com/citation-style-language/schema/raw/master/csl-citation.json"}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(Zhang et al., 2012)</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SYBR-Green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Plasmid constructs and luciferase activity assays, Western blot, Transwell migration and matrigel invasion assay, Chromatin immunoprecipitation assay, Evaluation of NF-B p50 activity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{"citationItems":[{"id":"ITEM-1","itemData":{"DOI":"10.1016/j.ajpath.2013.07.021","abstract":"Preeclampsia is characterized by hypertension and proteinuria in pregnant women. Its exact cause is unknown. Preeclampsia increases the risk of maternal and fetal morbidity and mortality. Although delivery, often premature, is the only known cure, early targeted interventions may improve maternal and fetal outcomes. Successful intervention requires a better understanding of the molecular etiology of preeclampsia and the development of accurate methods to predict women at risk. To this end, we tested the role of miR-210, a miRNA up-regulated in preeclamptic placentas, in first-trimester extravillous trophoblasts. miR-210 overexpression reduced trophoblast invasion, a process necessary for uteroplacental perfusion, in an extracellular signal-regulated kinase/mitogen-activated protein kinase-dependent manner. Conversely, miR-210 inhibition promoted invasion. Furthermore, given that the placenta secretes miRNAs into the maternal circulation, we tested if serum expression of miR-210 was associated with the disease. We measured miR-210 expression in two clinical studies: a case-control study and a prospective cohort study. Serum miR-210 expression was significantly associated with a diagnosis of preeclampsia (P = 0.007, area under the receiver operator curves = 0.81) and was predictive of the disease, even months before clinical diagnosis (P &lt; 0.0001, area under the receiver operator curve = 0.89). Hence, we conclude that aberrant expression of miR-210 may contribute to trophoblast function and that miR-210 is a novel predictive serum biomarker for preeclampsia that can help in identifying at-risk women for monitoring and treatment. Copyright © 2013 American Society for Investigative Pathology.","author":[{"dropping-particle":"","family":"Anton","given":"Lauren","non-dropping-particle":"","parse-names":false,"suffix":""},{"dropping-particle":"","family":"Olarerin-George","given":"Anthony O.","non-dropping-particle":"","parse-names":false,"suffix":""},{"dropping-particle":"","family":"Schwartz","given":"Nadav","non-dropping-particle":"","parse-names":false,"suffix":""},{"dropping-particle":"","family":"Srinivas","given":"Sindhu","non-dropping-particle":"","parse-names":false,"suffix":""},{"dropping-particle":"","family":"Bastek","given":"Jamie","non-dropping-particle":"","parse-names":false,"suffix":""},{"dropping-particle":"","family":"Hogenesch","given":"John B.","non-dropping-particle":"","parse-names":false,"suffix":""},{"dropping-particle":"","family":"Elovitz","given":"Michal A.","non-dropping-particle":"","parse-names":false,"suffix":""}],"container-title":"American Journal of Pathology","id":"ITEM-1","issue":"5","issued":{"date-parts":[["2013"]]},"page":"1437-1445","title":"MiR-210 inhibits trophoblast invasion and is a serum biomarker for preeclampsia","type":"article-journal","volume":"183"},"uris":["http://www.mendeley.com/documents/?uuid=9f5799e7-e4f7-33c1-89ae-2f70212401f1"]}],"mendeley":{"formattedCitation":"(Anton et al., 2013)","plainTextFormattedCitation":"(Anton et al., 2013)","previouslyFormattedCitation":"(Anton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(Anton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EVT Cell Treatments for Invasion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qRT-PCR</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Pr>
                <w:rFonts w:eastAsia="Times New Roman"/>
                <w:color w:val="000000"/>
                <w:sz w:val="18"/>
                <w:szCs w:val="18"/>
              </w:rPr>
              <w:t>Not reported</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{"citationItems":[{"id":"ITEM-1","itemData":{"DOI":"10.3109/10641955.2013.807819","abstract":"Objective: The aim was to identify differences in microRNA expression between patients with and without preeclampsia. Methods: Microarray-based study was carried out with placental samples. Results: Comparison of eight previous studies with the current study revealed a total of 138 microRNAs; only 20/138 (14%), however, were seen in more than one study and the results agreed in the direction of change. Bioinformatic analysis of these 20 microRNAs identified a wide range of biological functions including apoptosis and cell movement for their mRNA targets. Conclusion: The associations between miRNA expression and preeclampsia suggest a potential role for microRNAs in preeclampsia pathobiology. © 2013 Informa Healthcare USA, Inc. All rights reserved.","author":[{"dropping-particle":"","family":"Betoni","given":"James S.","non-dropping-particle":"","parse-names":false,"suffix":""},{"dropping-particle":"","family":"Derr","given":"Kimberly","non-dropping-particle":"","parse-names":false,"suffix":""},{"dropping-particle":"","family":"Pahl","given":"Matthew C.","non-dropping-particle":"","parse-names":false,"suffix":""},{"dropping-particle":"","family":"Rogers","given":"Laura","non-dropping-particle":"","parse-names":false,"suffix":""},{"dropping-particle":"","family":"Muller","given":"Corinna L.","non-dropping-particle":"","parse-names":false,"suffix":""},{"dropping-particle":"","family":"Packard","given":"Roger E.","non-dropping-particle":"","parse-names":false,"suffix":""},{"dropping-particle":"","family":"Carey","given":"David J.","non-dropping-particle":"","parse-names":false,"suffix":""},{"dropping-particle":"","family":"Kuivaniemi","given":"Helena","non-dropping-particle":"","parse-names":false,"suffix":""},{"dropping-particle":"","family":"Tromp","given":"Gerard","non-dropping-particle":"","parse-names":false,"suffix":""}],"container-title":"Hypertension in Pregnancy","id":"ITEM-1","issue":"4","issued":{"date-parts":[["2013"]]},"page":"321-339","title":"MicroRNA analysis in placentas from patients with preeclampsia: Comparison of new and published results","type":"article-journal","volume":"32"},"uris":["http://www.mendeley.com/documents/?uuid=05f620bd-182b-30f9-a7d6-af46b8de0fe7"]}],"mendeley":{"formattedCitation":"(Betoni et al., 2013)","plainTextFormattedCitation":"(Betoni et al., 2013)","previouslyFormattedCitation":"(Betoni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(Betoni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partially</w:t>
            </w:r>
            <w:r w:rsidRPr="000710F5">
              <w:rPr>
                <w:rFonts w:eastAsia="Times New Roman"/>
                <w:sz w:val="18"/>
                <w:szCs w:val="18"/>
              </w:rPr>
              <w:br/>
              <w:t>independent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{"citationItems":[{"id":"ITEM-1","itemData":{"DOI":"10.1016/j.placenta.2013.06.006","abstract":"Introduction Preeclampsia (PE) is a leading cause of maternal and neonatal mortality and morbidity worldwide. However, the pathophysiology of this disease is not yet fully understood. MiRNA plays an important role in post-transcriptional gene regulation. Recent studies have suggested that dysregulation of miRNAs in placental tissue is involved in the pathogenesis of PE. Therefore, we investigated miRNA profiles in PE placenta to understand the miRNA function in PE pathogenesis. Methods MiRNA profiling was performed in 20 formalin-fixed and paraffin-embedded samples (10 placentas from severe PE and 10 from a control group). We used a hybridization-based microarray with a PNA-probe comprised of 158 miRNAs. Results Thirteen miRNAs (miR-92b, miR-197, miR-342-3p, miR-296-5p, miR-26b, miR-25, miR-296-3p, miR-26a, miR-198, miR-202, miR-191, miR-95, and miR-204) were significantly overexpressed and two miRNAs (miR-21 and miR-223) were underexpressed in PE compared with the control group. Among 15 differentially expressed miRNAs, miR-26b, miR-296-5p, and miR-223 were found to be consistent with results from previous studies. We identified 893 genes that were predicted by at least three of four computational algorithms. Target genes participated in several signaling pathways, adherens junction, focal adhesion, and regulation of the actin cytoskeleton. Conclusions Several miRNAs are found to be dysregulated in placentas of PE patients and they seem to be closely associated with the early pathogenesis of PE. Further study is necessary to develop tools for early detection and management. © 2013 Elsevier Ltd. All rights reserved.","author":[{"dropping-particle":"","family":"Choi","given":"S. Y.","non-dropping-particle":"","parse-names":false,"suffix":""},{"dropping-particle":"","family":"Yun","given":"J.","non-dropping-particle":"","parse-names":false,"suffix":""},{"dropping-particle":"","family":"Lee","given":"O. J.","non-dropping-particle":"","parse-names":false,"suffix":""},{"dropping-particle":"","family":"Han","given":"H. S.","non-dropping-particle":"","parse-names":false,"suffix":""},{"dropping-particle":"","family":"Yeo","given":"M. K.","non-dropping-particle":"","parse-names":false,"suffix":""},{"dropping-particle":"","family":"Lee","given":"M. A.","non-dropping-particle":"","parse-names":false,"suffix":""},{"dropping-particle":"","family":"Suh","given":"K. S.","non-dropping-particle":"","parse-names":false,"suffix":""}],"container-title":"Placenta","id":"ITEM-1","issue":"9","issued":{"date-parts":[["2013"]]},"page":"799-804","title":"MicroRNA expression profiles in placenta with severe preeclampsia using a PNA-based microarray","type":"article-journal","volume":"34"},"uris":["http://www.mendeley.com/documents/?uuid=0c8b0899-f209-32d7-a017-1aab8130a224"]}],"mendeley":{"formattedCitation":"(Choi et al., 2013)","plainTextFormattedCitation":"(Choi et al., 2013)","previouslyFormattedCitation":"(Choi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(Choi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MicroRNA predicted target genes and functional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{"citationItems":[{"id":"ITEM-1","itemData":{"DOI":"10.1161/HYPERTENSIONAHA.111.203489","ISSN":"1524-4563","PMID":"23424236","abstract":"Preeclampsia is a major disorder of pregnancy and a leading cause of maternal and perinatal morbidity and mortality. MicroRNAs are small noncoding RNAs that regulate gene expression posttranscriptionally. In this study, we examined the expression of miR-376c and found that miR-376c levels were downregulated in both placental and plasma samples collected from preeclamptic patients, when compared with the normal pregnant women at the same gestational stage. Overexpression of miR-376c induced trophoblast cell proliferation, migration, and invasion in HTR8/SVneo cells and promoted placental explant outgrowth. In contrast, inhibition of endogenous miR-376c resulted in a decrease in trophoblast cell invasion and placental explant outgrowth. We identified activin receptor-like kinase 5 (ALK5), a type I receptor for transforming growth factor-β, and ALK7, a type I receptor for Nodal, as targets of miR-376c. Overexpression of miR-376c repressed transforming growth factor-β and Nodal functions, whereas overexpression of ALK5 and ALK7 reversed the effects of miR-376c. These results demonstrate that miR-376c inhibits both ALK5 and ALK7 expression to impair transforming growth factor-β/Nodal signaling, leading to increases in cell proliferation and invasion. An unbalanced Nodal/transforming growth factor-β and miR-376c expression may lead to the development of preeclampsia. © 2013 American Heart Association, Inc.","author":[{"dropping-particle":"","family":"Fu","given":"G","non-dropping-particle":"","parse-names":false,"suffix":""},{"dropping-particle":"","family":"Ye","given":"G","non-dropping-particle":"","parse-names":false,"suffix":""},{"dropping-particle":"","family":"Nadeem","given":"L","non-dropping-particle":"","parse-names":false,"suffix":""},{"dropping-particle":"","family":"Ji","given":"L","non-dropping-particle":"","parse-names":false,"suffix":""},{"dropping-particle":"","family":"Manchanda","given":"T","non-dropping-particle":"","parse-names":false,"suffix":""},{"dropping-particle":"","family":"Wang","given":"Y","non-dropping-particle":"","parse-names":false,"suffix":""},{"dropping-particle":"","family":"Zhao","given":"Y","non-dropping-particle":"","parse-names":false,"suffix":""},{"dropping-particle":"","family":"Qiao","given":"J","non-dropping-particle":"","parse-names":false,"suffix":""},{"dropping-particle":"","family":"Wang","given":"YL","non-dropping-particle":"","parse-names":false,"suffix":""},{"dropping-particle":"","family":"Lye","given":"S","non-dropping-particle":"","parse-names":false,"suffix":""},{"dropping-particle":"","family":"Yang","given":"BB","non-dropping-particle":"","parse-names":false,"suffix":""},{"dropping-particle":"","family":"Peng","given":"C","non-dropping-particle":"","parse-names":false,"suffix":""}],"container-title":"Hypertension (Dallas, Tex. : 1979)","id":"ITEM-1","issue":"4","issued":{"date-parts":[["2013"]]},"page":"864-872","title":"MicroRNA-376c impairs transforming growth factor-β and nodal signaling to promote trophoblast cell proliferation and invasion","type":"article-journal","volume":"61"},"uris":["http://www.mendeley.com/documents/?uuid=9878406d-05f4-32b1-aff8-854a020398ab"]}],"mendeley":{"formattedCitation":"(Fu et al., 2013)","plainTextFormattedCitation":"(Fu et al., 2013)","previouslyFormattedCitation":"(Fu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(Fu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MicroRNA-376c Promoted Trophoblast Outgrowth</w:t>
            </w:r>
            <w:r w:rsidRPr="000710F5">
              <w:rPr>
                <w:rFonts w:eastAsia="Times New Roman"/>
                <w:sz w:val="18"/>
                <w:szCs w:val="18"/>
              </w:rPr>
              <w:br/>
              <w:t>and Invasion, MicroRNA-376c Targets ALK5 and ALK7, MicroRNA-376c Impaired TGF-β/Nodal Signaling</w:t>
            </w:r>
            <w:r w:rsidRPr="000710F5">
              <w:rPr>
                <w:rFonts w:eastAsia="Times New Roman"/>
                <w:sz w:val="18"/>
                <w:szCs w:val="18"/>
              </w:rPr>
              <w:br/>
              <w:t>in Trophoblast Cells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qRT-PCR</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Pr>
                <w:rFonts w:eastAsia="Times New Roman"/>
                <w:color w:val="000000"/>
                <w:sz w:val="18"/>
                <w:szCs w:val="18"/>
              </w:rPr>
              <w:t>Not reported</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U6</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qRT-PCR</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Pr>
                <w:rFonts w:eastAsia="Times New Roman"/>
                <w:color w:val="000000"/>
                <w:sz w:val="18"/>
                <w:szCs w:val="18"/>
              </w:rPr>
              <w:t>Not reported</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{"citationItems":[{"id":"ITEM-1","itemData":{"DOI":"10.1016/j.placenta.2013.04.007","abstract":"Introduction This study focuses on the implementation of modulated modularity clustering (MMC) a new cluster algorithm for the identification of molecular signatures of preeclampsia and intrauterine growth restriction (IUGR), and the identification of affected microRNAs Methods Eighty-six human placentas from normal (40), growth-restricted (27), and preeclamptic (19) term pregnancies were profiled using Illumina Human-6 Beadarrays. MMC was utilized to generate modules based on similarities in placental transcriptome. Gene Set Enrichment Analysis (GSEA) was used to predict affected microRNAs. Expression levels of these candidate microRNAs were investigated in seventy-one human term placentas as follows: control (29); IUGR (26); and preeclampsia (16). Results MMC identified two modules, one representing IUGR placentas and one representing preeclamptic placentas. 326 differentially expressed genes in the module representing IUGR and 889 differentially expressed genes in a module representing preeclampsia were identified. Functional analysis of molecular signatures associated with IUGR identified P13K/AKT, mTOR, p70S6K, apoptosis and IGF-1 signaling as being affected. Analysis of variance of GSEA-predicted microRNAs indicated that miR-194 was significantly down-regulated both in preeclampsia (p = 0.0001) and IUGR (p = 0.0304), and miR-149 was significantly down-regulated in preeclampsia (p = 0.0168). Discussion Implementation of MMC, allowed identification of genes disregulated in IUGR and preeclampsia. The reliability of MMC was validated by comparing to previous linear modeling analysis of preeclamptic placentas. Conclusion MMC allowed the elucidation of a molecular signature associated with preeclampsia and a subset of IUGR samples. This allowed the identification of genes, pathways, and microRNAs affected in these diseases. © 2013 Elsevier Ltd. All rights reserved.","author":[{"dropping-particle":"","family":"Guo","given":"L.","non-dropping-particle":"","parse-names":false,"suffix":""},{"dropping-particle":"","family":"Tsai","given":"S. Q.","non-dropping-particle":"","parse-names":false,"suffix":""},{"dropping-particle":"","family":"Hardison","given":"N. E.","non-dropping-particle":"","parse-names":false,"suffix":""},{"dropping-particle":"","family":"James","given":"A. H.","non-dropping-particle":"","parse-names":false,"suffix":""},{"dropping-particle":"","family":"Motsinger-Reif","given":"A. A.","non-dropping-particle":"","parse-names":false,"suffix":""},{"dropping-particle":"","family":"Thames","given":"B.","non-dropping-particle":"","parse-names":false,"suffix":""},{"dropping-particle":"","family":"Stone","given":"E. A.","non-dropping-particle":"","parse-names":false,"suffix":""},{"dropping-particle":"","family":"Deng","given":"C.","non-dropping-particle":"","parse-names":false,"suffix":""},{"dropping-particle":"","family":"Piedrahita","given":"J. A.","non-dropping-particle":"","parse-names":false,"suffix":""}],"container-title":"Placenta","id":"ITEM-1","issue":"7","issued":{"date-parts":[["2013"]]},"page":"599-605","title":"Differentially expressed microRNAs and affected biological pathways revealed by modulated modularity clustering (MMC) analysis of human preeclamptic and IUGR placentas","type":"article-journal","volume":"34"},"uris":["http://www.mendeley.com/documents/?uuid=1a654389-a0cf-353a-8a73-e3f2fcbce90d"]}],"mendeley":{"formattedCitation":"(Guo et al., 2013)","plainTextFormattedCitation":"(Guo et al., 2013)","previouslyFormattedCitation":"(Guo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(Guo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Illumina array,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{"citationItems":[{"id":"ITEM-1","itemData":{"DOI":"10.1155/2013/186041","abstract":"The objective of the study was to identify the profile of circulating C19MC microRNAs (miR-516-5p, miR-517, miR-518b, miR-520a, miR-520h, miR-525, and miR-526a) in patients with established preeclampsia (n=63), fetal growth restriction (n=27), and gestational hypertension (n=23). We examined the correlation between plasmatic concentrations and expression levels of microRNAs and the severity of the disease with respect to clinical signs, requirements for the delivery, and Doppler ultrasound parameters. Using absolute and relative quantification approaches, increased extracellular C19MC microRNA levels (miR-516-5p, P=0.037, P=0.009; miR-517, P=0.033, P=0.043; miR-520a, P=0.001, P=0.009; miR-525, P=0.026, P=0.01; miR-526a, P=0.03, P=0.035) were detected in patients with preeclampsia. The association analysis pointed to no relationship between C19MC microRNA plasmatic concentrations and expression profile and identified risk factors for a poorer perinatal outcome. However, the dependence between the levels of plasmatic C19MC microRNAs and the pulsatility index in the middle cerebral artery and the values of cerebroplacental ratio was demonstrated. The study brought the interesting finding that the upregulation of miR-516-5p, miR-517, miR-520a, miR-525, and miR-526a is a characteristic phenomenon of established preeclampsia. © 2013 Ilona Hromadnikova et al.","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Doucha","given":"Jindrich","non-dropping-particle":"","parse-names":false,"suffix":""},{"dropping-particle":"","family":"Krofta","given":"Ladislav","non-dropping-particle":"","parse-names":false,"suffix":""}],"container-title":"Mediators of Inflammation","id":"ITEM-1","issued":{"date-parts":[["2013"]]},"page":"186041","title":"Circulating C19MC MicroRNAs in preeclampsia, gestational hypertension, and fetal growth restriction","type":"article-journal","volume":"2013"},"uris":["http://www.mendeley.com/documents/?uuid=3aeacfb4-b7d6-3ff6-944b-b2e64645912d"]}],"mendeley":{"formattedCitation":"(Hromadnikova et al., 2013)","plainTextFormattedCitation":"(Hromadnikova et al., 2013)","previouslyFormattedCitation":"(Hromadnikova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{"citationItems":[{"id":"ITEM-1","itemData":{"DOI":"10.1128/MCB.01228-12","abstract":"Mononuclear cytotrophoblasts of the human placenta proliferate rapidly, subsequently fuse, and differentiate to form multinucleated syncytiotrophoblast with induction of aromatase ( hCYP19A1 ) and chorionic gonadotropin ( hCGβ ) expression. Using microarray analysis, we identified members of the miR-17</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92 cluster and its paralogs, miR-106a</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363 and miR-106b</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25, that are significantly downregulated upon syncytiotrophoblast differentiation. Interestingly, miR-19b and miR-106a dire</w:instrText>
            </w:r>
            <w:r w:rsidR="00460963">
              <w:rPr>
                <w:rFonts w:eastAsia="Times New Roman"/>
                <w:sz w:val="18"/>
                <w:szCs w:val="18"/>
              </w:rPr>
              <w:instrText>ctly targeted hCYP19A1 expression, while miR-19b also targeted human GCM1 (hGCM1), a transcription factor critical for mouse labyrinthine trophoblast development. Overexpression of these microRNAs (miRNAs) impaired syncytiotrophoblast differentiation. hGCM1 knockdown decreased hCYP19A1 and hCGβ expression, substantiating its important role in human trophoblast differentiation. Expression of the c-Myc proto-oncogene was increased in proliferating cytotrophoblasts compared to that in differentiated syncytiotrophoblast. Moreover, c-Myc overexpression upregulated miR-17</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92 and inhibited hCYP19A1 and hCGβ expression. Binding of endogenous c-Myc to genomic regions upstream of the miR-17</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92 and miR-106a</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363 clusters in cytotrophoblasts dramatically decreased upon s</w:instrText>
            </w:r>
            <w:r w:rsidR="00460963">
              <w:rPr>
                <w:rFonts w:eastAsia="Times New Roman"/>
                <w:sz w:val="18"/>
                <w:szCs w:val="18"/>
              </w:rPr>
              <w:instrText>yncytiotrophoblast differentiation. Intriguingly, we observed higher levels of miR-106a and -19b and lower aromatase and hGCM1 expression in placentas from preeclamptic women than in placentas from gestation-matched normotensive women. Our findings reveal that c-Myc-regulated members of the miR-17</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92 and miR-106a</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363 clusters inhibit trophoblast differentiation by repressing hGCM1 and hCYP19A1 and suggest that aberrant regulation of these miRNAs may contribute to the pathogenesis of preeclampsia.","author":</w:instrText>
            </w:r>
            <w:r w:rsidR="00460963">
              <w:rPr>
                <w:rFonts w:eastAsia="Times New Roman"/>
                <w:sz w:val="18"/>
                <w:szCs w:val="18"/>
              </w:rPr>
              <w:instrText>[{"dropping-particle":"","family":"Kumar","given":"Premlata","non-dropping-particle":"","parse-names":false,"suffix":""},{"dropping-particle":"","family":"Luo","given":"Yanmin","non-dropping-particle":"","parse-names":false,"suffix":""},{"dropping-particle":"","family":"Tudela","given":"Carmen","non-dropping-particle":"","parse-names":false,"suffix":""},{"dropping-particle":"","family":"Alexander","given":"James M.","non-dropping-particle":"","parse-names":false,"suffix":""},{"dropping-particle":"","family":"Mendelson","given":"Carole R.","non-dropping-particle":"","parse-names":false,"suffix":""}],"container-title":"Molecular and Cellular Biology","id":"ITEM-1","issue":"9","issued":{"date-parts":[["2013"]]},"page":"1782-1796","title":"The c-Myc-Regulated MicroRNA-17</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92 (miR-17</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92) and miR-106a</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363 Clusters Target hCYP19A1 and hGCM1 To Inhibit Human Trophoblast Differentiation","type":"article-journal","volume":"33"},"uris":["http://www.mendeley.com/documents/?uuid=7640c62d-2614-3c69-ab34-8f184bab3215"]}],"me</w:instrText>
            </w:r>
            <w:r w:rsidR="00460963">
              <w:rPr>
                <w:rFonts w:eastAsia="Times New Roman"/>
                <w:sz w:val="18"/>
                <w:szCs w:val="18"/>
              </w:rPr>
              <w:instrText>ndeley":{"formattedCitation":"(Kumar et al., 2013)","plainTextFormattedCitation":"(Kumar et al., 2013)","previouslyFormattedCitation":"(Kumar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(Kumar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qRT-PCR,Luciferase Assay, Adenoviral overexpression and RNA interference, Chromatin immunoprecipitation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{"citationItems":[{"id":"ITEM-1","itemData":{"DOI":"10.1155/2013/970265","abstract":"Objective. Preeclampsia (PE) is a pregnancy-specific syndrome and one of the leading causes of maternal and fetal morbidity and mortality. The pathophysiological mechanisms of PE remain poorly known. Recently, circulating miRNAs are considered as potential useful noninvasive biomarkers. The aim of this study was to identify differentially expressed plasma miRNAs in preeclamptic pregnancies compared with normal pregnancies. Methods. Maternal plasma miRNA expression profiles were detected by SOLiD sequencing. Differential expressions between mPE/sPE and control group were found. Next, four differentially expressed plasma miRNAs were chosen to validate their expression in other large scale samples by real-time PCR. Results. In terms of sequencing results, we identified that 51 miRNAs were differentially expressed. Four differentially expressed plasma miRNAs (miR-141, miR-144, miR-221, and miR-29a) were selected to validate the sequencing results. RT-PCR data confirmed the reliability of sequencing results. The further statistical analysis showed that maternal plasma miR-141 and miR-29a are significantly overexpressed in mPE (P &lt; 0.05). Maternal plasma miR-144 is significantly underexpressed in mPE and sPE (P &lt; 0.05). Conclusions. Results showed that there were differentially expressed maternal plasma miRNAs in patients with preeclampsia. These plasma miRNAs might be used as notable biomarkers for diagnosis of preeclampsia. © 2013 Hailing Li et al.","author":[{"dropping-particle":"","family":"Li","given":"Hailing","non-dropping-particle":"","parse-names":false,"suffix":""},{"dropping-particle":"","family":"Ge","given":"Qinyu","non-dropping-particle":"","parse-names":false,"suffix":""},{"dropping-particle":"","family":"Guo","given":"Li","non-dropping-particle":"","parse-names":false,"suffix":""},{"dropping-particle":"","family":"Lu","given":"Zuhong","non-dropping-particle":"","parse-names":false,"suffix":""}],"container-title":"BioMed Research International","id":"ITEM-1","issued":{"date-parts":[["2013"]]},"page":"970265","title":"Maternal plasma miRNAs expression in preeclamptic pregnancies","type":"article-journal","volume":"2013"},"uris":["http://www.mendeley.com/documents/?uuid=7de901b7-e0e2-38e3-b4d4-aba3699e4d0d"]}],"mendeley":{"formattedCitation":"(Li et al., 2013a)","plainTextFormattedCitation":"(Li et al., 2013a)","previouslyFormattedCitation":"(Li et al., 2013a)"},"properties":{"noteIndex":0},"schema":"https://github.com/citation-style-language/schema/raw/master/csl-citation.json"}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2013a)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SOLiD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{"citationItems":[{"id":"ITEM-1","itemData":{"DOI":"10.1042/CS20120121","abstract":"PE (pre-eclampsia), a pregnancy-specific disorder, is characterized by increased trophoblast cell death and deficient trophoblast invasion and reduced trophoblast-mediated remodelling of spiral arteries. The present study was performed to determine the function of miR-29b (microRNA-29b) in trophoblast cells and its underlying role in the pathogenesisof PE. The prediction of miR-29b target genes was performed using computer-based programs, including Targetscan, Pictar andmiRBase. The function of these target genes was analysed further by gene ontology (GO). The effects of miR-29b on apoptosis, and invasion and angiogenesis of trophoblast cell lines (HTR-8/SVneo, BeWo and JAR) were examined by flow cytometryand Matrigel assay respectively. We found that miR-29b induced apoptosis and inhibited invasion and angiogenesis of trophoblast cells. Further studies confirmed that miR-29b regulated the expression of MCL1 (myeloid cell leukaemia sequence 1), MMP2 (encoding matrix metallproteinase 2), VEGFA (vascular endothelial growth factor A) and ITGB1 (integrin β1) genes by directly binding to their 3'-UTRs (untranslated regions). Moreover, we identified that there was an inverse correlation between miR-29b and its target genes in subjects with PE. Taken together, these findings support a novel role for miR-29b in invasion, apoptosis and angiogenesis of trophoblast cells, and miR-29b may become a new potential therapeutictarget for PE. © The Authors Journal compilation © 2013 Biochemical Society.","author":[{"dropping-particle":"","family":"Li","given":"Pengfei","non-dropping-particle":"","parse-names":false,"suffix":""},{"dropping-particle":"","family":"Guo","given":"Wei","non-dropping-particle":"","parse-names":false,"suffix":""},{"dropping-particle":"","family":"Du","given":"Leilei","non-dropping-particle":"","parse-names":false,"suffix":""},{"dropping-particle":"","family":"Zhao","given":"Junli","non-dropping-particle":"","parse-names":false,"suffix":""},{"dropping-particle":"","family":"Wang","given":"Yaping","non-dropping-particle":"","parse-names":false,"suffix":""},{"dropping-particle":"","family":"Liu","given":"Liu","non-dropping-particle":"","parse-names":false,"suffix":""},{"dropping-particle":"","family":"Hu","given":"Yali","non-dropping-particle":"","parse-names":false,"suffix":""},{"dropping-particle":"","family":"Hou","given":"Yayi","non-dropping-particle":"","parse-names":false,"suffix":""}],"container-title":"Clinical Science","id":"ITEM-1","issue":"1","issued":{"date-parts":[["2013"]]},"page":"27-40","title":"MicroRNA-29b contributes to pre-eclampsia through its effects on apoptosis, invasion and angiogenesis of trophoblast cells","type":"article-journal","volume":"124"},"uris":["http://www.mendeley.com/documents/?uuid=341c0020-23a7-3d53-889a-61170cc949ef"]}],"mendeley":{"formattedCitation":"(Li et al., 2013b)","plainTextFormattedCitation":"(Li et al., 2013b)","previouslyFormattedCitation":"(Li et al., 2013b)"},"properties":{"noteIndex":0},"schema":"https://github.com/citation-style-language/schema/raw/master/csl-citation.json"}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2013b)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target prediction and GO, Transfection experiments, Cell proliferation, cell cycle and apoptosis assays, ELISA, Cell invasion assay, Plasmid construct and luciferase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{"citationItems":[{"id":"ITEM-1","itemData":{"DOI":"10.1002/jcb.24563","abstract":"Preeclampsia is a specific vascular complication in pregnancy, which has a pathophysiology of altered endothelial homeostasis. There is extensive evidence that endothelial progenitor cells (EPCs) dysfunction underlies the endothelial cells loss that occurs during preeclampsia. MicroRNA-126 (miR-126), an angiogenesis-related miRNA, has been shown to have potential angiogenic effects both in cultured endothelial cells in vitro and ischemia-induced angiogenesis in vivo. However, whether miR-126 has therapeutic potential in placental vasculogenesis of preeclampsia remains unclear. In this report, we analyzed the EPCs number and expression of miR-126 in patients with preeclampsia, then investigated the effects of miR-126 on EPCs function and rat placenta by employing up-regulation and down-regulation strategies. We confirmed that miR-126 enhanced EPCs proliferation, differentiation and migration. However, a strong reduction in EPCs function was observed in vitro after miR-126 inhibitor transfection. MiR-126 exerts pro-angiogenic functions by suppressing the synthetize of antiangiogenic factors PIK3R2. Similar to miR-126 overexpression, PIK3R2 downregulation promoted EPCs function. In pregnant rats, we also found that miR-126 increased vascular sprouting, placenta and fetus weights. These findings suggest that miR-126 is essential for angiogenic properties of EPCs in vitro and placental vasculogenesis in vivo, providing basis for an alternative therapeutic approach in patients with preeclampsia. © 2013 Wiley Periodicals, Inc.","author":[{"dropping-particle":"","family":"Yan","given":"Ting","non-dropping-particle":"","parse-names":false,"suffix":""},{"dropping-particle":"","family":"Liu","given":"Yan","non-dropping-particle":"","parse-names":false,"suffix":""},{"dropping-particle":"","family":"Cui","given":"Kai","non-dropping-particle":"","parse-names":false,"suffix":""},{"dropping-particle":"","family":"Hu","given":"Bin","non-dropping-particle":"","parse-names":false,"suffix":""},{"dropping-particle":"","family":"Wang","given":"Fang","non-dropping-particle":"","parse-names":false,"suffix":""},{"dropping-particle":"","family":"Zou","given":"Li","non-dropping-particle":"","parse-names":false,"suffix":""}],"container-title":"Journal of Cellular Biochemistry","id":"ITEM-1","issue":"9","issued":{"date-parts":[["2013"]]},"page":"2148-2159","title":"MicroRNA-126 regulates EPCs function: Implications for a role of miR-126 in preeclampsia","type":"article-journal","volume":"114"},"uris":["http://www.mendeley.com/documents/?uuid=63e5f368-4a82-39ad-9698-caf540d2aab0"]}],"mendeley":{"formattedCitation":"(Yan et al., 2013)","plainTextFormattedCitation":"(Yan et al., 2013)","previouslyFormattedCitation":"(Yan et al., 2013)"},"properties":{"noteIndex":0},"schema":"https://github.com/citation-style-language/schema/raw/master/csl-citation.json"}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 et al., 2013)</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 xml:space="preserve">qRT‐PCR FOR miR‐126 and target genes, Western Immunoblotting, Cell Proliferation, Colony forming and Cell Diffrenetiation Assay,Migration Assay, </w:t>
            </w:r>
            <w:r w:rsidRPr="000710F5">
              <w:rPr>
                <w:rFonts w:eastAsia="Times New Roman"/>
                <w:i/>
                <w:iCs/>
                <w:sz w:val="18"/>
                <w:szCs w:val="18"/>
              </w:rPr>
              <w:t>In vivo</w:t>
            </w:r>
            <w:r w:rsidRPr="000710F5">
              <w:rPr>
                <w:rFonts w:eastAsia="Times New Roman"/>
                <w:sz w:val="18"/>
                <w:szCs w:val="18"/>
              </w:rPr>
              <w:t xml:space="preserve"> vasculogenesis, Immunohystochemical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{"citationItems":[{"id":"ITEM-1","itemData":{"DOI":"10.1016/j.preghy.2013.10.002","abstract":"MicroRNAs (miRs) are small noncoding RNAs, highly stable in plasma, that regulate gene expression by base-pairing to the 3′-untranslated region of target mRNAs. We compared the expression of 3 circulating miRs (miR-125b, miR-146a, and miR-196b), which is related to the control of cell proliferation, differentiation, and apoptosis in preeclamptic (n = 19) and healthy pregnant women (n = 14). We found that women with preeclampsia (PE) presented lower expression of miR-196b (-2.9-fold change). The other miRs were at similar levels. This study is the first to demonstrate this difference, and highlights new opportunities for investigation into the role of miRs in PE . © 2013 International Society for the Study of Hypertension in Pregnancy Published by Elsevier B.V. All rights reserved.","author":[{"dropping-particle":"","family":"Campos","given":"C. B.","non-dropping-particle":"","parse-names":false,"suffix":""},{"dropping-particle":"","family":"Marques","given":"T. M.","non-dropping-particle":"","parse-names":false,"suffix":""},{"dropping-particle":"","family":"Pereira","given":"R. W.","non-dropping-particle":"","parse-names":false,"suffix":""},{"dropping-particle":"","family":"Sandrim","given":"V. C.","non-dropping-particle":"","parse-names":false,"suffix":""}],"container-title":"Pregnancy Hypertension","id":"ITEM-1","issue":"1","issued":{"date-parts":[["2014"]]},"page":"11-13","title":"Reduced circulating miR-196b levels is associated with preeclampsia","type":"article-journal","volume":"4"},"uris":["http://www.mendeley.com/documents/?uuid=5e062ff7-1633-3327-9dcb-9fe139d60bac"]}],"mendeley":{"formattedCitation":"(Campos et al., 2014)","plainTextFormattedCitation":"(Campos et al., 2014)","previouslyFormattedCitation":"(Campos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(Campos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miRNA qRT-PCR assays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{"citationItems":[{"id":"ITEM-1","itemData":{"DOI":"10.3892/etm.2014.1946","abstract":"The aim of the present study was to explore the association between the expression of microRNA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and plasminogen activator inhibitor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 xml:space="preserve">1) in the placental tissue of pregnant females with a hypertensive disorder complicating pregnancy (HDCP). Placental tissue samples were obtained from 48 patients with HDCP and 40 </w:instrText>
            </w:r>
            <w:r w:rsidR="00460963">
              <w:rPr>
                <w:rFonts w:eastAsia="Times New Roman"/>
                <w:sz w:val="18"/>
                <w:szCs w:val="18"/>
              </w:rPr>
              <w:instrText>females with a normal pregnancy. The levels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and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mRNA were determined by the reverse transcription</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quantitative polymerase chain reaction (RT</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qPCR). The expression of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protein was analyzed by western blotting. Vascular smooth muscle</w:instrText>
            </w:r>
            <w:r w:rsidR="00460963">
              <w:rPr>
                <w:rFonts w:eastAsia="Times New Roman"/>
                <w:sz w:val="18"/>
                <w:szCs w:val="18"/>
              </w:rPr>
              <w:instrText xml:space="preserve"> cells (VSMCs) were transfected with the pEGP</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plasmid using Lipofectamine® 2000. Transfection efficiency was confirmed by immunohistochemical analysis. The levels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 xml:space="preserve">181b in the placental tissue of patients with HDCP were lower than those </w:instrText>
            </w:r>
            <w:r w:rsidR="00460963">
              <w:rPr>
                <w:rFonts w:eastAsia="Times New Roman"/>
                <w:sz w:val="18"/>
                <w:szCs w:val="18"/>
              </w:rPr>
              <w:instrText>in the control group, whereas the levels of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mRNA in the placental tissue of patients with HDCP were higher than those in the control group. The expression of the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protein in the HDCP group was higher than that in the control group. Following tra</w:instrText>
            </w:r>
            <w:r w:rsidR="00460963">
              <w:rPr>
                <w:rFonts w:eastAsia="Times New Roman"/>
                <w:sz w:val="18"/>
                <w:szCs w:val="18"/>
              </w:rPr>
              <w:instrText>nsfection of VSMCs with plasmid pGCMV/EGFP/miRNA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the levels of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mRNA were reduced while the levels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 were upregulated. Furthermore, the expression levels of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protein were lower than those in the control group. The levels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and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mRNA were strongly associated with HDCP. Thus,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may play an important role in the regulation of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PAI</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and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may be novel biomarkers to be used in HDCP therapy.","author":[{"dropping-particle":"","family":"Chen","gi</w:instrText>
            </w:r>
            <w:r w:rsidR="00460963">
              <w:rPr>
                <w:rFonts w:eastAsia="Times New Roman"/>
                <w:sz w:val="18"/>
                <w:szCs w:val="18"/>
              </w:rPr>
              <w:instrText>ven":"Yan Shan","non-dropping-particle":"","parse-names":false,"suffix":""},{"dropping-particle":"","family":"Shen","given":"Ling","non-dropping-particle":"","parse-names":false,"suffix":""},{"dropping-particle":"","family":"Mai","given":"Rui Qin","non-dropping-particle":"","parse-names":false,"suffix":""},{"dropping-particle":"","family":"Wang","given":"Ying","non-dropping-particle":"","parse-names":false,"suffix":""}],"container-title":"Experimental and Therapeutic Medicine","id":"ITEM-1","issue":"5","issued":{"date-parts":[["2014"]]},"page":"1523-1527","title":"Levels of microRNA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181b and plasminogen activator inhibitor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 are associated with hypertensive disorders complicating pregnancy","type":"article-journal","volume":"8"},"uris":["http://www.mendeley.</w:instrText>
            </w:r>
            <w:r w:rsidR="00460963">
              <w:rPr>
                <w:rFonts w:eastAsia="Times New Roman"/>
                <w:sz w:val="18"/>
                <w:szCs w:val="18"/>
              </w:rPr>
              <w:instrText>com/documents/?uuid=c867d313-b3de-3a14-8373-c89c94ab2b30"]}],"mendeley":{"formattedCitation":"(Chen et al., 2014)","plainTextFormattedCitation":"(Chen et al., 2014)","previouslyFormattedCitation":"(Chen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(Chen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Blotting,Cell transfection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{"citationItems":[{"id":"ITEM-1","itemData":{"DOI":"10.4161/epi.26196","abstract":"Preeclampsia (PE) is the major pregnancy-induced hypertensive disorder responsible for maternal and fetal morbidity and mortality that can be associated with intrauterine growth restriction (IUGR). PE and IUGR are thought to be due to a placental defect, occurring early during pregnancy. Several placental microRNAs (miRNAs) have been shown to be deregulated in the context of placental diseases and could thus play a role in the pathophysiology of PE. Here, we show that pri-miR-34a is overexpressed in preeclamptic placentas and that its placental expression is much higher during the first trimester of pregnancy than at term, suggesting a possible developmental role. We explored pri-miR-34a regulation and showed that P53, a known activator of miR-34a, is reduced in all pathological placentas and that hypoxia can induce pri-miR-34a expression in JEG-3 cells. We also studied the methylation status of the miR-34a promoter and revealed hypomethylation in all preeclamptic placentas (associated or not with IUGR), whereas hypoxia induced a hypermethylation in JEG-3 cells at 72 h. Despite the overexpression of pri-miR-34a in preeclampsia, there was a striking decrease of the mature miR-34a in this condition, suggesting preeclampsia-driven alteration of pri-miR-34a maturation. SERPINA3, a protease inhibitor involved in placental diseases, is elevated in IUGR and PE. We show here that miR-34a overexpression in JEG-3 downregulates SERPINA3. The low level of mature miR-34a could thus be an important mechanism contributing to SERPINA3 upregulation in placental diseases. Overall, our results support a role for miR-34a in the pathophysiology of preeclampsia, through deregulation of the pri-miRNA expression and its altered maturation. © 2014 Landes Bioscience.","author":[{"dropping-particle":"","family":"Doridot","given":"Ludivine","non-dropping-particle":"","parse-names":false,"suffix":""},{"dropping-particle":"","family":"Houry","given":"Dorothée","non-dropping-particle":"","parse-names":false,"suffix":""},{"dropping-particle":"","family":"Gaillard","given":"Harald","non-dropping-particle":"","parse-names":false,"suffix":""},{"dropping-particle":"","family":"Chelbi","given":"Sonia T.","non-dropping-particle":"","parse-names":false,"suffix":""},{"dropping-particle":"","family":"Barbaux","given":"Sandrine","non-dropping-particle":"","parse-names":false,"suffix":""},{"dropping-particle":"","family":"Vaiman","given":"Daniel","non-dropping-particle":"","parse-names":false,"suffix":""}],"container-title":"Epigenetics","id":"ITEM-1","issue":"1","issued":{"date-parts":[["2014"]]},"page":"142-151","title":"miR-34A expression, epigenetic regulation, and function in human placental diseases","type":"article-journal","volume":"9"},"uris":["http://www.mendeley.com/documents/?uuid=11976fc5-e0fe-3a0e-bf57-fc7359a7791e"]}],"mendeley":{"formattedCitation":"(Doridot et al., 2014)","plainTextFormattedCitation":"(Doridot et al., 2014)","previouslyFormattedCitation":"(Doridot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(Doridot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SYBR green qRT-PCR preceded</w:t>
            </w:r>
            <w:r w:rsidRPr="000710F5">
              <w:rPr>
                <w:rFonts w:eastAsia="Times New Roman"/>
                <w:sz w:val="18"/>
                <w:szCs w:val="18"/>
              </w:rPr>
              <w:br/>
              <w:t>by a polyadenylation step</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Plasmid construction, Cell culture, hypoxia, and transfection, Luciferase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5S rRNA and SDHA</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10.1177/0300060514540627","author":[{"dropping-particle":"","family":"Hong","given":"Fanzhen","non-dropping-particle":"","parse-names":false,"suffix":""},{"dropping-particle":"","family":"Li","given":"Yuyang","non-dropping-particle":"","parse-names":false,"suffix":""},{"dropping-particle":"","family":"Xu","given":"Yongping","non-dropping-particle":"","parse-names":false,"suffix":""}],"container-title":"Journal of International Medical Research","id":"ITEM-1","issue":"6","issued":{"date-parts":[["2014"]]},"page":"1243-1251","title":"Decreased placental miR-126 expression and vascular endothelial growth factor levels in patients with pre-eclampsia","type":"article-journal","volume":"42"},"uris":["http://www.mendeley.com/documents/?uuid=dcae6f8a-f7d3-3db8-8800-bde66cda6778"]}],"mendeley":{"formattedCitation":"(Hong et al., 2014)","plainTextFormattedCitation":"(Hong et al., 2014)","previouslyFormattedCitation":"(Hong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(Hong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transfection, qRT-PCR,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{"citationItems":[{"id":"ITEM-1","itemData":{"DOI":"10.1038/cddis.2014.368","abstract":"Preeclampsia is a severe pregnancy-related disorder and a leading cause of maternal and fetal mortality worldwide. Early identification of patients with an increased risk for preeclampsia is thus one of the most important goals in obstetrics. Here we identify two related human microRNAs as potential biomarkers to detect at-risk pregnancies. We demonstrate that miR455-3P and miR455-5P are significantly downregulated in placentas from preeclampsia patients, whereas other placenta-specific microRNAs remain unaffected. microRNA target prediction and validation revealed a potential link of miR455-3P to hypoxia signaling. Together with our observation that expression levels of miR455-3P and miR455-5P are upregulated during trophoblast differentiation, our results suggest a model in which miR455-3P represses a hypoxia response that might otherwise prevent cytotrophoblasts from syncytiotrophoblast differentiation. In summary, our work reveals aberrant hypoxia signaling in preeclampsia that can be explained by deregulated expression of miR455. As miR455 has been found in circulating blood, the development of noninvasive prenatal tests enabling early diagnosis of preeclampsia may be possible.","author":[{"dropping-particle":"","family":"Lalevée","given":"S.","non-dropping-particle":"","parse-names":false,"suffix":""},{"dropping-particle":"","family":"Lapaire","given":"O.","non-dropping-particle":"","parse-names":false,"suffix":""},{"dropping-particle":"","family":"Bühler","given":"M.","non-dropping-particle":"","parse-names":false,"suffix":""}],"container-title":"Cell Death and Disease","id":"ITEM-1","issue":"9","issued":{"date-parts":[["2014"]]},"page":"e1408","title":"MiR455 is linked to hypoxia signaling and is deregulated in preeclampsia","type":"article-journal","volume":"5"},"uris":["http://www.mendeley.com/documents/?uuid=1fc60718-e21c-390c-a11d-0b6f9f941a5d"]}],"mendeley":{"formattedCitation":"(Lalevée et al., 2014)","plainTextFormattedCitation":"(Lalevée et al., 2014)","previouslyFormattedCitation":"(Lalevée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(Lalevée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UTR cloning and dual luciferase assay, Transient transfection siRNA and mimics,small RNA libraries for high-throughput sequencing, Western Blotting, Immunofluorescence in BeWo cells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{"citationItems":[{"id":"ITEM-1","itemData":{"DOI":"10.1016/j.bbrc.2014.09.059","abstract":"Preeclampsia (PE) is the leading cause of maternal and perinatal mortality and morbidity. Understanding the molecular mechanisms underlying placentation facilitates the development of better intervention of this disease. MicroRNAs are strongly implicated in the pathogenesis of this syndrome. In current study, we found that miR-125b-1-3p was elevated in placentas derived from preeclampsia patients. Transfection of miR-125b-1-3p mimics significantly inhibited the invasiveness of human trophoblast cells, whereas miR-125b-1-3p inhibitor enhanced trophoblast cell invasion. Luciferase assays identified that S1PR1 was a novel direct target of miR-125b-1-3p in the placenta. Overexpression of S1PR1 could reverse the inhibitory effect of miR-125b-1-3p on the invasion of trophoblast cells. These findings suggested that abnormal expression of miR-125b-1-3p might contribute to the pathogenesis of preeclampsia.","author":[{"dropping-particle":"","family":"Li","given":"Qinghua","non-dropping-particle":"","parse-names":false,"suffix":""},{"dropping-particle":"","family":"Pan","given":"Zhifang","non-dropping-particle":"","parse-names":false,"suffix":""},{"dropping-particle":"","family":"Wang","given":"Xuejian","non-dropping-particle":"","parse-names":false,"suffix":""},{"dropping-particle":"","family":"Gao","given":"Zhiqin","non-dropping-particle":"","parse-names":false,"suffix":""},{"dropping-particle":"","family":"Ren","given":"Chune","non-dropping-particle":"","parse-names":false,"suffix":""},{"dropping-particle":"","family":"Yang","given":"Weiwei","non-dropping-particle":"","parse-names":false,"suffix":""}],"container-title":"Biochemical and Biophysical Research Communications","id":"ITEM-1","issue":"1","issued":{"date-parts":[["2014"]]},"page":"57-63","title":"MiR-125b-1-3p inhibits trophoblast cell invasion by targeting sphingosine-1-phosphate receptor 1 in preeclampsia","type":"article-journal","volume":"453"},"uris":["http://www.mendeley.com/documents/?uuid=948f4e9d-e547-34cb-8cf0-a99286e2c4c0"]}],"mendeley":{"formattedCitation":"(Li et al., 2014a)","plainTextFormattedCitation":"(Li et al., 2014a)","previouslyFormattedCitation":"(Li et al., 2014a)"},"properties":{"noteIndex":0},"schema":"https://github.com/citation-style-language/schema/raw/master/csl-citation.json"}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2014a)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In vitro tranwell insert invasion assay, Western blotting, Luciferase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{"citationItems":[{"id":"ITEM-1","itemData":{"DOI":"10.3892/mmr.2014.2214","abstract":"The aim of the present study was to characterize the role of microRNA (miR)-155 in the pathogenesis of severe preeclampsia (PE). A total of 19 severe preeclampsic and 22 normal placentas were collected to measure miR-155 and endothelial nitric oxide synthase (eNOS) expression using quantitative (q)PCR and western blot analysis. The results demonstrated a significant increase in the levels of miR-155 and decreased eNOS expression in the severe preeclampsic placentas, as compared with the normal controls. In order to examine the function of miR-155 in the human placenta, the HTR8/Svneo cell line was transiently transfected with an miR-155 mimic or its inhibitor, anti-miR-155. It was confirmed that miR-155 may suppress the expression of eNOS in HTR-8/SVneo cells. Furthermore, a transwell insert invasion assay demonstrated that miR-155 inhibited cell invasion in trophoblast cells, and the effect was rescued by over expression of eNOS. The present study revealed that miR-155 has a negative regulatory role in the migratory behavior of HTR-8/SVneo cells via modulating eNOS.","author":[{"dropping-particle":"","family":"Li","given":"Xuelan","non-dropping-particle":"","parse-names":false,"suffix":""},{"dropping-particle":"","family":"Li","given":"Chunfang","non-dropping-particle":"","parse-names":false,"suffix":""},{"dropping-particle":"","family":"Dong","given":"Xin","non-dropping-particle":"","parse-names":false,"suffix":""},{"dropping-particle":"","family":"Gou","given":"Wenli","non-dropping-particle":"","parse-names":false,"suffix":""}],"container-title":"Molecular Medicine Reports","id":"ITEM-1","issue":"1","issued":{"date-parts":[["2014"]]},"page":"550-554","title":"MicroRNA-155 inhibits migration of trophoblast cells and contributes to the pathogenesis of severe preeclampsia by regulating endothelial nitric oxide synthase","type":"article-journal","volume":"10"},"uris":["http://www.mendeley.com/documents/?uuid=11834bb2-f012-329e-8816-a8b60ea00e65"]}],"mendeley":{"formattedCitation":"(Li et al., 2014b)","plainTextFormattedCitation":"(Li et al., 2014b)","previouslyFormattedCitation":"(Li et al., 2014b)"},"properties":{"noteIndex":0},"schema":"https://github.com/citation-style-language/schema/raw/master/csl-citation.json"}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2014b)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 Plasmids and transfection, Cell survival and proliferation assay, Transwell invasion and migration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FA32AE">
              <w:rPr>
                <w:rFonts w:eastAsia="Times New Roman"/>
                <w:sz w:val="18"/>
                <w:szCs w:val="18"/>
              </w:rPr>
              <w:instrText>ADDIN CSL_CITATION {"citationItems":[{"id":"ITEM-1","itemData":{"DOI":"10.1161/HYPERTENSIONAHA.114.03530","author":[{"dropping-particle":"","family":"Luo","given":"R","non-dropping-particle":"","parse-names":false,"suffix":""},{"dropping-particle":"","family":"Shao","given":"X","non-dropping-particle":"","parse-names":false,"suffix":""},{"dropping-particle":"","family":"Xu","given":"P","non-dropping-particle":"","parse-names":false,"suffix":""},{"dropping-particle":"","family":"Liu","given":"Y","non-dropping-particle":"","parse-names":false,"suffix":""},{"dropping-particle":"","family":"Wang","given":"Y","non-dropping-particle":"","parse-names":false,"suffix":""},{"dropping-particle":"","family":"Zhao","given":"Y","non-dropping-particle":"","parse-names":false,"suffix":""},{"dropping-particle":"","family":"Liu","given":"M","non-dropping-particle":"","parse-names":false,"suffix":""},{"dropping-particle":"","family":"Ji","given":"L","non-dropping-particle":"","parse-names":false,"suffix":""},{"dropping-particle":"","family":"Li","given":"YX","non-dropping-particle":"","parse-names":false,"suffix":""},{"dropping-particle":"","family":"Chang","given":"C","non-dropping-particle":"","parse-names":false,"suffix":""},{"dropping-particle":"","family":"Qiao","given":"J","non-dropping-particle":"","parse-names":false,"suffix":""},{"dropping-particle":"","family":"Peng","given":"C","non-dropping-particle":"","parse-names":false,"suffix":""},{"dropping-particle":"","family":"Wang","given":"YL","non-dropping-particle":"","parse-names":false,"suffix":""}],"container-title":"Hypertension","id":"ITEM-1","issue":"4","issued":{"date-parts":[["2014"]]},"page":"839-45","title":"MicroRNA-210 Contributes to Preeclampsia by Downregulating Potassium Channel","type":"article-journal","volume":"64"},"uris":["http://www.mendeley.com/documents/?uuid=67cb5686-a93f-3921-a78b-381a0d98f67d"]}],"mendeley":{"formattedCitation":"(Luo et al., 2014)","plainTextFormattedCitation":"(Luo et al., 2014)","previouslyFormattedCitation":"(Luo et al., 2014)"},"properties":{"noteIndex":0},"schema":"https://github.com/citation-style-language/schema/raw/master/csl-citation.json"}</w:instrText>
            </w:r>
            <w:r>
              <w:rPr>
                <w:rFonts w:eastAsia="Times New Roman"/>
                <w:sz w:val="18"/>
                <w:szCs w:val="18"/>
              </w:rPr>
              <w:fldChar w:fldCharType="separate"/>
            </w:r>
            <w:r w:rsidR="00FA32AE" w:rsidRPr="00FA32AE">
              <w:rPr>
                <w:rFonts w:eastAsia="Times New Roman"/>
                <w:noProof/>
                <w:sz w:val="18"/>
                <w:szCs w:val="18"/>
              </w:rPr>
              <w:t>(Luo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Direct Target of miR-210 in Human Trophoblast Cells, Cell Invasion in HTR8/SV neo Cells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(Luque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OpenArray Real-Time qPCR Analysis Software</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(real-time quantitative</w:t>
            </w:r>
            <w:r w:rsidRPr="000710F5">
              <w:rPr>
                <w:rFonts w:eastAsia="Times New Roman"/>
                <w:sz w:val="18"/>
                <w:szCs w:val="18"/>
              </w:rPr>
              <w:br/>
              <w:t>stem-loop 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Cel-miR-54</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{"citationItems":[{"id":"ITEM-1","itemData":{"DOI":"10.1016/j.tjog.2014.03.001","abstract":"Objective: To identify microRNAs (miRNAs) differentially expressed at early stages of gestation (12-14 weeks) in the serum of pregnant women, who later developed severe preeclampsia (sPE) in the third trimester of pregnancy (n=24) compared to women with normal pregnancy (n=24). Materials and Methods: Sera from 12-14-week-gestation whole blood were subjected to microarray analysis with TaqMan Low Density Array chips (human microRNA panel V3.0), and to quantitative real-time polymerase chain reaction. Results: By using the TaqMan Low Density Array chip technology, 19 mature miRNAs appeared differentially expressed in the group of women who later developed sPE as compared to normal women. The expression of four miRNAs (miR-1233, miR-520, miR-210, miR-144) was validated by quantitative real-time polymerase chain reaction analysis. MiR-1233 was the most overexpressed in the serum of women who later developed sPE. Conclusion: Circulating miRNAs deserve further investigation in order to explore their potential role in the pathogenesis of preeclampsia. In particular, miR-1233 might represent a potential marker of early sPE. © 2014.","author":[{"dropping-particle":"","family":"Ura","given":"Blendi","non-dropping-particle":"","parse-names":false,"suffix":""},{"dropping-particle":"","family":"Feriotto","given":"Giordana","non-dropping-particle":"","parse-names":false,"suffix":""},{"dropping-particle":"","family":"Monasta","given":"Lorenzo","non-dropping-particle":"","parse-names":false,"suffix":""},{"dropping-particle":"","family":"Bilel","given":"Sabrine","non-dropping-particle":"","parse-names":false,"suffix":""},{"dropping-particle":"","family":"Zweyer","given":"Marina","non-dropping-particle":"","parse-names":false,"suffix":""},{"dropping-particle":"","family":"Celeghini","given":"Claudio","non-dropping-particle":"","parse-names":false,"suffix":""}],"container-title":"Taiwanese Journal of Obstetrics and Gynecology","id":"ITEM-1","issue":"2","issued":{"date-parts":[["2014"]]},"page":"232-234","publisher":"Elsevier Ltd","title":"Potential role of circulating microRNAs as early markers of preeclampsia","type":"article-journal","volume":"53"},"uris":["http://www.mendeley.com/documents/?uuid=ccfe8fef-1ca3-3f56-b990-7b17be3ad711"]}],"mendeley":{"formattedCitation":"(Ura et al., 2014)","plainTextFormattedCitation":"(Ura et al., 2014)","previouslyFormattedCitation":"(Ura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(Ura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{"citationItems":[{"id":"ITEM-1","itemData":{"DOI":"10.7150/ijbs.9088","abstract":"Preeclampsia is a serious complication in pregnancy. Dysregulation of trophoblast cell proliferation and invasion is a major pathological alteration observed in preeclampsia. Recently, microRNAs were shown to participate in the pathogenesis of preeclampsia. In this study we explored the effect of miR-20a on the proliferation and invasion of trophoblast cells and the underlying mechanism. We verified the distribution of miR-20a in human placenta by in situ hybridization. Real time PCR data showed that the level of miR-20a increased by 2.6 folds in human preeclampsia than normal tissues. We then cultured trophoblast-like JEG-3 cells and evaluated the effect of miR-20a on JEG-3 cell proliferation, migration and invasion. Overexpression of miR-20a significantly inhibited the proliferation, migration and invasion of cultured JEG-3 cells, which were abolished by co-transfection of AMO-20a. Transfection of miR-20a also inhibited JEG-3 cell xenograft tumor growth in nude mice. Luciferase assay technique was used to identify the direct regulation of miR-20a on Forkhead Box Protein A1(FOXA1). Transfection of miR-20a markedly reduced the luciferase activity of the chimeric plasmid containing the 3’UTR of FOXA1, indicating FOXA1 is the target of miR-20a. Furthermore, transfection of miR-20a inhibited both protein and mRNA expression of FOXA1 in JEG-3 cells. In summary, the upregulated miR-20a in human preeclampsia tissue can inhibit the proliferative and invasive activities of trophoblast cells by repressing the expression of FOXA1.","author":[{"dropping-particle":"","family":"Wang","given":"Ying","non-dropping-particle":"","parse-names":false,"suffix":""},{"dropping-particle":"","family":"Zhang","given":"Yang","non-dropping-particle":"","parse-names":false,"suffix":""},{"dropping-particle":"","family":"Wang","given":"Huimin","non-dropping-particle":"","parse-names":false,"suffix":""},{"dropping-particle":"","family":"Wang","given":"Junxiao","non-dropping-particle":"","parse-names":false,"suffix":""},{"dropping-particle":"","family":"Zhang","given":"Yiyuan","non-dropping-particle":"","parse-names":false,"suffix":""},{"dropping-particle":"","family":"Wang","given":"Yingzhe","non-dropping-particle":"","parse-names":false,"suffix":""},{"dropping-particle":"","family":"Pan","given":"Zhenwei","non-dropping-particle":"","parse-names":false,"suffix":""},{"dropping-particle":"","family":"Luo","given":"Shanshun","non-dropping-particle":"","parse-names":false,"suffix":""}],"container-title":"International Journal of Biological Sciences","id":"ITEM-1","issue":"9","issued":{"date-parts":[["2014"]]},"page":"973-982","title":"Aberrantly up-regulated miR-20a in pre-eclampsic placenta compromised the proliferative and invasive behaviors of trophoblast cells by targeting forkhead box protein A1","type":"article-journal","volume":"10"},"uris":["http://www.mendeley.com/documents/?uuid=8ae20160-c657-39c8-8100-5d7b512d09fd"]}],"mendeley":{"formattedCitation":"(Wang et al., 2014)","plainTextFormattedCitation":"(Wang et al., 2014)","previouslyFormattedCitation":"(Wang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In situ hybridization</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In situ hybridization, Cell Culture and Transfection, Proliferation Assay, Cell Migration and Invasion Assay, Western blotting, Luciferase assay, Immunofluorescent staining)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{"citationItems":[{"id":"ITEM-1","itemData":{"DOI":"10.1016/j.placenta.2014.07.002","abstract":"Introduction miRNAs are small non-coding RNAs important for the regulation of mRNA in many organs including placenta. Adipokines and specifically leptin are known to be dysregulated in preeclampsia, but little is known regarding their regulation by miRNAs during pregnancy. Methods We performed high-throughput sequencing of small RNAs in placenta from 72 well-defined patients: 23 early-onset preeclampsia (PE), 26 late-onset PE and 23 controls. The regulation of some miRNAs was confirmed on qRT-PCR. Maternal circulating levels and placental mRNA of leptin, resistin and adiponectin were measured using Bio-Plex and qRT-PCR. Results We found that miR-1301, miR-223 and miR-224 expression was downregulated in early-onset PE, but not in late-onset PE, compared to controls. In silico analysis predicted the leptin gene (LEP) to be a target for all three miRNAs. Indeed, we found significant correlation between maternal circulating levels of leptin and placental LEP expression. In addition, we found a significant inverse correlation between maternal circulating leptin/placental LEP expression and placental miR-1301 expression levels. Interestingly, placental expression of miR-1301 was also correlated with newborn weight percentile and inversely correlated with both maternal systolic and diastolic blood pressure prior to delivery. Discussion Our results confirm that placenta is a major site of LEP expression during pregnancy. It further suggests that miR-1301 could be involved in the regulation of leptin during pregnancy and may play a role in early-onset PE. Conclusions miR-1301 is dysregulated in early-onset preeclampsia and could possibly play a role in the regulation of leptin during pregnancy. © 2014 Elsevier Ltd. All rights reserved.","author":[{"dropping-particle":"","family":"Weedon-Fekjær","given":"M. S.","non-dropping-particle":"","parse-names":false,"suffix":""},{"dropping-particle":"","family":"Sheng","given":"Y.","non-dropping-particle":"","parse-names":false,"suffix":""},{"dropping-particle":"","family":"Sugulle","given":"M.","non-dropping-particle":"","parse-names":false,"suffix":""},{"dropping-particle":"","family":"Johnsen","given":"G. M.","non-dropping-particle":"","parse-names":false,"suffix":""},{"dropping-particle":"","family":"Herse","given":"F.","non-dropping-particle":"","parse-names":false,"suffix":""},{"dropping-particle":"","family":"Redman","given":"C. W.","non-dropping-particle":"","parse-names":false,"suffix":""},{"dropping-particle":"","family":"Lyle","given":"R.","non-dropping-particle":"","parse-names":false,"suffix":""},{"dropping-particle":"","family":"Dechend","given":"R.","non-dropping-particle":"","parse-names":false,"suffix":""},{"dropping-particle":"","family":"Staff","given":"A. C.","non-dropping-particle":"","parse-names":false,"suffix":""}],"container-title":"Placenta","id":"ITEM-1","issue":"9","issued":{"date-parts":[["2014"]]},"page":"709-717","title":"Placental miR-1301 is dysregulated in early-onset preeclampsia and inversely correlated with maternal circulating leptin","type":"article-journal","volume":"35"},"uris":["http://www.mendeley.com/documents/?uuid=aa99bcde-7f0f-31f3-a871-a59392704b89"]}],"mendeley":{"formattedCitation":"(Weedon-Fekjær et al., 2014)","plainTextFormattedCitation":"(Weedon-Fekjær et al., 2014)","previouslyFormattedCitation":"(Weedon-Fekjær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(Weedon-Fekjær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 High-throughput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 miRNA target prediction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U18</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{"citationItems":[{"id":"ITEM-1","itemData":{"DOI":"10.1111/aji.12287","abstract":"Problem: Prior to the end of the first trimester, pathogenic mechanisms may commit pregnancies to adverse outcome such as pre-eclampsia and miscarriage. A long-term search for biomarkers predicting these adverse outcomes has not identified any that reliably succeed prior to the beginning of the second trimester. MicroRNAs, with their important role as regulators of signaling and metabolic pathways within living cells, may offer a new approach. Methods: Optimal maternal PBMC microRNA markers were investigated using a series of sequential experiments, and 30 microRNAs were selected based on these results. Quantitative RT-PCR was then performed on these 30 microRNAs for 39 patients [19 healthy deliveries, 12 pre-eclampsia (seven late onset and five early onset) and eight miscarriages] during the first trimester of pregnancy. Results were scored, and their predictive values assessed. Results: MicroRNA quantification in the early first trimester (mean 34.9 ± 19.2 days post-implantation) predicted miscarriage and late pre-eclampsia with a P value of P &lt; 0.0001 and achieved an AUC of 0.90 for miscarriage and 0.90 for late pre-eclampsia. Conclusion: MicroRNA quantification of maternal blood cells offers the clinician a single test result that is simple to interpret and available much earlier in pregnancy than previously obtainable. In addition, it is the only early pregnancy marker, to date, that can successfully predict late pre-eclampsia. Although the studies that we report are preliminary, we hope that future research will build upon our discoveries and enhance the power of maternal cell microRNA to predict adverse pregnancy outcome in the clinic.","author":[{"dropping-particle":"","family":"Winger","given":"Edward E.","non-dropping-particle":"","parse-names":false,"suffix":""},{"dropping-particle":"","family":"Reed","given":"Jane L.","non-dropping-particle":"","parse-names":false,"suffix":""},{"dropping-particle":"","family":"Ji","given":"Xuhuai","non-dropping-particle":"","parse-names":false,"suffix":""}],"container-title":"American Journal of Reproductive Immunology","id":"ITEM-1","issue":"5","issued":{"date-parts":[["2014"]]},"page":"515-526","title":"First Trimester Pbmc Microrna Predicts Adverse Pregnancy Outcome","type":"article-journal","volume":"72"},"uris":["http://www.mendeley.com/documents/?uuid=527dde67-8134-3d46-b23d-0afb446e2c2a"]}],"mendeley":{"formattedCitation":"(Winger et al., 2014)","plainTextFormattedCitation":"(Winger et al., 2014)","previouslyFormattedCitation":"(Winger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(Winger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 MicroArray analysis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U48</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FA32AE">
              <w:rPr>
                <w:rFonts w:eastAsia="Times New Roman"/>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rFonts w:eastAsia="Times New Roman"/>
                <w:sz w:val="18"/>
                <w:szCs w:val="18"/>
              </w:rPr>
              <w:fldChar w:fldCharType="separate"/>
            </w:r>
            <w:r w:rsidR="00FA32AE" w:rsidRPr="00FA32AE">
              <w:rPr>
                <w:rFonts w:eastAsia="Times New Roman"/>
                <w:noProof/>
                <w:sz w:val="18"/>
                <w:szCs w:val="18"/>
              </w:rPr>
              <w:t>(Xu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mammalian</w:t>
            </w:r>
            <w:r w:rsidRPr="000710F5">
              <w:rPr>
                <w:rFonts w:eastAsia="Times New Roman"/>
                <w:sz w:val="18"/>
                <w:szCs w:val="18"/>
              </w:rPr>
              <w:br/>
              <w:t>miRNA chip 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(SYBR and TaqMan qRT-PCR, In Situ Hybridization for miRNAs, Cell Culture and Transient Transfection, Transwell Invasion Assay, Western Blotting, Luciferase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TaqMan miRNA micrarray</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Pr>
                <w:rFonts w:eastAsia="Times New Roman"/>
                <w:color w:val="000000"/>
                <w:sz w:val="18"/>
                <w:szCs w:val="18"/>
              </w:rPr>
              <w:t>Not reported</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(Zhao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human miRNA</w:t>
            </w:r>
            <w:r w:rsidRPr="000710F5">
              <w:rPr>
                <w:rFonts w:eastAsia="Times New Roman"/>
                <w:sz w:val="18"/>
                <w:szCs w:val="18"/>
              </w:rPr>
              <w:br/>
              <w:t>microarray kit</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SYBR green qPCR, miRNA microarray analysis, miRNA-Gene-network and</w:t>
            </w:r>
            <w:r w:rsidRPr="000710F5">
              <w:rPr>
                <w:rFonts w:eastAsia="Times New Roman"/>
                <w:sz w:val="18"/>
                <w:szCs w:val="18"/>
              </w:rPr>
              <w:br/>
              <w:t>miRNA-Gene-ontology (GO) network analysis, Luciferase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{"citationItems":[{"id":"ITEM-1","itemData":{"DOI":"10.1038/jhh.2014.35","abstract":"To investigate a possible association between miR-101 and apoptosis of human trophoblast cells mediated by endoplasmic reticulum protein 44 (ERp44) in preeclampsia (PE), we explored the expression of miR-101 in PE placentas (n=30) compared with normotensive pregnant placentas (n=30) and the correlation between miR-101 and ERp44 was also analyzed. Furthermore, both the apoptotic rate of trophoblast cells and the ER stress-induced apoptotic proteins were assayed when the HTR-8/SVneo cells were treated with miR-101 mimics or inhibitors in vitro. We found a lower expression of miR-101 and an inverse correlation between miR-101 and ERp44 protein in PE placentas. Upregulation of miR-101 expression could inhibit trophoblast HTR-8/SVneo cell apoptosis and repress ER stress-induced apoptotic proteins by targeting ERp44 in vitro, whereas inhibition of miR-101 could induce HTR-8/SVneo cell apoptosis. Our findings indicated that overexpression of miR-101 could downregulate ERp44 and suppress apoptosis in trophoblast cells during PE. Therefore, loss of miR-101 expression could contribute to ER stress-induced trophoblast cell apoptosis by targeting ERp44.","author":[{"dropping-particle":"","family":"Zou","given":"Y.","non-dropping-particle":"","parse-names":false,"suffix":""},{"dropping-particle":"","family":"Jiang","given":"Z.","non-dropping-particle":"","parse-names":false,"suffix":""},{"dropping-particle":"","family":"Yu","given":"X.","non-dropping-particle":"","parse-names":false,"suffix":""},{"dropping-particle":"","family":"Zhang","given":"Y.","non-dropping-particle":"","parse-names":false,"suffix":""},{"dropping-particle":"","family":"Sun","given":"M.","non-dropping-particle":"","parse-names":false,"suffix":""},{"dropping-particle":"","family":"Wang","given":"W.","non-dropping-particle":"","parse-names":false,"suffix":""},{"dropping-particle":"","family":"Ge","given":"Z.","non-dropping-particle":"","parse-names":false,"suffix":""},{"dropping-particle":"","family":"De","given":"W.","non-dropping-particle":"","parse-names":false,"suffix":""},{"dropping-particle":"","family":"Sun","given":"L.","non-dropping-particle":"","parse-names":false,"suffix":""}],"container-title":"Journal of Human Hypertension","id":"ITEM-1","issue":"10","issued":{"date-parts":[["2014"]]},"page":"610-616","title":"MiR-101 regulates apoptosis of trophoblast HTR-8/SVneo cells by targeting endoplasmic reticulum (ER) protein 44 during preeclampsia","type":"article-journal","volume":"28"},"uris":["http://www.mendeley.com/documents/?uuid=fa7bb757-cd28-32f7-8d37-8fb2ab9ce1df"]}],"mendeley":{"formattedCitation":"(Zou et al., 2014)","plainTextFormattedCitation":"(Zou et al., 2014)","previouslyFormattedCitation":"(Zou et al., 2014)"},"properties":{"noteIndex":0},"schema":"https://github.com/citation-style-language/schema/raw/master/csl-citation.json"}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(Zou et al., 2014)</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 Luciferase assay, Treatment of HTR-</w:t>
            </w:r>
            <w:r w:rsidR="001E29D7" w:rsidRPr="000710F5">
              <w:rPr>
                <w:rFonts w:eastAsia="Times New Roman"/>
                <w:sz w:val="18"/>
                <w:szCs w:val="18"/>
              </w:rPr>
              <w:t>8</w:t>
            </w:r>
            <w:r w:rsidRPr="000710F5">
              <w:rPr>
                <w:rFonts w:eastAsia="Times New Roman"/>
                <w:sz w:val="18"/>
                <w:szCs w:val="18"/>
              </w:rPr>
              <w:t>/SVneo cells with sodium 4-phenylbutyrate</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{"citationItems":[{"id":"ITEM-1","itemData":{"DOI":"10.1097/HJH.0000000000000656","abstract":"Objectives: Preeclampsia is a multisystem disease that significantly contributes to maternal and foetal morbidity and mortality. In this study, we used a nonbiased microarray approach to identify novel circulating miRNAs in maternal plasma that may be associated with preeclampsia. Methods: Plasma samples were obtained at 16 and 28 weeks of gestation from 18 women who later developed preeclampsia (cases) and 18 matched women with normotensive pregnancies (controls). We studied miRNA expression profiles in plasma and subsequently confirmed miRNA and target gene expression in placenta samples. Placental samples were obtained from an independent cohort of 19 women with preeclampsia matched with 19 women with normotensive pregnancies. Results: From the microarray, we identified one miRNA that was significantly differentially expressed between cases and controls at 16 weeks of gestation and six miRNAs that were significantly differentially expressed at 28 weeks. Following qPCR validation, only one miR-206 was found to be significantly increased in 28-week samples in women who later developed preeclampsia (1.4-fold change±0.2). The trend for increase in miR-206 expression was mirrored within placental tissue from women with preeclampsia. In parallel, IGF-1, a target gene of miR-206, was also found to be downregulated (0.41±0.04) in placental tissue from women with preeclampsia. miR-206 expression was also detectable in myometrium tissue and trophoblast cell lines. Conclusion: Our pilot study has identified miRNA-206 as a novel factor upregulated in preeclampsia within the maternal circulation and in placental tissue.","author":[{"dropping-particle":"","family":"Akehurst","given":"Christine","non-dropping-particle":"","parse-names":false,"suffix":""},{"dropping-particle":"","family":"Small","given":"Heather Y.","non-dropping-particle":"","parse-names":false,"suffix":""},{"dropping-particle":"","family":"Sharafetdinova","given":"Liliya","non-dropping-particle":"","parse-names":false,"suffix":""},{"dropping-particle":"","family":"Forrest","given":"Rachel","non-dropping-particle":"","parse-names":false,"suffix":""},{"dropping-particle":"","family":"Beattie","given":"Wendy","non-dropping-particle":"","parse-names":false,"suffix":""},{"dropping-particle":"","family":"Brown","given":"Catriona E.","non-dropping-particle":"","parse-names":false,"suffix":""},{"dropping-particle":"","family":"Robinson","given":"Scott W.","non-dropping-particle":"","parse-names":false,"suffix":""},{"dropping-particle":"","family":"Mcclure","given":"John D.","non-dropping-particle":"","parse-names":false,"suffix":""},{"dropping-particle":"","family":"Work","given":"Lorraine M.","non-dropping-particle":"","parse-names":false,"suffix":""},{"dropping-particle":"","family":"Carty","given":"David M.","non-dropping-particle":"","parse-names":false,"suffix":""},{"dropping-particle":"","family":"Mcbride","given":"Martin W.","non-dropping-particle":"","parse-names":false,"suffix":""},{"dropping-particle":"","family":"Freeman","given":"Dilys J.","non-dropping-particle":"","parse-names":false,"suffix":""},{"dropping-particle":"","family":"Delles","given":"Christian","non-dropping-particle":"","parse-names":false,"suffix":""}],"container-title":"Journal of Hypertension","id":"ITEM-1","issue":"10","issued":{"date-parts":[["2015"]]},"page":"2068-2074","title":"Differential expression of microRNA-206 and its target genes in preeclampsia","type":"article-journal","volume":"33"},"uris":["http://www.mendeley.com/documents/?uuid=6d34ef99-cfd9-35d6-b2bc-1171cda8ba39"]}],"mendeley":{"formattedCitation":"(Akehurst et al., 2015)","plainTextFormattedCitation":"(Akehurst et al., 2015)","previouslyFormattedCitation":"(Akehurst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(Akehurst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(Taqman and Open Array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Open Array</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yes (qRT-PCR)</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Cel-miR-39</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Open Array</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yes (qRT-PCR)</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Cel-miR-39</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{"citationItems":[{"id":"ITEM-1","itemData":{"DOI":"10.1371/journal.pone.0122707","abstract":"Preeclampsia is a pregnancy specific hypertensive disease that confers significant maternal and fetal risks. While the exact pathophysiology of preeclampsia is unknown, it is widely accepted that placental dysfunction is mechanistically involved. Recent studies reported aberrant expression of placenta-specific microRNAs (miRNAs) in preeclampsia including miR-517a/b and miR-517c. Using placental biopsies from a preeclampsia case-control study, we found increased expression of miR-517a/b in term and preterm preeclampsia vs controls, while, miR-517c was increased only in preterm preeclampsia vs controls. To determine if miR-517a/b and miR-517c are regulated by hypoxia, we treated first trimester primary extravillous trophoblast cells (EVTs) with a hypoxia mimetic and found both were induced. To test for a mechanistic role in placental function, we overexpressed miR-517a/b or miR-517c in EVTs which resulted in decreased trophoblast invasion. Additionally, we found that miR-517a/b and miR-517c overexpression increased expression of the antiangiogenic protein, sFLT1. The regulation of sFLT1 is mostly unknown, however, TNFSF15, a cytokine involved in FLT1 splicing, was also increased by miR-517a/b and miR-517c in EVTs. In summary, we demonstrate that miR-517a/b and miR-517c contribute to the development of preeclampsia and suggest that these miRNAs play a critical role in regulating trophoblast and placental function.","author":[{"dropping-particle":"","family":"Anton","given":"Lauren","non-dropping-particle":"","parse-names":false,"suffix":""},{"dropping-particle":"","family":"Olarerin-George","given":"Anthony O.","non-dropping-particle":"","parse-names":false,"suffix":""},{"dropping-particle":"","family":"Hogenesch","given":"John B.","non-dropping-particle":"","parse-names":false,"suffix":""},{"dropping-particle":"","family":"Elovitz","given":"Michal A.","non-dropping-particle":"","parse-names":false,"suffix":""}],"container-title":"PLoS ONE","id":"ITEM-1","issue":"3","issued":{"date-parts":[["2015"]]},"page":"e0122707","title":"Placental expression of miR-517a/b and miR-517c contributes to trophoblast dysfunction and preeclampsia","type":"article-journal","volume":"10"},"uris":["http://www.mendeley.com/documents/?uuid=e9222dec-c02e-3e42-a2d6-bb6b69ad442d"]}],"mendeley":{"formattedCitation":"(Anton et al., 2015)","plainTextFormattedCitation":"(Anton et al., 2015)","previouslyFormattedCitation":"(Anton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(Anton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 blotting, Matrigel Invasion Assay, Angiogenic Growth Factor ELISAs, Lactate Dehydrogenase (LDH) Cytotoxicity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{"citationItems":[{"id":"ITEM-1","itemData":{"DOI":"10.1016/j.febslet.2015.01.038","abstract":"Mesenchymal stem cells (MSCs) play an important role in the pathology of preeclampsia (PE). Our previous microarray analysis found that microRNA-494 (miR-494) is highly expressed in decidua-derived MSCs (dMSCs) from PE. We hypothesized that aberrant expression of miR-494 in dMSCs is involved in PE development. In the present study, we found that miR-494 arrests G1/S transition in dMSCs by targeting CDK6 and CCND1. We also found that supernatant from miR-494-overexpressing dMSCs reduces HTR-8/SVneo migration and impairs HUVEC capillary formation by suppressing VEGF. Taken together, we report an unrecognized mechanism of miR-494 affecting dMSC proliferation and function in the pathology of PE.","author":[{"dropping-particle":"","family":"Chen","given":"Shiwen","non-dropping-particle":"","parse-names":false,"suffix":""},{"dropping-particle":"","family":"Zhao","given":"Guangfeng","non-dropping-particle":"","parse-names":false,"suffix":""},{"dropping-particle":"","family":"Miao","given":"Huishuang","non-dropping-particle":"","parse-names":false,"suffix":""},{"dropping-particle":"","family":"Tang","given":"Ruijing","non-dropping-particle":"","parse-names":false,"suffix":""},{"dropping-particle":"","family":"Song","given":"Yuxian","non-dropping-particle":"","parse-names":false,"suffix":""},{"dropping-particle":"","family":"Hu","given":"Yali","non-dropping-particle":"","parse-names":false,"suffix":""},{"dropping-particle":"","family":"Wang","given":"Zhiqun","non-dropping-particle":"","parse-names":false,"suffix":""},{"dropping-particle":"","family":"Hou","given":"Yayi","non-dropping-particle":"","parse-names":false,"suffix":""}],"container-title":"FEBS Letters","id":"ITEM-1","issue":"6","issued":{"date-parts":[["2015"]]},"page":"710-717","title":"MicroRNA-494 inhibits the growth and angiogenesis-regulating potential of mesenchymal stem cells","type":"article-journal","volume":"589"},"uris":["http://www.mendeley.com/documents/?uuid=049ff33f-729b-3a0f-8cdd-9cc42195cb77"]}],"mendeley":{"formattedCitation":"(Chen et al., 2015)","plainTextFormattedCitation":"(Chen et al., 2015)","previouslyFormattedCitation":"(Chen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(Chen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stem-loop 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Transient transfection, Cell viability analysis, Cell cycle and apoptosis analysis, Proliferation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{"citationItems":[{"id":"ITEM-1","itemData":{"DOI":"10.1371/journal.pone.0120321","abstract":"Our study was approved by the Medical Ethics Committee of Tang Du Hospital, Fourth Military Medical University and complied strictly with national ethical guidelines. Preeclampsia (PE) is a specific clinical disorder characterized by gestational hypertension and proteinuria and is a leading cause of maternal and perinatal mortality worldwide. The miR-519d-3p is upregulated in the maternal plasma of patients with PE which indicates a possible association between this microRNA and the pathogenesis of PE. No studies to date have addressed the effect of miR-519d-3p on the invasion and migration of trophoblast cells. In our study, we found that miR-519d-3p expression was elevated in placental samples from patients with PE. In vitro, overexpression of miR-519d-3p significantly inhibited trophoblast cell migration and invasion, whereas transfection of a miR-519d-3p inhibitor enhanced trophoblast cell migration and invasion. Luciferase assays confirmed that matrix metalloproteinase-2 (MMP-2) is a direct target of miR-519d-3p. Quantitative real-time PCR and western blot assays showed that overexpression of miR-519d-3p downregulated MMP-2 mRNA and protein expression. Knockdown of MMP-2 using a siRNA attenuated the increased trophoblast migration and invasion promoted by the miR-519d-3p inhibitor. In placentas from patients with PE or normal pregnancies, a negative correlation between the expression of MMP-2 and miR-519d-3p was observed using the Pearson correlation and linear regression analysis. Our present findings suggest that upregulation of miR-519d-3p may contribute to the development of PE by inhibiting trophoblast cell migration and invasion via targeting MMP-2; miR-519d-3p may represent a potential predictive and therapeutic target for PE.","author":[{"dropping-particle":"","family":"Ding","given":"Jie","non-dropping-particle":"","parse-names":false,"suffix":""},{"dropping-particle":"","family":"Huang","given":"Fei","non-dropping-particle":"","parse-names":false,"suffix":""},{"dropping-particle":"","family":"Wu","given":"Gaoyi","non-dropping-particle":"","parse-names":false,"suffix":""},{"dropping-particle":"","family":"Han","given":"Tao","non-dropping-particle":"","parse-names":false,"suffix":""},{"dropping-particle":"","family":"Xu","given":"Fuqiang","non-dropping-particle":"","parse-names":false,"suffix":""},{"dropping-particle":"","family":"Weng","given":"Dan","non-dropping-particle":"","parse-names":false,"suffix":""},{"dropping-particle":"","family":"Wu","given":"Chengli","non-dropping-particle":"","parse-names":false,"suffix":""},{"dropping-particle":"","family":"Zhang","given":"Xiaodong","non-dropping-particle":"","parse-names":false,"suffix":""},{"dropping-particle":"","family":"Yao","given":"Yuanqing","non-dropping-particle":"","parse-names":false,"suffix":""},{"dropping-particle":"","family":"Zhu","given":"Xiaoming","non-dropping-particle":"","parse-names":false,"suffix":""}],"container-title":"PLoS ONE","id":"ITEM-1","issue":"3","issued":{"date-parts":[["2015"]]},"page":"e0120321","title":"MiR-519d-3p suppresses invasion and migration of trophoblast cells via targeting MMP-2","type":"article-journal","volume":"10"},"uris":["http://www.mendeley.com/documents/?uuid=52489302-e2e2-35c1-a157-043ff0333e0a"]}],"mendeley":{"formattedCitation":"(Ding et al., 2015)","plainTextFormattedCitation":"(Ding et al., 2015)","previouslyFormattedCitation":"(Ding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(Ding et al., 2015)</w:t>
            </w:r>
            <w:r>
              <w:rPr>
                <w:rFonts w:eastAsia="Times New Roman"/>
                <w:sz w:val="18"/>
                <w:szCs w:val="18"/>
              </w:rPr>
              <w:fldChar w:fldCharType="end"/>
            </w:r>
          </w:p>
        </w:tc>
        <w:tc>
          <w:tcPr>
            <w:tcW w:w="3100" w:type="dxa"/>
            <w:shd w:val="clear" w:color="auto" w:fill="auto"/>
            <w:vAlign w:val="center"/>
          </w:tcPr>
          <w:p w:rsidR="00247AFE" w:rsidRPr="000710F5" w:rsidRDefault="00247AFE" w:rsidP="009B2A14">
            <w:pPr>
              <w:autoSpaceDE w:val="0"/>
              <w:autoSpaceDN w:val="0"/>
              <w:adjustRightInd w:val="0"/>
              <w:spacing w:after="0"/>
              <w:jc w:val="center"/>
              <w:rPr>
                <w:rFonts w:eastAsia="Times New Roman"/>
                <w:sz w:val="18"/>
                <w:szCs w:val="18"/>
              </w:rPr>
            </w:pPr>
            <w:r w:rsidRPr="000710F5">
              <w:rPr>
                <w:sz w:val="18"/>
                <w:szCs w:val="18"/>
              </w:rPr>
              <w:t>PrimeScript RT Master Mix and SYBR PrimeScript miRNA RT-PCR Kits, respectively (Takara Biotechnology, Dalian, China)</w:t>
            </w:r>
          </w:p>
        </w:tc>
        <w:tc>
          <w:tcPr>
            <w:tcW w:w="4280" w:type="dxa"/>
            <w:shd w:val="clear" w:color="auto" w:fill="auto"/>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{"citationItems":[{"id":"ITEM-1","itemData":{"DOI":"10.1371/journal.pone.0138383","abstract":"Aims. To demonstrate that pregnancy-related complications are associated with alterations in cardiovascular and cerebrovascular microRNA expression. Gene expression of 32 microRNAs (miR-1-3p, miR-16-5p, miR-17-5p, miR-20a-5p, miR-20b-5p, miR-21-5p, miR-23a-3p, miR-24-3p, miR-26a-5p, miR-29a-3p, miR-33a-5p, miR-92a-3p, miR-100-5p, miR-103a-3p, miR-122-5p, miR-125b-5p, miR-126-3p, miR-130b-3p, miR-133a-3p, miR-143-3p, miR- 145-5p, miR-146a-5p, miR-155-5p, miR-181a-5p, miR-195-5p, miR-199a-5p, miR-208a-3p, miR-210-3p, miR-221-3p, miR-342-3p, miR-499a-5p, and miR-574-3p) was assessed in placental tissues, compared between groups (35 gestational hypertension, 80 preeclampsia, 35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placental tissues affected by pregnancy-related complications have been carried out.","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PLoS ONE","id":"ITEM-1","issue":"9","issued":{"date-parts":[["2015"]]},"page":"e0138383","title":"Cardiovascular and cerebrovascular disease associated microRNAS are dysregulated in placental tissues affected with gestational hypertension, preeclampsia and intrauterine growth restriction","type":"article-journal","volume":"10"},"uris":["http://www.mendeley.com/documents/?uuid=6c37d6ae-29c0-329f-a584-7063ee1728eb"]}],"mendeley":{"formattedCitation":"(Hromadnikova et al., 2015a)","plainTextFormattedCitation":"(Hromadnikova et al., 2015a)","previouslyFormattedCitation":"(Hromadnikova et al., 2015a)"},"properties":{"noteIndex":0},"schema":"https://github.com/citation-style-language/schema/raw/master/csl-citation.json"}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2015a)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microRNA-gene-Disease ontology interactions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sz w:val="18"/>
                <w:szCs w:val="18"/>
              </w:rPr>
              <w:t>RNU58A and U54</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{"citationItems":[{"id":"ITEM-1","itemData":{"DOI":"10.1089/dna.2014.2687","abstract":"To demonstrate that pregnancy-related complications are associated with alterations in placental microRNA expression. Gene expression of 15 C19MC microRNAs (miR-512-5p, miR-515-5p, miR-516-5p, miR-517-5p, miR-518b, miR-518f-5p, miR-519a, miR-519d, miR-519e-5p, miR-520a-5p, miR-520h, miR-524-5p, miR-525, miR-526a, and miR-526b) was assessed in placental tissues, compared between groups (21 gestational hypertension [GH], 63 preeclampsia, 36 fetal growth restriction [FGR], and 42 normal pregnancies), and correlated with the severity of the disease with respect to clinical signs, delivery date, and Doppler ultrasound parameters. The expression profile of microRNAs was different between pregnancy-related complications and controls. The downregulation of 4 of 15 (miR-517-5p, miR-519d, miR-520a-5p, and miR-525), 6 of 15 (miR-517-5p, miR-518f-5p, miR-519a, miR-519d, miR-520a-5p, and miR-525), and 11 of 15 (miR-515-5p, miR-517-5p, miR-518b, miR-518f-5p, miR-519a, miR-519d, miR-520a-5p, miR-520h, miR-524-5p, miR-525, and miR-526a) microRNAs was associated with GH, FGR, and preeclampsia, respectively. Sudden onset of severe preeclampsia requiring immediate termination of gestation and mild forms of preeclampsia (persisting for several weeks) were associated with similar microRNA expression profile (downregulation of miR-517-5p, miR-520a-5p, miR-524-5p, and miR-525). In addition, miR-519a was found to be associated with severe preeclampsia. The longer the pregnancy-related disorder lasted, the more extensive was the downregulation of microRNAs (miR-515-5p, miR-518b, miR-518f-5p, miR-519d, and miR-520h). The downregulation of some C19MC microRNAs is a common phenomenon shared between GH, preeclampsia, and FGR. On the other hand, some of the C19MC microRNAs are only downregulated just in preeclampsia.","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Pirkova","given":"Petr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Krofta","given":"Ladislav","non-dropping-particle":"","parse-names":false,"suffix":""}],"container-title":"DNA and Cell Biology","id":"ITEM-1","issue":"6","issued":{"date-parts":[["2015"]]},"page":"437-457","title":"Expression profile of C19MC microRNAs in placental tissue in pregnancy-related complications","type":"article-journal","volume":"34"},"uris":["http://www.mendeley.com/documents/?uuid=a11d294b-df0c-3d56-85cf-aa02ea7be6a4"]}],"mendeley":{"formattedCitation":"(Hromadnikova et al., 2015b)","plainTextFormattedCitation":"(Hromadnikova et al., 2015b)","previouslyFormattedCitation":"(Hromadnikova et al., 2015b)"},"properties":{"noteIndex":0},"schema":"https://github.com/citation-style-language/schema/raw/master/csl-citation.json"}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2015b)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C19MC microRNA target prediction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{"citationItems":[{"id":"ITEM-1","itemData":{"DOI":"10.1016/j.febslet.2015.11.001","abstract":"Mesenchymal stem cells (MSCs) possess the ability to modulate the immune response, and their abnormalities are related to several diseases. We previously reported that miR-30a expression significantly increased in the maternal-fetal interface during preeclampsia (PE), but the effects of miR-30a on the immunoregulatory characteristics of MSCs are unclear. In this study, we determined that miR-30a over-expression inhibited the IL-1β-elicited activation of the nuclear factor κB (NF-κB) and JNK signaling pathways and the production of IL-6, cyclooxygenase 2 (COX2) and IL-8 by targeting transforming growth factor-β-activated kinase 1 binding protein 3 (TAB3) in MSCs. Moreover, the over-expression of miR-30a also impaired MSCs' anti-inflammatory effects on macrophages. These data demonstrated that miR-30a in MSCs may participate in the immune dysregulation of the maternal-fetal interface during PE. Elevated miR-30a expression in the umbilical cord and MSCs from PE was determined. MiR-30a decreased the expression of IL-6, COX2 and IL-8 derived from IL-1β-elicited MSCs. MiR-30a attenuated immunosuppressive effects of MSCs on macrophages.","author":[{"dropping-particle":"","family":"Hu","given":"Erling","non-dropping-particle":"","parse-names":false,"suffix":""},{"dropping-particle":"","family":"Ding","given":"Liang","non-dropping-particle":"","parse-names":false,"suffix":""},{"dropping-particle":"","family":"Miao","given":"Huishuang","non-dropping-particle":"","parse-names":false,"suffix":""},{"dropping-particle":"","family":"Liu","given":"Fei","non-dropping-particle":"","parse-names":false,"suffix":""},{"dropping-particle":"","family":"Liu","given":"Dan","non-dropping-particle":"","parse-names":false,"suffix":""},{"dropping-particle":"","family":"Dou","given":"Huan","non-dropping-particle":"","parse-names":false,"suffix":""},{"dropping-particle":"","family":"Hou","given":"Yayi","non-dropping-particle":"","parse-names":false,"suffix":""}],"container-title":"FEBS Letters","id":"ITEM-1","issue":"24","issued":{"date-parts":[["2015"]]},"page":"3899-3907","title":"MiR-30a attenuates immunosuppressive functions of IL-1β-elicited mesenchymal stem cells via targeting TAB3","type":"article-journal","volume":"589"},"uris":["http://www.mendeley.com/documents/?uuid=2c9544a1-09c8-37c1-8643-aca6c424934b"]}],"mendeley":{"formattedCitation":"(Hu et al., 2015)","plainTextFormattedCitation":"(Hu et al., 2015)","previouslyFormattedCitation":"(Hu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(Hu et al., 2015)</w:t>
            </w:r>
            <w:r>
              <w:rPr>
                <w:rFonts w:eastAsia="Times New Roman"/>
                <w:sz w:val="18"/>
                <w:szCs w:val="18"/>
              </w:rPr>
              <w:fldChar w:fldCharType="end"/>
            </w:r>
            <w:r w:rsidR="00247AFE">
              <w:rPr>
                <w:rFonts w:eastAsia="Times New Roman"/>
                <w:sz w:val="18"/>
                <w:szCs w:val="18"/>
              </w:rPr>
              <w:t xml:space="preserve"> </w:t>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Transient transfection, Western blotting,ELISA, qRT-PCR, Luciferase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121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{"citationItems":[{"id":"ITEM-1","itemData":{"DOI":"10.3892/mmr.2015.4018","abstract":"The aim of the present study was to identify the differentially expressed microRNAs (miRNAs) in placenta from patients with preeclampsia, and examine their roles in the pathogenesis of preeclampsia in vivo and ex vivo. The placental expression levels of miRNAs were examined in tissue samples harvested from 20 patients with preeclampsia and 20 healthy control individuals. A total of 18 miRNAs were differentially expressed (12 upregulated and six downregulated) among the preeclampsia cases, compared with the controls. By further functional/pathway analysis, two significantly upregulated miRNAs, miR-335 and miR-584, were identified. These target endothelial nitric oxide synthase (eNOS), which has been repeatedly reported to be involved in the development of preeclampsia. The present study then verified eNOS as a target gene of miR-335 and miR-584 using a luceriferase assay, and confirmed the expression patterns of the two miRNAs and eNOS in preeclampsic and normal placentas. Additionally, to examine the function of miR-584 and miR-335 in human placenta, the present study transiently transfected the HTR8/Svneo cell line with miR-584 and miR-335 mimics or their inhibitors, and the results of a subsequent Transwell insert invasion assay revealed that miR-584 and miR-335 inhibited the migratory ability of the trophoblast cells, and that the effect was 'rescued' by overexpressed eNOS. These data revealed a negative regulatory role of miR-584 and miR-335 in the migration of HTR-8/SVneo cells by targeting eNOS, and identified miR-584 and miR-335 as potential novel therapeutic targets in preeclampsia.","author":[{"dropping-particle":"","family":"Jiang","given":"Feng","non-dropping-particle":"","parse-names":false,"suffix":""},{"dropping-particle":"","family":"Li","given":"Jipeng","non-dropping-particle":"","parse-names":false,"suffix":""},{"dropping-particle":"","family":"Wu","given":"Guojun","non-dropping-particle":"","parse-names":false,"suffix":""},{"dropping-particle":"","family":"Miao","given":"Zhuo","non-dropping-particle":"","parse-names":false,"suffix":""},{"dropping-particle":"","family":"Lu","given":"Linshan","non-dropping-particle":"","parse-names":false,"suffix":""},{"dropping-particle":"","family":"Ren","given":"Guoping","non-dropping-particle":"","parse-names":false,"suffix":""},{"dropping-particle":"","family":"Wang","given":"Xiaohong","non-dropping-particle":"","parse-names":false,"suffix":""}],"container-title":"Molecular Medicine Reports","id":"ITEM-1","issue":"4","issued":{"date-parts":[["2015"]]},"page":"5383-5390","title":"Upregulation of microRNA-335 and microRNA-584 contributes to the pathogenesis of severe preeclampsia through downregulation of endothelial nitric oxide synthase","type":"article-journal","volume":"12"},"uris":["http://www.mendeley.com/documents/?uuid=f44f9fb1-c30f-336c-a029-335c2b9f1683"]}],"mendeley":{"formattedCitation":"(Jiang et al., 2015)","plainTextFormattedCitation":"(Jiang et al., 2015)","previouslyFormattedCitation":"(Jiang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(Jiang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microarray analysis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MiRanda and TargetScan, Western blotting, Plasmids, small interfering (si)RNA and transfection, Luciferase assay, Cell survival and proliferation assay, Transwell invasion and migration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uthor":[{"dropping-particle":"","family":"Lasabová","given":"Zora","non-dropping-particle":"","parse-names":false,"suffix":""},{"dropping-particle":"","family":"Vážan","given":"Martin","non-dropping-particle":"","parse-names":false,"suffix":""},{"dropping-particle":"","family":"Zibolenová","given":"Jana","non-dropping-particle":"","parse-names":false,"suffix":""},{"dropping-particle":"","family":"Švecová","given":"Iveta","non-dropping-particle":"","parse-names":false,"suffix":""},{"dropping-particle":"","family":"Lasabová","given":"Assoc Zora","non-dropping-particle":"","parse-names":false,"suffix":""}],"container-title":"Neuroendocrinol Lett","id":"ITEM-1","issue":"7","issued":{"date-parts":[["2015"]]},"page":"26859593-360715","title":"Overexpression of miR-21 and miR-122 in preeclamptic placentas","type":"article-journal","volume":"36"},"uris":["http://www.mendeley.com/documents/?uuid=c1fe4180-9411-3afe-bae9-656bf63b5ef8"]}],"mendeley":{"formattedCitation":"(Lasabová et al., 2015)","plainTextFormattedCitation":"(Lasabová et al., 2015)","previouslyFormattedCitation":"(Lasabová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(Lasabová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RNU44</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460963">
              <w:rPr>
                <w:rFonts w:eastAsia="Times New Roman"/>
                <w:sz w:val="18"/>
                <w:szCs w:val="18"/>
              </w:rPr>
              <w:instrText>ADDIN CSL_CITATION {"citationItems":[{"id":"ITEM-1","itemData":{"DOI":"10.3892/br.2015.524","ISSN":"2049-9434","abstract":"To identify the specific serum preeclampsia (PE)-related biomarkers, 10 microRNAs (miRNAs) were selected based on their reported aberrant (4 upregulated and 6 downregulated) expression in PE placenta. A total of 1,035 pregnant patients were enrolled. Finally, 32 pregnancies with PE and 32 healthy pregnancies were incorporated in the study. The expression of these 10 miRNAs in the different trimesters was determined by SYBR-Green reverse transcription-quantitative polymerase chain reaction. Compared with that in the healthy controls, the expression levels of miR-152, miR-183 and miR-210 in PE serum were higher in the second and third trimester, whereas the expression of miR-182 was only higher in the third trimester. The expression levels of 6 miRNAs (miR-1, miR-328, miR-363, miR-377, miR-500 and miR-584) that were downregulated in PE placenta showed no significant differences between pregnancies complicated by PE and healthy pregnancies throughout the 3 trimesters. Areas under the receiver operating characteristic [standard error (SE)] during the 20-24th gestational week for predicting PE were miR-152: 0.94 (SE, 0.026), miR-183: 0.97 (SE, 0.031) and miR-210: 0.93 (SE, 0.018). In conclusion, the expression levels of serum miR-152, miR-183 and miR-210 were elevated since the second trimester in pregnancies complicated with PE, indicating their potentials as serum biomarkers for forecasting PE.","author":[{"dropping-particle":"","family":"LI","given":"QIAN","non-dropping-particle":"","parse-names":false,"suffix":""},{"dropping-particle":"","family":"LONG","given":"ANXIONG","non-dropping-particle":"","parse-names":false,"suffix":""},{"dropping-particle":"","family":"JIANG","given":"LIANSHENG","non-dropping-particle":"","parse-names":false,"suffix":""},{"dropping-particle":"","family":"CAI","given":"LEIMING","non-dropping-particle":"","parse-names":false,"suffix":""},{"dropping-particle":"","family":"XIE","given":"LI","non-dropping-particle":"","parse-names":false,"suffix":""},{"dropping-particle":"","family":"GU","given":"JI'AN","non-dropping-particle":"","parse-names":false,"suffix":""},{"dropping-particle":"","family":"CHEN","given":"XIONG","non-dropping-particle":"","parse-names":false,"suffix":""},{"dropping-particle":"","family":"TAN","given":"LONGYI","non-dropping-particle":"","parse-names":false,"suffix":""}],"container-title":"Biomedical Reports","id":"ITEM-1","issue":"6","issued":{"date-parts":[["2015"]]},"page":"792-796","title":"Quantification of preeclampsia-related microRNAs in maternal serum","type":"article-journal","volume":"3"},"uris":["http://www.mendeley.com/documents/?uuid=017d09fd-2a61-36a0-ad16-a32876f8fb74"]}],"mendeley":{"formattedCitation":"(LI et al., 2015)","plainTextFormattedCitation":"(LI et al., 2015)","previouslyFormattedCitation":"(LI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RT</w:t>
            </w:r>
            <w:r w:rsidRPr="000710F5">
              <w:rPr>
                <w:rFonts w:eastAsia="Times New Roman"/>
                <w:sz w:val="18"/>
                <w:szCs w:val="18"/>
              </w:rPr>
              <w:noBreakHyphen/>
              <w:t>qPCR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Cel-miR-39-1</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(Miura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(absolute quantification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(Murphy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Custom miScript miRNA</w:t>
            </w:r>
            <w:r w:rsidRPr="000710F5">
              <w:rPr>
                <w:rFonts w:eastAsia="Times New Roman"/>
                <w:sz w:val="18"/>
                <w:szCs w:val="18"/>
              </w:rPr>
              <w:br/>
              <w:t>PCR Arrays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{"citationItems":[{"id":"ITEM-1","itemData":{"DOI":"10.1186/s12860-015-0068-2","abstract":"Background: Preeclampsia, one of the major disorders of pregnancy, is characterized by inadequate trophoblast invasion and defective trophoblast-mediated remodeling of placental vasculature. MicroRNA-34a (miR-34a) has been found to be aberrantly expressed in the placentas of preeclamptic patients, yet its role in placental development and in the pathogenesis of preeclampsia remains elusive. Results: The levels of miR-34a in the placentas of 20 preeclamptic patients and 20 healthy subjects were determined by real time-PCR, and miR-34a was found significantly elevated in the preeclamptic placentas. Further, the function of miR-34a in trophoblast cells was investigated by overexpressing miR-34a in JEG-3 trophoblast cell line. Overexpression of miR-34a in JEG-3 cells inhibited cell proliferation, migration and invasion. In addition, elevated expression of miR-34a reduced the expression of both endogenous and ectopic MYC. Moreover, we identified that MYC mRNA was a direct target of miR-34a in JEG-3 cells by dual luciferase reporter assay, and found that downregulation of MYC expression by miR-34a targeting significantly reduced the invasiveness of JEG-3 cells. Conclusions: Our findings provide preliminary evidence for the diverse functions of miR-34a in trophoblast biology, and suggest that miR-34a suppresses trophoblast invasion by directly targeting MYC.","author":[{"dropping-particle":"","family":"Sun","given":"Manni","non-dropping-particle":"","parse-names":false,"suffix":""},{"dropping-particle":"","family":"Chen","given":"Haiying","non-dropping-particle":"","parse-names":false,"suffix":""},{"dropping-particle":"","family":"Liu","given":"Jing","non-dropping-particle":"","parse-names":false,"suffix":""},{"dropping-particle":"","family":"Tong","given":"Chunxiao","non-dropping-particle":"","parse-names":false,"suffix":""},{"dropping-particle":"","family":"Meng","given":"Tao","non-dropping-particle":"","parse-names":false,"suffix":""}],"container-title":"BMC Cell Biology","id":"ITEM-1","issue":"1","issued":{"date-parts":[["2015"]]},"page":"21","title":"MicroRNA-34a inhibits human trophoblast cell invasion by targeting MYC","type":"article-journal","volume":"16"},"uris":["http://www.mendeley.com/documents/?uuid=955c902e-c1cc-3797-93f3-310df1c44f90"]}],"mendeley":{"formattedCitation":"(Sun et al., 2015)","plainTextFormattedCitation":"(Sun et al., 2015)","previouslyFormattedCitation":"(Sun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(Sun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proliferation/MTT assay, Scratch wound assay,Transwell assay, Western blotting, Dual luciferase reporter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(Winger et al., 2015)</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MicroRNA associations with immunological assays, Selection of a seven-microRNA panel, MicroRNA cluster association with metabolic</w:t>
            </w:r>
            <w:r w:rsidRPr="000710F5">
              <w:rPr>
                <w:rFonts w:eastAsia="Times New Roman"/>
                <w:sz w:val="18"/>
                <w:szCs w:val="18"/>
              </w:rPr>
              <w:br/>
              <w:t>pathways, Immunotesting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RNU48</w:t>
            </w:r>
          </w:p>
        </w:tc>
      </w:tr>
      <w:tr w:rsidR="00247AFE" w:rsidRPr="000459A8" w:rsidTr="00130F93">
        <w:trPr>
          <w:trHeight w:val="288"/>
          <w:jc w:val="center"/>
        </w:trPr>
        <w:tc>
          <w:tcPr>
            <w:tcW w:w="1052" w:type="dxa"/>
            <w:shd w:val="clear" w:color="auto" w:fill="auto"/>
            <w:vAlign w:val="center"/>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460963">
              <w:rPr>
                <w:rFonts w:ascii="Cambria Math" w:eastAsia="Times New Roman" w:hAnsi="Cambria Math" w:cs="Cambria Math"/>
                <w:sz w:val="18"/>
                <w:szCs w:val="18"/>
              </w:rPr>
              <w:instrText>∗</w:instrText>
            </w:r>
            <w:r w:rsidR="00460963">
              <w:rPr>
                <w:rFonts w:eastAsia="Times New Roman" w:cs="Times New Roman"/>
                <w:sz w:val="18"/>
                <w:szCs w:val="18"/>
              </w:rPr>
              <w:instrText>, miR-130a, miR-135b, miR-142-3p, miR-149, miR-188-5p, mi</w:instrText>
            </w:r>
            <w:r w:rsidR="00460963">
              <w:rPr>
                <w:rFonts w:eastAsia="Times New Roman"/>
                <w:sz w:val="18"/>
                <w:szCs w:val="18"/>
              </w:rPr>
              <w:instrText>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et al., 2015)</w:t>
            </w:r>
            <w:r>
              <w:rPr>
                <w:rFonts w:eastAsia="Times New Roman"/>
                <w:sz w:val="18"/>
                <w:szCs w:val="18"/>
              </w:rPr>
              <w:fldChar w:fldCharType="end"/>
            </w:r>
          </w:p>
        </w:tc>
        <w:tc>
          <w:tcPr>
            <w:tcW w:w="3100" w:type="dxa"/>
            <w:shd w:val="clear" w:color="auto" w:fill="auto"/>
            <w:vAlign w:val="center"/>
          </w:tcPr>
          <w:p w:rsidR="00247AFE" w:rsidRPr="000710F5" w:rsidRDefault="00247AFE" w:rsidP="009B2A14">
            <w:pPr>
              <w:spacing w:after="0"/>
              <w:jc w:val="center"/>
              <w:rPr>
                <w:rFonts w:eastAsia="Times New Roman"/>
                <w:sz w:val="18"/>
                <w:szCs w:val="18"/>
              </w:rPr>
            </w:pPr>
            <w:r w:rsidRPr="000710F5">
              <w:rPr>
                <w:color w:val="000000"/>
                <w:sz w:val="18"/>
                <w:szCs w:val="18"/>
              </w:rPr>
              <w:t>SOLiD sequencing platform</w:t>
            </w:r>
          </w:p>
        </w:tc>
        <w:tc>
          <w:tcPr>
            <w:tcW w:w="4280" w:type="dxa"/>
            <w:shd w:val="clear" w:color="auto" w:fill="auto"/>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947753">
              <w:rPr>
                <w:rFonts w:eastAsia="Times New Roman"/>
                <w:sz w:val="18"/>
                <w:szCs w:val="18"/>
              </w:rPr>
              <w:instrText>ADDIN CSL_CITATION {"citationItems":[{"id":"ITEM-1","itemData":{"DOI":"10.1016/j.placenta.2014.11.020","ISSN":"15323102","PMID":"25499681","abstract":"Preeclampsia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947753">
              <w:rPr>
                <w:rFonts w:ascii="Cambria Math" w:eastAsia="Times New Roman" w:hAnsi="Cambria Math" w:cs="Cambria Math"/>
                <w:sz w:val="18"/>
                <w:szCs w:val="18"/>
              </w:rPr>
              <w:instrText>∼</w:instrText>
            </w:r>
            <w:r w:rsidR="00947753">
              <w:rPr>
                <w:rFonts w:eastAsia="Times New Roman" w:cs="Times New Roman"/>
                <w:sz w:val="18"/>
                <w:szCs w:val="18"/>
              </w:rPr>
              <w:instrText>363 cluster was further examined and validated. These findings would facilitate further investigation of aberrant expression of miRNAs in the pathology of preeclampsia.","author":[{"dropping-particle":"","family":"Zhang","given":"C.","non-d</w:instrText>
            </w:r>
            <w:r w:rsidR="00947753">
              <w:rPr>
                <w:rFonts w:eastAsia="Times New Roman"/>
                <w:sz w:val="18"/>
                <w:szCs w:val="18"/>
              </w:rPr>
              <w:instrText>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w:instrText>
            </w:r>
            <w:r w:rsidR="00947753">
              <w:rPr>
                <w:rFonts w:ascii="Cambria Math" w:eastAsia="Times New Roman" w:hAnsi="Cambria Math" w:cs="Cambria Math"/>
                <w:sz w:val="18"/>
                <w:szCs w:val="18"/>
              </w:rPr>
              <w:instrText>∼</w:instrText>
            </w:r>
            <w:r w:rsidR="00947753">
              <w:rPr>
                <w:rFonts w:eastAsia="Times New Roman" w:cs="Times New Roman"/>
                <w:sz w:val="18"/>
                <w:szCs w:val="18"/>
              </w:rPr>
              <w:instrText>363 cluster is dysregulated in preeclamptic placenta","type":"article-journal","volume":"36"},"uris":["http://www.mendeley.com/documents/?uuid=0a56488d-15ad-3389-b6a8-5b1e55e78569","http://www.mendeley.com/documents/?uuid=30b</w:instrText>
            </w:r>
            <w:r w:rsidR="00947753">
              <w:rPr>
                <w:rFonts w:eastAsia="Times New Roman"/>
                <w:sz w:val="18"/>
                <w:szCs w:val="18"/>
              </w:rPr>
              <w:instrText>0a614-79b4-4d69-9e98-825287024c11"]}],"mendeley":{"formattedCitation":"(Zhang et al., 2015b)","plainTextFormattedCitation":"(Zhang et al., 2015b)","previouslyFormattedCitation":"(Zhang et al., 2015b)"},"properties":{"noteIndex":0},"schema":"https://github.com/citation-style-language/schema/raw/master/csl-citation.json"}</w:instrText>
            </w:r>
            <w:r>
              <w:rPr>
                <w:rFonts w:eastAsia="Times New Roman"/>
                <w:sz w:val="18"/>
                <w:szCs w:val="18"/>
              </w:rPr>
              <w:fldChar w:fldCharType="separate"/>
            </w:r>
            <w:r w:rsidR="00947753" w:rsidRPr="00947753">
              <w:rPr>
                <w:rFonts w:eastAsia="Times New Roman"/>
                <w:noProof/>
                <w:sz w:val="18"/>
                <w:szCs w:val="18"/>
              </w:rPr>
              <w:t>(Zhang et al., 2015b)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human miRNA chip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2016)</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RNU38B, RNU58A</w:t>
            </w:r>
          </w:p>
        </w:tc>
      </w:tr>
      <w:tr w:rsidR="00247AFE" w:rsidRPr="000459A8" w:rsidTr="00130F93">
        <w:trPr>
          <w:trHeight w:val="16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{"citationItems":[{"id":"ITEM-1","itemData":{"DOI":"10.1016/j.placenta.2016.01.019","abstract":"Hydrogen sulfide (H2S) has been implicated to angiogenesis in various tissues. We sought to investigate the role of hydrogen sulfide (H2S) in regulating production of vascular endothelial growth factor (VEGF) proteins, the key factors of angiogenesis and vasculogenesis, in placenta. Methods Placental tissues were obtained from pregnant women with preeclampsia and healthy pregnant women who underwent elective cesarean section. Explants and trophoblasts were isolated from healthy placentas and treated with H2S donor and precursor. Western blotting was used to determine the levels of cystathionine β-synthase (CBS) and cystathionine γ-lyase (CSE). The levels of VEGF mRNA, miR miR-200c,-20a and -20b were determined by quantitative real time PCR. Results NaHS and l-cysteine increased VEGF but not placenta growth factor (PlGF) production in cultured explants and trophoblasts. Transfection of CBS and CSE siRNA reversed the stimulatory effect of l-cysteine on VEGF production in placental cells. H2S prolonged the half-life of VEGF mRNA and decreased the expression of miR-200c,-20a and -20b in placental cells. MiR-200c mimic and inhibitor affected VEGF mRNA and protein level, whereas miR-20a or -20b mimic and inhibitor affect VEGF protein release but not mRNA expression. The expression level of miR-200c,-20a and -20b as well as the level of CBS, CSE and VEGF were downregulated in preeclamptic placentas. Conclusion H2S produced via CSE and CBS plays a critical role in VEGF production in human placenta. Reduced expression of CSE and CBS may contribute to the abnormal production of angiogenic factors in preeclamptic placenta.","author":[{"dropping-particle":"","family":"Hu","given":"Tian Xiao","non-dropping-particle":"","parse-names":false,"suffix":""},{"dropping-particle":"","family":"Wang","given":"Gang","non-dropping-particle":"","parse-names":false,"suffix":""},{"dropping-particle":"","family":"Guo","given":"Xue Jing","non-dropping-particle":"","parse-names":false,"suffix":""},{"dropping-particle":"","family":"Sun","given":"Qian Qian","non-dropping-particle":"","parse-names":false,"suffix":""},{"dropping-particle":"","family":"He","given":"Ping","non-dropping-particle":"","parse-names":false,"suffix":""},{"dropping-particle":"","family":"Gu","given":"Hang","non-dropping-particle":"","parse-names":false,"suffix":""},{"dropping-particle":"","family":"Huang","given":"Ying","non-dropping-particle":"","parse-names":false,"suffix":""},{"dropping-particle":"","family":"Gao","given":"Lu","non-dropping-particle":"","parse-names":false,"suffix":""},{"dropping-particle":"","family":"Ni","given":"Xin","non-dropping-particle":"","parse-names":false,"suffix":""}],"container-title":"Placenta","id":"ITEM-1","issued":{"date-parts":[["2016"]]},"page":"101-110","title":"MiR 20a,-20b and -200c are involved in hydrogen sulfide stimulation of VEGF production in human placental trophoblasts","type":"article-journal","volume":"39"},"uris":["http://www.mendeley.com/documents/?uuid=6ff865a9-5fcc-39f6-a475-f40ae6b15921"]}],"mendeley":{"formattedCitation":"(Hu et al., 2016)","plainTextFormattedCitation":"(Hu et al., 2016)","previouslyFormattedCitation":"(Hu et al., 2016)"},"properties":{"noteIndex":0},"schema":"https://github.com/citation-style-language/schema/raw/master/csl-citation.json"}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(Hu et al., 2016)</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Placental explants and cell culture, Western blotting, qRT-PCR, Lactate dehydrogenase (LDH), VEGF, PlGF and placental</w:t>
            </w:r>
            <w:r w:rsidRPr="000710F5">
              <w:rPr>
                <w:rFonts w:eastAsia="Times New Roman"/>
                <w:sz w:val="18"/>
                <w:szCs w:val="18"/>
              </w:rPr>
              <w:br/>
              <w:t>lactogen (hPL) measurement, RNA interferences, Migration assay of human umbilical vein endothelial cells and tube-like structure formation assay, Assessment of VEGF mRNA stability, Verification of the targets of miRs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{"citationItems":[{"id":"ITEM-1","itemData":{"DOI":"0.3892/br.2016.779","abstract":"Preeclampsia (PE) is a pregnancy-related disease with potentially severe consequences with respect to foeto-maternal morbidity and mortality. However, the molecular pathogenesis of PE remains largely unknown. Recent reports have shown that microRNAs (miRNAs or miRs) may play important roles in the development of PE. Analysing the miRNAs in sera from preeclamptic women may improve our understanding of the pathophysiological mechanisms of the disease. The aim of this retrospective study was to identify whether circulating miRNAs were differentially expressed in PE patients compared with controls. Serum samples from 23 women who developed PE were compared with samples from 44 pregnant controls. Seventeen circulating miRNAs previously described in PE were chosen for evaluation of their expression by reverse transcription quantitative polymerase chain reaction (RT-qPCR). In the maternal serum, the miR-210-3p, miR-210-5p, miR-1233-3p, and miR-574-5p levels were found to be significantly higher in the PE patients than in the controls (P&lt;0.05). Using a logistic regression model, we evaluated the discriminant power of those differentially expressed miRNAs, and the combination of miR-210-5p and miR-574-5p yielded an area under the curve of 0.7223 for discriminating PE patients from the controls. In conclusion, the fact that four circulating miRNAs (miR-210-3p, miR-210-5p, miR-1233-3p, and miR-574-5p) were differentially expressed in the sera of women who developed PE compared with controls confirms the possible pathophysiological role of miRNAs in PE.","author":[{"dropping-particle":"","family":"Munaut","given":"Carine","non-dropping-particle":"","parse-names":false,"suffix":""},{"dropping-particle":"","family":"Tebache","given":"Linda","non-dropping-particle":"","parse-names":false,"suffix":""},{"dropping-particle":"","family":"Blacher","given":"Silvia","non-dropping-particle":"","parse-names":false,"suffix":""},{"dropping-particle":"","family":"Noël","given":"Agnès","non-dropping-particle":"","parse-names":false,"suffix":""},{"dropping-particle":"","family":"Nisolle","given":"Michelle","non-dropping-particle":"","parse-names":false,"suffix":""},{"dropping-particle":"","family":"Chantraine","given":"Frédéric","non-dropping-particle":"","parse-names":false,"suffix":""}],"container-title":"Biomedical Reports","id":"ITEM-1","issue":"6","issued":{"date-parts":[["2016"]]},"page":"686-692","title":"Dysregulated circulating miRNAs in preeclampsia","type":"article-journal","volume":"5"},"uris":["http://www.mendeley.com/documents/?uuid=bafb270f-170b-33bc-9252-e495eb3dd20b"]}],"mendeley":{"formattedCitation":"(Munaut et al., 2016)","plainTextFormattedCitation":"(Munaut et al., 2016)","previouslyFormattedCitation":"(Munaut et al., 2016)"},"properties":{"noteIndex":0},"schema":"https://github.com/citation-style-language/schema/raw/master/csl-citation.json"}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(Munaut et al., 2016)</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 and cel-miR-39</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{"citationItems":[{"id":"ITEM-1","itemData":{"DOI":"10.1016/j.trsl.2016.02.012","abstract":"Preeclampsia (PE) is one of the leading causes of maternal and perinatal morbidity and mortality worldwide. Abnormal expression of microRNAs (miRNAs) occurs in several pregnancy diseases including PE. Placental trophoblast cells express a specific set of miRNAs which changes during pregnancy. These miRNAs can be released within extracellular vesicles (EVs) and mediate intercellular communication. miR-141 is a pregnancy-related miRNA which is expressed by trophoblast cells at increased levels in maternal plasma in the third trimester. We hypothesize that miR-141 is abnormally expressed in PE placentae, controls trophoblast, and immune cell functions and is involved in the intercellular communication between fetal trophoblast and maternal immune cells. Expression of miR-141 was analyzed by quantitative real-time PCR (qPCR) in normal and preeclamptic placentae and in 2 different trophoblastic cell lines, JEG-3 and HTR-8/SVneo. Changes in JEG-3 and HTR-8/SVneo cell proliferation and invasion were investigated after miR-141 inhibition and overexpression by MTS-, BrdU-, and Matrigel assays. EVs from miR-141 transfected cells were isolated from supernatants and characterized by NanoSight analysis and qPCR. Proliferation of Jurkat T cells and invasion of HTR-8/SVneo cells were investigated after treatment with EVs containing different miR-141 levels. miR-141 expression was higher in placentae from PE patients compared with those from normal pregnancies. miR-141 inhibition in trophoblastic cells resulted in decreased cell viability and reduced invasion capability. After transfection with miR-141-mimic, trophoblastic cells secreted EVs with increased miR-141 content. These vesicles did not exert effects on trophoblastic cell invasion but reduced Jurkat T cell proliferation. In conclusion, miR-141 regulates major functions of trophoblastic and immune cells. Trophoblast cells release EVs whose miRNA content can be modified by transfection of origin cells. Furthermore, elevated levels of miR-141 can be transferred from trophoblast to immune cells by release and internalization of EVs suggesting their role in the immune regulation of normal and pathologic pregnancies.","author":[{"dropping-particle":"","family":"Ospina-Prieto","given":"Stephanie","non-dropping-particle":"","parse-names":false,"suffix":""},{"dropping-particle":"","family":"Chaiwangyen","given":"Wittaya","non-dropping-particle":"","parse-names":false,"suffix":""},{"dropping-particle":"","family":"Herrmann","given":"Jörg","non-dropping-particle":"","parse-names":false,"suffix":""},{"dropping-particle":"","family":"Groten","given":"Tanja","non-dropping-particle":"","parse-names":false,"suffix":""},{"dropping-particle":"","family":"Schleussner","given":"Ekkehard","non-dropping-particle":"","parse-names":false,"suffix":""},{"dropping-particle":"","family":"Markert","given":"Udo R.","non-dropping-particle":"","parse-names":false,"suffix":""},{"dropping-particle":"","family":"Morales-Prieto","given":"Diana M.","non-dropping-particle":"","parse-names":false,"suffix":""}],"container-title":"Translational Research","id":"ITEM-1","issued":{"date-parts":[["2016"]]},"page":"61-72","title":"MicroRNA-141 is upregulated in preeclamptic placentae and regulates trophoblast invasion and intercellular communication","type":"article-journal","volume":"172"},"uris":["http://www.mendeley.com/documents/?uuid=29ccca7b-f8d4-3b3b-a193-712e95225511"]}],"mendeley":{"formattedCitation":"(Ospina-Prieto et al., 2016)","plainTextFormattedCitation":"(Ospina-Prieto et al., 2016)","previouslyFormattedCitation":"(Ospina-Prieto et al., 2016)"},"properties":{"noteIndex":0},"schema":"https://github.com/citation-style-language/schema/raw/master/csl-citation.json"}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(Ospina-Prieto et al., 2016)</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viability and proliferation assay, Cell invasion assay, Nanoparticle tracking analysis, Co-incubation of nontransfected trophoblast and</w:t>
            </w:r>
            <w:r w:rsidRPr="000710F5">
              <w:rPr>
                <w:rFonts w:eastAsia="Times New Roman"/>
                <w:sz w:val="18"/>
                <w:szCs w:val="18"/>
              </w:rPr>
              <w:br/>
              <w:t>immune cells with isolated Evs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RNU48</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{"citationItems":[{"id":"ITEM-1","itemData":{"DOI":"10.1111/jcmm.12767","abstract":"We examined the effect of plasma incubation from preeclampsia pregnant on the antiangiogenic miR-195-5p expression. Higher miR-195-5p expression was found in cultures incubated with preeclampsia plasma compared to those incubated with healthy pregnant plasma. Next, as VEGF is a target of miR-195-5p we have quantified its expression by real-time qPCR and ELISA. We found reduced VEGF levels in culture incubated with preeclampsia plasma. Therefore, we have concluded that the higher expression of miR-195-5p in endothelial cell cultures incubated with preeclampsia plasma may contribute to decreased expression of VEGFA (gene and protein) and increased antiangiogenic status in preeclampsia. Therefore, this miR may be an important target in preeclampsia.","author":[{"dropping-particle":"","family":"Sandrim","given":"Valeria Cristina","non-dropping-particle":"","parse-names":false,"suffix":""},{"dropping-particle":"","family":"Dias","given":"Mayara Caldeira","non-dropping-particle":"","parse-names":false,"suffix":""},{"dropping-particle":"","family":"Bovolato","given":"Ana Lívia de Carvalho","non-dropping-particle":"","parse-names":false,"suffix":""},{"dropping-particle":"","family":"Tanus-Santos","given":"Jose E.","non-dropping-particle":"","parse-names":false,"suffix":""},{"dropping-particle":"","family":"Deffune","given":"Elenice","non-dropping-particle":"","parse-names":false,"suffix":""},{"dropping-particle":"","family":"Cavalli","given":"Ricardo C.","non-dropping-particle":"","parse-names":false,"suffix":""}],"container-title":"Journal of Cellular and Molecular Medicine","id":"ITEM-1","issue":"6","issued":{"date-parts":[["2016"]]},"page":"1198-1200","title":"Plasma from pre-eclamptic patients induces the expression of the anti-angiogenic miR-195-5p in endothelial cells","type":"article-journal","volume":"20"},"uris":["http://www.mendeley.com/documents/?uuid=3a82c7c3-5201-3a49-9746-95f96e689649"]}],"mendeley":{"formattedCitation":"(Sandrim et al., 2016a)","plainTextFormattedCitation":"(Sandrim et al., 2016a)","previouslyFormattedCitation":"(Sandrim et al., 2016a)"},"properties":{"noteIndex":0},"schema":"https://github.com/citation-style-language/schema/raw/master/csl-citation.json"}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(Sandrim et al., 2016a)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SYBR Green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{"citationItems":[{"id":"ITEM-1","itemData":{"DOI":"10.1111/1471-0528.13903","abstract":"Objective To validate and to compare the circulating microRNA (miR) expression profiles between pre-eclampsia and healthy pregnant women, to perform correlation analysis of the differently expressed miRs with clinical and biochemical parameters, and to verify the extracellular localisation of miRs in apoptotic bodies, microvesicles, and exosomes. Design A case-control study with a replication study. Setting Pregnant women attending maternity hospitals in Southeastern Brazil. Population Two obstetric white populations: a case-control study (19 pre-eclampsia and 14 healthy pregnant) and a replication study (eight pre-eclampsia and eight healthy pregnant). Methods PCR-array with 84 different miRs was performed in plasma from five pre-eclampsia and four healthy pregnant women. In the case-control study, differently expressed miRs were validated using quantitative real-time reverse transcription polymerase chain reaction (qRT-PCR), and correlated with clinical and biochemical parameters. The plasma was then fractioned to study the extracellular localisation of miRs. Main outcome measures Gene expression profiles of miRs. Results From PCR-array, three miRs (miR-376c-3p, miR-19a-3p, and miR-19b-3p) were found to be down-regulated and the miR-885-5p was found to be up-regulated in pre-eclampsia compared with healthy pregnant women. In the validation step, miR-885-5p was the only significantly different miR (fold-change = 5.0, P &lt; 0.05), which was confirmed in the replication study (fold-change = 4.5, P &lt; 0.05). Moreover, miR-885-5p was significantly correlated with the hepatic enzyme aspartate transaminase (r = 0.66; P = 0.0034) and it was mostly associated with the exosomes (32-fold higher than apoptotic bodies). Conclusions miR-885-5p is increased in plasma from pre-eclampsia compared with healthy pregnant women, and it is released into circulation mainly inside exosomes. Tweetable Abstract miR-885-5p is increased in pre-eclampsia and is released into circulation mainly inside exosomes.","author":[{"dropping-particle":"","family":"Sandrim","given":"V C","non-dropping-particle":"","parse-names":false,"suffix":""},{"dropping-particle":"","family":"Luizon","given":"M R","non-dropping-particle":"","parse-names":false,"suffix":""},{"dropping-particle":"","family":"Palei","given":"A C","non-dropping-particle":"","parse-names":false,"suffix":""},{"dropping-particle":"","family":"Tanus-Santos","given":"J E","non-dropping-particle":"","parse-names":false,"suffix":""},{"dropping-particle":"","family":"Cavalli","given":"R C","non-dropping-particle":"","parse-names":false,"suffix":""}],"container-title":"BJOG","id":"ITEM-1","issue":"13","issued":{"date-parts":[["2016"]]},"page":"2120-2128","title":"Circulating microRNA expression profiles in pre-eclampsia: evidence of increased miR-885-5p levels","type":"article-journal","volume":"123"},"uris":["http://www.mendeley.com/documents/?uuid=fd65c838-1dce-3d33-a7a2-83bcd9a8b566"]}],"mendeley":{"formattedCitation":"(Sandrim et al., 2016b)","plainTextFormattedCitation":"(Sandrim et al., 2016b)","previouslyFormattedCitation":"(Sandrim et al., 2016b)"},"properties":{"noteIndex":0},"schema":"https://github.com/citation-style-language/schema/raw/master/csl-citation.json"}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(Sandrim et al., 2016b)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qRT-PCR</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no</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miR-423</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eclampsia on chronic hypertension","type":"article-journal","volume":"14"},"uris":["http://www.mendeley.com/documents/?uuid=8c21521a-bf02-3</w:instrText>
            </w:r>
            <w:r w:rsidR="00460963">
              <w:rPr>
                <w:rFonts w:eastAsia="Times New Roman"/>
                <w:sz w:val="18"/>
                <w:szCs w:val="18"/>
              </w:rPr>
              <w:instrText>0cb-a1fe-63aaf730a203"]}],"mendeley":{"formattedCitation":"(Vashukova et al., 2016)","plainTextFormattedCitation":"(Vashukova et al., 2016)","previouslyFormattedCitation":"(Vashukova et al., 2016)"},"properties":{"noteIndex":0},"schema":"https://github.com/citation-style-language/schema/raw/master/csl-citation.json"}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(Vashukova et al., 2016)</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145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{"citationItems":[{"id":"ITEM-1","itemData":{"DOI":"10.1111/aji.12589","abstract":"Problem: To determine whether miR-203 mediates endothelial inflammatory response in preeclampsia. Method of study: Maternal vessel miR-203 expression was assessed by in situ hybridization. Suppressor of cytokine signaling-3 (SOCS-3) and ICAM expression was determined by immunostaining. Subcutaneous fat tissue sections from normal and preeclamptic pregnant women were used. miR-203-induced inflammatory response was evaluated by the measurements of IL-6, IL-8, ICAM, and VCAM expression and production and neutrophil adhesion in the endothelial cells (EC) transfected with miR-203 precursor, pre-miR-203. SOCS3 expression was also determined. Results: Up-regulation of miR-203 and ICAM expression and down-regulation of SOCS-3 expression were demonstrated in maternal vessel endothelium in preeclampsia. Overexpression of miR-203 resulted in down-regulation of SOCS-3 expression and increases in the production of IL-6, IL-8, ICAM, and VCAM and neutrophil adhesion in ECs. Conclusion: As miR-203 is an inflammatory microRNA, increased miR-203 production/expression in ECs could diminish an anti-inflammatory activity and increase the endothelial inflammatory response in preeclampsia.","author":[{"dropping-particle":"","family":"Wang","given":"Yuping","non-dropping-particle":"","parse-names":false,"suffix":""},{"dropping-particle":"","family":"Dong","given":"Qin","non-dropping-particle":"","parse-names":false,"suffix":""},{"dropping-particle":"","family":"Gu","given":"Yang","non-dropping-particle":"","parse-names":false,"suffix":""},{"dropping-particle":"","family":"Groome","given":"Lynn J.","non-dropping-particle":"","parse-names":false,"suffix":""}],"container-title":"American Journal of Reproductive Immunology","id":"ITEM-1","issue":"6","issued":{"date-parts":[["2016"]]},"page":"482-490","title":"Up-regulation of miR-203 expression induces endothelial inflammatory response: Potential role in preeclampsia","type":"article-journal","volume":"76"},"uris":["http://www.mendeley.com/documents/?uuid=b1069d6b-275e-3214-9789-f16db26aee89"]}],"mendeley":{"formattedCitation":"(Wang et al., 2016a)","plainTextFormattedCitation":"(Wang et al., 2016a)","previouslyFormattedCitation":"(Wang et al., 2016a)"},"properties":{"noteIndex":0},"schema":"https://github.com/citation-style-language/schema/raw/master/csl-citation.json"}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2016a)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in situ hybridization (ISH)</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Immunohistochemistry, Endothelial isolation and culture, Pre-miR-203 transfection, Protein expression, Endothelial IL-6, IL-8, and ICAM production, Myeloperoxidase assay for neutrophil-endothelial adhesion, Construction of SOCS-3/ZsGreen1 GFP vector, SOX3-gene transfer, Endothelial surface molecule ICAM and VCAM expression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{"citationItems":[{"id":"ITEM-1","itemData":{"DOI":"10.1038/jp.2015.192","abstract":"Objective: To identify the specific microRNA (miRNA) biomarkers of preeclampsia (PE), the miRNA profiles analysis were performed. Study Design: The blood samples were obtained from five PE patients and five normal healthy pregnant women. The small RNA profiles were analyzed to identify miRNA expression levels and find out miRNAs that may associate with PE. The quantitative reverse transcriptase-PCR (qRT-PCR) assay was used to validate differentially expressed peripheral leucocyte miRNAs in a new cohort. Result: The data analysis showed that 10 peripheral leucocyte miRNAs were significantly differently expressed in severe PE patients. Four differently expressed miRNAs were successfully validated using qRT-PCR method. Conclusion: We successfully constructed a model with high accuracy to predict PE. A combination of four peripheral leucocyte miRNAs has great potential to serve as diagnostic biomarkers of PE.","author":[{"dropping-particle":"","family":"Wang","given":"Yonghong","non-dropping-particle":"","parse-names":false,"suffix":""},{"dropping-particle":"","family":"Yang","given":"Xukui","non-dropping-particle":"","parse-names":false,"suffix":""},{"dropping-particle":"","family":"Yang","given":"Yuanyuan","non-dropping-particle":"","parse-names":false,"suffix":""},{"dropping-particle":"","family":"Wang","given":"Wenjun","non-dropping-particle":"","parse-names":false,"suffix":""},{"dropping-particle":"","family":"Zhao","given":"Meiling","non-dropping-particle":"","parse-names":false,"suffix":""},{"dropping-particle":"","family":"Liu","given":"Huiqiang","non-dropping-particle":"","parse-names":false,"suffix":""},{"dropping-particle":"","family":"Li","given":"Dongyan","non-dropping-particle":"","parse-names":false,"suffix":""},{"dropping-particle":"","family":"Hao","given":"Min","non-dropping-particle":"","parse-names":false,"suffix":""}],"container-title":"Journal of Perinatology","id":"ITEM-1","issue":"4","issued":{"date-parts":[["2016"]]},"page":"263-267","title":"High-throughput deep screening and identification of four peripheral leucocyte microRNAs as novel potential combination biomarkers for preeclampsia","type":"article-journal","volume":"36"},"uris":["http://www.mendeley.com/documents/?uuid=dfa47a2b-7e4f-3141-ae04-c71e1d745929"]}],"mendeley":{"formattedCitation":"(Wang et al., 2016b)","plainTextFormattedCitation":"(Wang et al., 2016b)","previouslyFormattedCitation":"(Wang et al., 2016b)"},"properties":{"noteIndex":0},"schema":"https://github.com/citation-style-language/schema/raw/master/csl-citation.json"}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2016b)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high-troughput miRNA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{"citationItems":[{"id":"ITEM-1","itemData":{"DOI":"10.1371/journal.pone.0166940","abstract":"Preeclampsia (PE) is one of the leading causes of maternal and perinatal mortality and morbidity. One of the main hallmarks observed in PE is impaired inflammation state. In the current study, we found that miR-125b was deregulated in placental tissues and plasma derived from PE patients, which suggest a potential association between this miRNA and the pathogenesis of PE. Overexpression of miR-125b significantly reduced SGPL1 expression, and luciferase assays confirmed that SGPL1 is a direct target of miR-125b. We also found that miR-125b enhanced IL-8 production by directly targeting sphingosine-1-phosphate lyase 1 (SGPL1), and this effect could be reversed by SGPL1 overexpression. In placentas derived from PE patients, a negative correlation of miR-125b and SGPL1 was observed, and IL-8 was validated to be increased in the circulation of PE patients. Our data demonstrated a critical role of miR-125b in IL-8 production and the development of PE.","author":[{"dropping-particle":"","family":"Yang","given":"Weiwei","non-dropping-particle":"","parse-names":false,"suffix":""},{"dropping-particle":"","family":"Wang","given":"Anning","non-dropping-particle":"","parse-names":false,"suffix":""},{"dropping-particle":"","family":"Zhao","given":"Chunling","non-dropping-particle":"","parse-names":false,"suffix":""},{"dropping-particle":"","family":"Li","given":"Qinghua","non-dropping-particle":"","parse-names":false,"suffix":""},{"dropping-particle":"","family":"Pan","given":"Zhifang","non-dropping-particle":"","parse-names":false,"suffix":""},{"dropping-particle":"","family":"Han","given":"Xuefu","non-dropping-particle":"","parse-names":false,"suffix":""},{"dropping-particle":"","family":"Zhang","given":"Cuijuan","non-dropping-particle":"","parse-names":false,"suffix":""},{"dropping-particle":"","family":"Wang","given":"Guohui","non-dropping-particle":"","parse-names":false,"suffix":""},{"dropping-particle":"","family":"Ji","given":"Chao","non-dropping-particle":"","parse-names":false,"suffix":""},{"dropping-particle":"","family":"Wang","given":"Guili","non-dropping-particle":"","parse-names":false,"suffix":""},{"dropping-particle":"","family":"Jia","given":"Guangtao","non-dropping-particle":"","parse-names":false,"suffix":""},{"dropping-particle":"","family":"Ju","given":"Jiyu","non-dropping-particle":"","parse-names":false,"suffix":""},{"dropping-particle":"","family":"Gao","given":"Wei","non-dropping-particle":"","parse-names":false,"suffix":""},{"dropping-particle":"","family":"Yu","given":"Wenjing","non-dropping-particle":"","parse-names":false,"suffix":""},{"dropping-particle":"","family":"Liu","given":"Xiaoying","non-dropping-particle":"","parse-names":false,"suffix":""},{"dropping-particle":"","family":"Chen","given":"Xi","non-dropping-particle":"","parse-names":false,"suffix":""},{"dropping-particle":"","family":"Feng","given":"Weiguo","non-dropping-particle":"","parse-names":false,"suffix":""},{"dropping-particle":"","family":"Gao","given":"Zhiqin","non-dropping-particle":"","parse-names":false,"suffix":""},{"dropping-particle":"","family":"Li","given":"Jie","non-dropping-particle":"","parse-names":false,"suffix":""},{"dropping-particle":"","family":"Ren","given":"Chune","non-dropping-particle":"","parse-names":false,"suffix":""}],"container-title":"PLoS ONE","id":"ITEM-1","issue":"12","issued":{"date-parts":[["2016"]]},"page":"e0166940","title":"MiR-125b enhances IL-8 production in early-onset severe preeclampsia by targeting sphingosine-1-phosphate lyase 1","type":"article-journal","volume":"11"},"uris":["http://www.mendeley.com/documents/?uuid=048d070a-aaca-3e36-a1ba-1cac93bd417e"]}],"mendeley":{"formattedCitation":"(Yang et al., 2016)","plainTextFormattedCitation":"(Yang et al., 2016)","previouslyFormattedCitation":"(Yang et al., 2016)"},"properties":{"noteIndex":0},"schema":"https://github.com/citation-style-language/schema/raw/master/csl-citation.json"}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et al., 2016)</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 Immunohistochemistry, ELISA, Luciferase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 and miR-39</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{"citationItems":[{"id":"ITEM-1","itemData":{"DOI":"10.1038/srep19910","abstract":"Preeclampsia (PE) is a leading cause of maternal mortality worldwide. Several studies have detected some differentially expressed microRNAs in the preeclamptic placenta, but few of the identified microRNAs demonstrated consistent findings among different research studies. In this study, high-throughput microRNA sequencing (HTS) of 9 preeclamptic and 9 normal placentas was performed. Seventeen microRNAs were identified to be up-regulated, and 8 down-regulated in preeclamptic placentas. Eight differentially expressed microRNAs except one identified in our study were determined to be consistent with at least one previous study, while sixteen were newly found. We performed qRT-PCR with independent 22 preeclamptic placentas and 20 control placentas to verify the differentially expressed microRNAs, and ten microRNAs were validated. The predicted target genes of the aberrantly expressed miR-193b-3p were enriched in the following gene ontology categories: cell motility and migration, cell proliferation and angiogenesis. We also found that miR-193b-3p significantly decreased the migration and invasion of trophoblast (HTR-8/SVneo) cells and that miR-193b-3p could regulate trophoblasts migration and invasion through binding onto the 3′UTR target site of TGF-β2. In conclusion, we identified a list of differentially expressed microRNAs in PE placentas by HTS and provided preliminary evidence for the role of miR-193b-3p in the pathogenesis of preeclampsia.","author":[{"dropping-particle":"","family":"Zhou","given":"Xinyao","non-dropping-particle":"","parse-names":false,"suffix":""},{"dropping-particle":"","family":"Li","given":"Qiaoli","non-dropping-particle":"","parse-names":false,"suffix":""},{"dropping-particle":"","family":"Xu","given":"Jiawei","non-dropping-particle":"","parse-names":false,"suffix":""},{"dropping-particle":"","family":"Zhang","given":"Xiaojing","non-dropping-particle":"","parse-names":false,"suffix":""},{"dropping-particle":"","family":"Zhang","given":"Huijuan","non-dropping-particle":"","parse-names":false,"suffix":""},{"dropping-particle":"","family":"Xiang","given":"Yuqian","non-dropping-particle":"","parse-names":false,"suffix":""},{"dropping-particle":"","family":"Fang","given":"Chuantao","non-dropping-particle":"","parse-names":false,"suffix":""},{"dropping-particle":"","family":"Wang","given":"Teng","non-dropping-particle":"","parse-names":false,"suffix":""},{"dropping-particle":"","family":"Xia","given":"Shihui","non-dropping-particle":"","parse-names":false,"suffix":""},{"dropping-particle":"","family":"Zhang","given":"Qiang","non-dropping-particle":"","parse-names":false,"suffix":""},{"dropping-particle":"","family":"Xing","given":"Qinghe","non-dropping-particle":"","parse-names":false,"suffix":""},{"dropping-particle":"","family":"He","given":"Lin","non-dropping-particle":"","parse-names":false,"suffix":""},{"dropping-particle":"","family":"Wang","given":"Lei","non-dropping-particle":"","parse-names":false,"suffix":""},{"dropping-particle":"","family":"Xu","given":"Mingqing","non-dropping-particle":"","parse-names":false,"suffix":""},{"dropping-particle":"","family":"Zhao","given":"Xinzhi","non-dropping-particle":"","parse-names":false,"suffix":""}],"container-title":"Scientific Reports","id":"ITEM-1","issued":{"date-parts":[["2016"]]},"page":"19910","title":"The aberrantly expressed miR-193b-3p contributes to preeclampsia through regulating transforming growth factor-β signaling","type":"article-journal","volume":"6"},"uris":["http://www.mendeley.com/documents/?uuid=6e0d5290-9dbb-3d5b-aa7c-4f38711f799d"]}],"mendeley":{"formattedCitation":"(Zhou et al., 2016)","plainTextFormattedCitation":"(Zhou et al., 2016)","previouslyFormattedCitation":"(Zhou et al., 2016)"},"properties":{"noteIndex":0},"schema":"https://github.com/citation-style-language/schema/raw/master/csl-citation.json"}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(Zhou et al., 2016)</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High-troughput miRNA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Migration and invasion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not clear</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460963">
              <w:rPr>
                <w:rFonts w:eastAsia="Times New Roman"/>
                <w:sz w:val="18"/>
                <w:szCs w:val="18"/>
              </w:rPr>
              <w:instrText>ADDIN CSL_CITATION {"citationItems":[{"id":"ITEM-1","itemData":{"DOI":"10.1016/j.gene.2016.10.014","abstract":"Background The precise origin of Pre-eclampsia (PE) remains elusive. Multiple pieces of evidence support the existence of hypoxia in PE. MiRNA-210 (miR-210), which is induced by Hypoxia-Inducible Factor-1α (HIF-1α) during hypoxia, is one of the most hypoxia sensitive miRNAs. MiR-210 mediates these functions by regulating a lot of target mRNAs. Protein tyrosine phosphatase, non-receptor type 2 (PTPN2) was one of miR-210 targets and was found to be down regulated by hypoxia. Objective To assess the levels of relative expression of miR-210 and its target PTPN2 in Egyptian women with PE. This is in order to clarify their possible role in the progression of PE and their relation to each other and to different clinicopathological factors. Study design Group1 included 35 normal primigravida and group 2 included 35 primigravida patients with PE. PE group was subdivided into—mild and severe (PE). Total RNA was extracted from placental tissue samples and Real-Time PCR was performed on the extracted RNA. Results There was a highly significant difference between the studied groups as regards fold change of placental miR-210 and PTPN2 (P &lt; 0.01). There was a highly significant negative correlation between miR-210 and PTPN2 RQ among the studied groups and among the preeclampsia group (P &lt; 0.01). Conclusion The results of this study demonstrated that placental expression of miR-210 was up regulated in pregnancies complicated with PE in comparison to normal pregnancies. This increase in miR-210 resulted in down regulation of its target PTPN2 mRNA and this can have a direct role in the pathogenesis of the PE disease. Additionally, both miR-210 &amp; PTPN2 relative expression could differentiate between mild &amp; severe PE.","author":[{"dropping-particle":"","family":"Adel","given":"Sherihan","non-dropping-particle":"","parse-names":false,"suffix":""},{"dropping-particle":"","family":"Mansour","given":"Amal","non-dropping-particle":"","parse-names":false,"suffix":""},{"dropping-particle":"","family":"Louka","given":"Manal","non-dropping-particle":"","parse-names":false,"suffix":""},{"dropping-particle":"","family":"Matboli","given":"M.","non-dropping-particle":"","parse-names":false,"suffix":""},{"dropping-particle":"","family":"Elmekkawi","given":"S. F.","non-dropping-particle":"","parse-names":false,"suffix":""},{"dropping-particle":"","family":"Swelam","given":"Nahed","non-dropping-particle":"","parse-names":false,"suffix":""}],"container-title":"Gene","id":"ITEM-1","issued":{"date-parts":[["2017"]]},"page":"105-109","title":"Evaluation of MicroRNA-210 and Protein tyrosine phosphatase, non-receptor type 2 in Pre-eclampsia","type":"article-journal","volume":"596"},"uris":["http://www.mendeley.com/documents/?uuid=b4f4e7ad-ddbe-3e69-9f30-1864e7511656"]}],"mendeley":{"formattedCitation":"(Adel et al., 2017)","plainTextFormattedCitation":"(Adel et al., 2017)","previouslyFormattedCitation":"(Adel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(Adel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{"citationItems":[{"id":"ITEM-1","itemData":{"abstract":"It has been well documented that preeclampsia (PE) has a common etiological background, but little is known about its linkage at the molecular level.Non-coding RNAs are critical posttranscriptional regulators ofgene expression. This study was performed to determine whether PE is associated with alterations in placental non-coding RNAs expression. MicroRNA (miR)-155-5p and long non-coding RNA (lnc)sONE expression, in placentas collected sequentially from 59 patients with PE and 40 normotensive pregnancies were measured using real-time PCR.The relationship between miR-155-5p and lncsONE expressions was analyzed statistically. miR-155-5p expression was increased (fold change =1.6, P=0.04), while lncsONE expression was not significantly changed (fold change =1.1, P=0.68), in placentas from patients compared with control group.miR-155-5p was upregulated in placentas from patients with PE and may have influenced eNOS expression. These findings indicate that miRNA-155-5p may be involved in PE pathogenesis and could be a potential biomarker for this disease. espite remarkable progress in the prenatalogy science, pre-eclampsia (PE), a syndrome affecting 5-7% of pregnancy disorders, still remains as the most prevalent cause of maternal and fetal morbidity and mortality (1). According to the WHO definition, PE is a pregnancy-related syndrome characterized by hypertension (greater than or equal to 140/ 90) and proteinuria (greater than or equal to 300 mg in a 24 h urine specimen) following 20 weeks of gestation (2). Based on the elusive pathophysiology, PE has traditionally been called the disease of theories (3, 4). Although, the association between the pathology of PE and different factors, such as genetic pathways polymorphisms and expression like Renin-angiotensin, angiogenesis, coagulation factors D","author":[{"dropping-particle":"","family":"Azizi","given":"Faezeh","non-dropping-particle":"","parse-names":false,"suffix":""},{"dropping-particle":"","family":"Saleh Gargari","given":"Soraya","non-dropping-particle":"","parse-names":false,"suffix":""},{"dropping-particle":"","family":"Shahmirzadi","given":"Sedigheh Asadi","non-dropping-particle":"","parse-names":false,"suffix":""},{"dropping-particle":"","family":"Dodange","given":"Fatemeh","non-dropping-particle":"","parse-names":false,"suffix":""},{"dropping-particle":"","family":"Amiri","given":"Vahid","non-dropping-particle":"","parse-names":false,"suffix":""},{"dropping-particle":"","family":"Mirfakhraie","given":"Reza","non-dropping-particle":"","parse-names":false,"suffix":""},{"dropping-particle":"","family":"Davood","given":"Mir","non-dropping-particle":"","parse-names":false,"suffix":""},{"dropping-particle":"","family":"1</w:instrText>
            </w:r>
            <w:r w:rsidR="00460963">
              <w:rPr>
                <w:rFonts w:eastAsia="Times New Roman" w:cs="Times New Roman"/>
                <w:sz w:val="18"/>
                <w:szCs w:val="18"/>
              </w:rPr>
              <w:instrText>","given":"Omrani","non-dropping-particle":"","parse-names":f</w:instrText>
            </w:r>
            <w:r w:rsidR="00460963">
              <w:rPr>
                <w:rFonts w:eastAsia="Times New Roman"/>
                <w:sz w:val="18"/>
                <w:szCs w:val="18"/>
              </w:rPr>
              <w:instrText>alse,"suffix":""}],"container-title":"Int J Mol Cell Med","id":"ITEM-1","issue":"1","issued":{"date-parts":[["2017"]]},"page":"22-30","title":"Evaluation of Placental mir-155-5p and Long Non-coding RNA sONE Expression in Patients with Severe Pre-eclampsia","type":"article-journal","volume":"6"},"uris":["http://www.mendeley.com/documents/?uuid=870e7881-542b-3982-946d-46b423dce018"]}],"mendeley":{"formattedCitation":"(Azizi et al., 2017)","plainTextFormattedCitation":"(Azizi et al., 2017)","previouslyFormattedCitation":"(Azizi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(Azizi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{"citationItems":[{"id":"ITEM-1","itemData":{"DOI":"10.1016/j.biocel.2017.04.005","abstract":"Preeclampsia (PE) is a major contributor to maternal morbidity and mortality. However, the molecular mechanisms underlying PE progression are not well characterized. Here, we investigated the role of miR-218 in PE development. The expression of miR-218 and its host genes SLIT2 and SLIT3 was up-regulated in preeclamptic placentae compared to normal placentae. miR-218 expression was induced by hypoxia and decreased after knockdown of HIF-1α in an extravillous trophoblast cell line (HTR-8/SVneo). Chromatin immunoprecipitation assays showed direct binding of HIF-1α to the promoters of SLIT2 and SLIT3. Bioinformatics analysis identified LASP1 as a direct target of miR-218. Overexpression of miR-218 repressed the expression of LASP1 at both the mRNA and protein level. Meanwhile, miR-218 repressed the activity of a luciferase reporter containing the 3′-untranslated region of the LASP1 gene. Furthermore, expression of LASP1 rescued the inhibitory effect of miR-218 on HTR-8/SVneo cell invasion. Together, these results indicated that miR-218 contributes to PE by targeting LASP1 to inhibit trophoblast invasion.","author":[{"dropping-particle":"","family":"Fang","given":"Min","non-dropping-particle":"","parse-names":false,"suffix":""},{"dropping-particle":"","family":"Du","given":"Hechun","non-dropping-particle":"","parse-names":false,"suffix":""},{"dropping-particle":"","family":"Han","given":"Bing","non-dropping-particle":"","parse-names":false,"suffix":""},{"dropping-particle":"","family":"Xia","given":"Guiyu","non-dropping-particle":"","parse-names":false,"suffix":""},{"dropping-particle":"","family":"Shi","given":"Xiaoliang","non-dropping-particle":"","parse-names":false,"suffix":""},{"dropping-particle":"","family":"Zhang","given":"Feng","non-dropping-particle":"","parse-names":false,"suffix":""},{"dropping-particle":"","family":"Fu","given":"Qiqin","non-dropping-particle":"","parse-names":false,"suffix":""},{"dropping-particle":"","family":"Zhang","given":"Tao","non-dropping-particle":"","parse-names":false,"suffix":""}],"container-title":"International Journal of Biochemistry and Cell Biology","id":"ITEM-1","issued":{"date-parts":[["2017"]]},"page":"95-103","title":"Hypoxia-inducible microRNA-218 inhibits trophoblast invasion by targeting LASP1: Implications for preeclampsia development","type":"article-journal","volume":"87"},"uris":["http://www.mendeley.com/documents/?uuid=f1bfe5d6-d2cf-33ac-af23-fd87a33314ae"]}],"mendeley":{"formattedCitation":"(Fang et al., 2017)","plainTextFormattedCitation":"(Fang et al., 2017)","previouslyFormattedCitation":"(Fang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(Fang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Transfection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{"citationItems":[{"id":"ITEM-1","itemData":{"DOI":"10.1097/MD.0000000000007515","abstract":"Pre-eclampsia (PE) is one of the leading causes of maternal and neonatal morbidity and mortality. In recent years, many studies have shown that microRNAs (miRNA) play important roles in the development of PE. However, the molecular pathogenesis of PE remains unknown. In the present study, we performed a case-control study to verify the differential expression of 4 candidate miRNAs (miR-210, miR-155, miR-125b-5p, and miR-125a-5p) in 20 PE pregnancies and 20 healthy pregnancies. The real-time quantitative reverse transcriptase-polymerase chain reaction has been utilized to estimate the C t values in both groups. Our results have shown that miR-210 and miR-155 were upregulated in serum of PE pregnancies, which suggest a potential association between these 2 miRNAs and the pathogenesis of PE. Further studies showed that the area under the receiver operating characteristic curve (AUC) of miR-210 and miR-155 were 0.750 and 0.703, respectively. The AUC of the expression ratio of miR-210 (serum/urine) and miR-155 (serum/urine) were 0.761 and 0.718, respectively. Moreover, 24-hour urine proteins have positive correlation with urine miR-210 and miR-155. Our findings indicated that serum miR-210 and miR-155 could be 2 sensitivity and specificity biomarkers for the diagnosis of PE while urine miR-210 and miR-155 both could be used to evaluate the severity of kidney injury. Using these miRNAs may provide a novel diagnosis method for identifying pregnant women who are at risk for developing PE.","author":[{"dropping-particle":"","family":"Gan","given":"Lu","non-dropping-particle":"","parse-names":false,"suffix":""},{"dropping-particle":"","family":"Liu","given":"Zheng","non-dropping-particle":"","parse-names":false,"suffix":""},{"dropping-particle":"","family":"Wei","given":"Ming","non-dropping-particle":"","parse-names":false,"suffix":""},{"dropping-particle":"","family":"Chen","given":"Yulong","non-dropping-particle":"","parse-names":false,"suffix":""},{"dropping-particle":"","family":"Yang","given":"Xiaomei","non-dropping-particle":"","parse-names":false,"suffix":""},{"dropping-particle":"","family":"Chen","given":"Lihong","non-dropping-particle":"","parse-names":false,"suffix":""},{"dropping-particle":"","family":"Xiao","given":"Xiaomin","non-dropping-particle":"","parse-names":false,"suffix":""}],"container-title":"Medicine (United States)","id":"ITEM-1","issue":"28","issued":{"date-parts":[["2017"]]},"page":"e7515","title":"MIR-210 and miR-155 as potential diagnostic markers for pre-eclampsia pregnancies","type":"article-journal","volume":"96"},"uris":["http://www.mendeley.com/documents/?uuid=0d24b97b-fb39-36a2-8846-33f38c52d419"]}],"mendeley":{"formattedCitation":"(Gan et al., 2017)","plainTextFormattedCitation":"(Gan et al., 2017)","previouslyFormattedCitation":"(Gan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(Gan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SYBR Green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{"citationItems":[{"id":"ITEM-1","itemData":{"abstract":"The differentially expressed microRNAs (miRs) in pregnancy-related complications have not been completely clarified.","author":[{"dropping-particle":"","family":"Gao","given":"Shan","non-dropping-particle":"","parse-names":false,"suffix":""},{"dropping-particle":"","family":"Wang","given":"Yuping","non-dropping-particle":"","parse-names":false,"suffix":""},{"dropping-particle":"","family":"Han","given":"Suhui","non-dropping-particle":"","parse-names":false,"suffix":""},{"dropping-particle":"","family":"Zhang","given":"Qingxia","non-dropping-particle":"","parse-names":false,"suffix":""}],"container-title":"Int J Clin Exp Pathol","id":"ITEM-1","issue":"4","issued":{"date-parts":[["2017"]]},"page":"4232-4242","title":"Up-regulated microRNA-300 in maternal whole peripheral blood and placenta associated with pregnancy-induced hypertension and preeclampsia","type":"article-journal","volume":"10"},"uris":["http://www.mendeley.com/documents/?uuid=274e2cb0-6240-37a2-85a4-74c8b8c3b7b4"]}],"mendeley":{"formattedCitation":"(Gao et al., 2017)","plainTextFormattedCitation":"(Gao et al., 2017)","previouslyFormattedCitation":"(Gao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(Gao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Luciferase reporter gene activity assay, Transfection of miR-300 mimics and inhibitor,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{"citationItems":[{"id":"ITEM-1","itemData":{"DOI":"10.1016/j.placenta.2017.02.019","abstract":"Preeclampsia (PE) is one of the leading causes of maternal and fetal morbidity and mortality, occurring usually in the second half of pregnancy and affecting approximately 5–8% of pregnancies in the world. miRNAs play critical role in the regulation of placental development processes. We aimed to determine specific novel miRNAs for early diagnosis of preeclampsia which is one of the most dangerous pregnancy diseases. In this study 72 samples, maternal age 22 ≤ and ≤36, have been analyzed; maternal plasma and placental miRNAs were isolated from 18 severe preeclampsia (sPE) patients and 18 controls, respectively. Profiling of human miRNAs (1368 probe) was performed in samples with Agilent v16 microarrays for detection of the differences in miRNA expression between two groups. The results were validated by using TaqMan RT-qPCR method. The analysis indicated that 406 of these miRNAs in all placentas and 42 of these miRNAs in all maternal plasma were expressed. The relative expression analysis has shown that 12 miRNAs (p &lt; 0.05 and &gt;2-fold) in maternal plasma were differentially expressed in PE and control group. However, five miRNAs were validated by qRT-PCR. Once validated miRNAs have been searched in databases for their target genes and function, it has been shown that there are some preeclampsia related pathways as a target such as angiogenesis, cardiovascular, hypertension, placental abruption and preeclampsia disorders. Differentially expressed and validated plasma miRNAs might be used as notable biomarkers for non-invasive early diagnosis of preeclampsia and treatment of disease.","author":[{"dropping-particle":"","family":"Gunel","given":"Tuba","non-dropping-particle":"","parse-names":false,"suffix":""},{"dropping-particle":"","family":"Hosseini","given":"Mohammad Kazem","non-dropping-particle":"","parse-names":false,"suffix":""},{"dropping-particle":"","family":"Gumusoglu","given":"Ece","non-dropping-particle":"","parse-names":false,"suffix":""},{"dropping-particle":"","family":"Kisakesen","given":"Halil Ibrahim","non-dropping-particle":"","parse-names":false,"suffix":""},{"dropping-particle":"","family":"Benian","given":"Ali","non-dropping-particle":"","parse-names":false,"suffix":""},{"dropping-particle":"","family":"Aydinli","given":"Kilic","non-dropping-particle":"","parse-names":false,"suffix":""}],"container-title":"Placenta","id":"ITEM-1","issued":{"date-parts":[["2017"]]},"page":"77-85","title":"Expression profiling of maternal plasma and placenta microRNAs in preeclamptic pregnancies by microarray technology","type":"article-journal","volume":"52"},"uris":["http://www.mendeley.com/documents/?uuid=52729b35-0153-3583-93c6-4d2daeb2fbdd"]}],"mendeley":{"formattedCitation":"(Gunel et al., 2017)","plainTextFormattedCitation":"(Gunel et al., 2017)","previouslyFormattedCitation":"(Gunel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(Gunel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(stem-loop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{"citationItems":[{"id":"ITEM-1","itemData":{"DOI":"10.1038/jhh.2017.65","abstract":"Preeclampsia (PE) is one of the most common pregnancy-specific pathologic complications, and is characterised by onset of hypertension and proteinuria. Placental trophoblast cell apoptosis is generally accepted as a major cause of PE. However, the details of the mechanism underlying the condition remain unclear. Here, we aimed to investigate a possible association between microRNA (miR)-34a and human trophoblast cell apoptosis during PE. We evaluated miR-34a expression in placentas from patients with PE compared with those from healthy pregnant individuals. Furthermore, we measured apoptosis rate after miR-34a mimic and/or inhibitor transfection in vitro, and identified B-cell CLL/lymphoma 2 (BCL-2) as a target of miR-34a. We found that miR-34a levels were significantly higher in placental tissues from patients with PE than in normal placentas. Upregulation of miR-34a induced trophoblast cell apoptosis in PE by inhibiting expression of BCL-2 protein. miR-34a inhibition reversed miR-34a-induced apoptosis in the HTR-8/SVneo human trophoblast cell line. Our findings indicate that miR-34a may be linked to the occurrence of PE via effects on BCL-2 in the human placenta, and may therefore provide a potential therapeutic target for PE.","author":[{"dropping-particle":"","family":"Guo","given":"M.","non-dropping-particle":"","parse-names":false,"suffix":""},{"dropping-particle":"","family":"Zhao","given":"X.","non-dropping-particle":"","parse-names":false,"suffix":""},{"dropping-particle":"","family":"Yuan","given":"X.","non-dropping-particle":"","parse-names":false,"suffix":""},{"dropping-particle":"","family":"Li","given":"P.","non-dropping-particle":"","parse-names":false,"suffix":""}],"container-title":"Journal of Human Hypertension","id":"ITEM-1","issue":"12","issued":{"date-parts":[["2017"]]},"page":"815-820","title":"Elevated microRNA-34a contributes to trophoblast cell apoptosis in preeclampsia by targeting BCL-2","type":"article-journal","volume":"31"},"uris":["http://www.mendeley.com/documents/?uuid=27d66b6c-acf9-3bdb-8800-80a8b93fb9d8"]}],"mendeley":{"formattedCitation":"(Guo et al., 2017)","plainTextFormattedCitation":"(Guo et al., 2017)","previouslyFormattedCitation":"(Guo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(Guo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HE staining and immunohistochemistry, Cell viability measurements, Apoptosis assay, Luciferase activity assay, Western blotting, Transfection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{"citationItems":[{"id":"ITEM-1","itemData":{"DOI":"10.4149/BLL_2017_101","abstract":"AIM: The aim of this study was to explain the effects of miRNA-145 in the pathogenesis of preeclampsia. METHODS: Collecting the placental tissue of 40 severe preeclampsia patients and 20 normal pregnant women, and observation of the pathological findings by HE staining. Measuring the miR-145 by RT-PCR. EVCT were divided into NC group; MC group and miRNA group. The EVCT cells of MC and miRNA groups were simulated by hypoxia in vivo by CoCl2. Measuring the proliferation rate of different groups by MTT testing. The cells apoptosis rates were measured by flow cytometry; evaluating PI3K, Akt, mTOR and P53 gene and protein expression of three groups by RT-PCR and WB. RESULTS: Compared to the normal pregnant placental tissue. The miR-145 expression of preeclampsia pregnant placental tissue was significantly decreased (p &lt; 0.05). In the cell experiments, the proliferation rate was significantly increased, and the cell apoptosis rate was significantly reduced in MC group compared to the MC group (p &lt; 0.05, respectively). Comparing with MC group, the PI3K, Akt and mTOR gene and protein expression of miRNA group were significantly up-regulated and the P53 expression was significantly down-regulated (p &lt; 0.05, respectively). CONCLUSION: miR-145 might have effects to predict preeclampsia via PI3K/Akt/mTOR signalling pathways.","author":[{"dropping-particle":"","family":"Han","given":"L.","non-dropping-particle":"","parse-names":false,"suffix":""},{"dropping-particle":"","family":"Zhao","given":"Y.","non-dropping-particle":"","parse-names":false,"suffix":""},{"dropping-particle":"","family":"Luo","given":"Q. Q.","non-dropping-particle":"","parse-names":false,"suffix":""},{"dropping-particle":"","family":"Liu","given":"X. X.","non-dropping-particle":"","parse-names":false,"suffix":""},{"dropping-particle":"","family":"Lu","given":"S. S.","non-dropping-particle":"","parse-names":false,"suffix":""},{"dropping-particle":"","family":"Zou","given":"L.","non-dropping-particle":"","parse-names":false,"suffix":""}],"container-title":"Bratislava Medical Journal","id":"ITEM-1","issue":"9","issued":{"date-parts":[["2017"]]},"page":"523-528","title":"The significance of miR-145 in the prediction of preeclampsia","type":"article-journal","volume":"118"},"uris":["http://www.mendeley.com/documents/?uuid=1e8c5dd5-de1c-35ab-9a80-f220eeffd042"]}],"mendeley":{"formattedCitation":"(Han et al., 2017)","plainTextFormattedCitation":"(Han et al., 2017)","previouslyFormattedCitation":"(Han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(Han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SYBR Green 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MTT Detection, Cell apoptosis testing,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GAPDH</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RNU44 and U75</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{"citationItems":[{"id":"ITEM-1","itemData":{"DOI":"10.1016/j.placenta.2017.02.012","abstract":"Increased production of soluble fms-like tyrosine kinase-1 (sFlt-1) from placenta is one of the major contributors to the development of preeclampsia. Our previous study has shown that hydrogen sulfide (H2S) inhibits sFlt-1 release in placenta. In the present study, we sought to investigate whether endogenous H2S affects sFlt-1 production and elucidate which H2S-producing enzyme is responsible for its effect in placenta. It was found that, besides cystathionine β-synthase (CBS) and cystathionine γ-lyase (CSE), 3-mercaptopyruvatesulfurtransferase (3-MST) was identified in human placenta and mainly localized in syncytiotrophoblasts. There was no significant difference in expression level of 3-MST among preeclamptic and normal placentas. Treatment of cultured syncytiotrophoblasts with NaHS and L-cysteine suppressed sFlt-1 mRNA expression and caused a decrease in sFlt-1 protein content in culture media of the cells. Transfection of syncytiotrophoblasts with CBS siRNA and CSE siRNA reversed the above effects of L-cysteine. Furthermore, NaHS and L-cysteine treatment decreased the half-life of sFlt-1 mRNA and increased the expression of miR-133b targeting sFlt-1. MiR-133b expression was downregulated in preeclamptic placentas and correlated with the level of CBS and CSE. These results indicate that H2S is an important regulatory factor in sFlt-1 production in placenta. Reduced H2S generation in placenta contributes to development of preeclampsia by enhancing sFlt-1 production.","author":[{"dropping-particle":"","family":"Hu","given":"Tian Xiao","non-dropping-particle":"","parse-names":false,"suffix":""},{"dropping-particle":"","family":"Guo","given":"Xuejing","non-dropping-particle":"","parse-names":false,"suffix":""},{"dropping-particle":"","family":"Wang","given":"Gang","non-dropping-particle":"","parse-names":false,"suffix":""},{"dropping-particle":"","family":"Gao","given":"Lu","non-dropping-particle":"","parse-names":false,"suffix":""},{"dropping-particle":"","family":"He","given":"Ping","non-dropping-particle":"","parse-names":false,"suffix":""},{"dropping-particle":"","family":"Xia","given":"Yang","non-dropping-particle":"","parse-names":false,"suffix":""},{"dropping-particle":"","family":"Gu","given":"Hang","non-dropping-particle":"","parse-names":false,"suffix":""},{"dropping-particle":"","family":"Ni","given":"Xin","non-dropping-particle":"","parse-names":false,"suffix":""}],"container-title":"Placenta","id":"ITEM-1","issued":{"date-parts":[["2017"]]},"page":"33-40","title":"MiR133b is involved in endogenous hydrogen sulfide suppression of sFlt-1 production in human placenta","type":"article-journal","volume":"52"},"uris":["http://www.mendeley.com/documents/?uuid=3731f309-381a-315a-9b3c-0f5a37ef3e8f"]}],"mendeley":{"formattedCitation":"(Hu et al., 2017)","plainTextFormattedCitation":"(Hu et al., 2017)","previouslyFormattedCitation":"(Hu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(Hu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Immunohistochemistry, Western Blotting, Real-time H2S production measurement, RNA interferences, Assessment of sFlt-1 mRNA stability, Verification of the targets of miRs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{"citationItems":[{"id":"ITEM-1","itemData":{"DOI":"10.1080/10641963.2016.1210619","abstract":"Objective: To investigate the possible relationship between miR-942 levels and the pathogenesis of preeclampsia using in vitro assays and to investigate circulating miR-942 levels in the early phase of mid-of pregnancy in women who later developed preeclampsia and in women with uncomplicated pregnancies. Methods: Plasma samples were collected from pregnant women between 12 and 20 weeks of gestation. MiR-942 levels were determined by stem-loop real-time PCR for 26 cases who subsequently developed preeclampsia as well as for 52 controls. Bioinformatics software was used to predict the target genes of miR-942, and a dual-luciferase reporter system was utilized to validate target gene regulation. Finally, MTT proliferation assays, transwell invasion assays, and endothelial cell tube formation assays were performed to further explore the function of miR-942 using a human extravillous trophoblast cell line (TEV-1). Result: Circulating miR-942 levels were significantly lower in mid-pregnancy (12–20 weeks gestation) in women who later developed preeclampsia compared with those with an uncomplicated pregnancy (p &lt; 0.05). Endoglin (ENG) is an miR-942 target gene. MiR-942 had a sensitivity of 0.673, a specificity of 0.875, and an area under the receiver operating characteristic curve (AUC) of 0.718 [95% CI, 0.594–0.822] for the possible screening of preeclampsia. In vitro, decreased miR-942 expression decreased the invasive ability of TEV-1 cells, and inhibited the HUVEC angiogenesis assay, both effects that are similar to what is observed in preeclampsia (both p &lt;0.05). Conclusion: MiR-942 may be involved in the pathogenesis of preeclampsia via the regulation of its target gene ENG. Multicenter studies must be performed and a greater number of samples must be analyzed to ascertain whether circulating miR-942 levels can serve as a novel early diagnostic marker for preeclampsia.","author":[{"dropping-particle":"","family":"Zhang","given":"Yonggang","non-dropping-particle":"","parse-names":false,"suffix":""},{"dropping-particle":"","family":"Huang","given":"Guoqing","non-dropping-particle":"","parse-names":false,"suffix":""},{"dropping-particle":"","family":"Zhang","given":"Yipeng","non-dropping-particle":"","parse-names":false,"suffix":""},{"dropping-particle":"","family":"Yang","given":"Hongling","non-dropping-particle":"","parse-names":false,"suffix":""},{"dropping-particle":"","family":"Long","given":"Yan","non-dropping-particle":"","parse-names":false,"suffix":""},{"dropping-particle":"","family":"Liang","given":"Qihua","non-dropping-particle":"","parse-names":false,"suffix":""},{"dropping-particle":"","family":"Zheng","given":"Zaoxiong","non-dropping-particle":"","parse-names":false,"suffix":""}],"container-title":"Clinical and Experimental Hypertension","id":"ITEM-1","issue":"2","issued":{"date-parts":[["2017"]]},"page":"108-113","title":"MiR-942 decreased before 20 weeks gestation in women with preeclampsia and was associated with the pathophysiology of preeclampsia in vitro","type":"article-journal","volume":"39"},"uris":["http://www.mendeley.com/documents/?uuid=62b2a38e-1788-37fb-862c-66a33b744b56"]}],"mendeley":{"formattedCitation":"(Zhang et al., 2017)","plainTextFormattedCitation":"(Zhang et al., 2017)","previouslyFormattedCitation":"(Zhang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(Zhang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Stem-loop real-time</w:t>
            </w:r>
            <w:r w:rsidRPr="000710F5">
              <w:rPr>
                <w:rFonts w:eastAsia="Times New Roman"/>
                <w:sz w:val="18"/>
                <w:szCs w:val="18"/>
              </w:rPr>
              <w:br/>
              <w:t>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Target prediction software, Dual-luciferase assays, Proliferation assay, Transwell invasion assay, In vitro angiogenesis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{"citationItems":[{"id":"ITEM-1","itemData":{"DOI":"10.1016/j.gene.2017.07.010","abstract":"Preeclampsia (PE) is a pregnancy syndrome characterized by hypertension and proteinuria, and a leading cause of maternal and fetal morbidity and mortality, with poorly defined pathophysiological mechanisms remain. Circulating microRNAs (miRNAs) are small, noncoding RNA molecules, which negatively regulate gene expression, and considered as promising biomarkers for PE. The objective of the study was to evaluate circulating miRNA signatures in women with PE compared to healthy women, and in women sub-grouped per PE severity. This study assessed miRNA expression profile in the plasma of 15 women with PE (7 mild and 8 severe) compared to 7 women with uncomplicated pregnancies. Circulating miRNA was extracted from maternal plasma, and the differential expression of 84 miRNA species were determined using customized pathway-focused miRNA profiler kits. A set of 7 miRNAs that were differentially expressed in PE patients and in mild vs. severe PE cases subgroups. These included miR-215, miR-155, miR-650, miR-210, miR-21 which were upregulated, and miR-18a, miR-19b1 were downregulated in women with PE compared to control women, and between women with severe PE compared to mild PE. In addition, four novel miRNAs comprising miR-518b and miR-29a which were upregulated, and miR-144, miR-15b which were downregulated in severe PE compared to mild PE. This study for the first time presents the differential expression profile of circulating miRNAs according to the severity of the disease. The results confirm the contribution of miRNA to PE pathogenesis, as well as being predictors of the severity of PE.","author":[{"dropping-particle":"","family":"Jairajpuri","given":"Deeba S.","non-dropping-particle":"","parse-names":false,"suffix":""},{"dropping-particle":"","family":"Malalla","given":"Zainab H.","non-dropping-particle":"","parse-names":false,"suffix":""},{"dropping-particle":"","family":"Mahmood","given":"Naeema","non-dropping-particle":"","parse-names":false,"suffix":""},{"dropping-particle":"","family":"Almawi","given":"Wassim Y.","non-dropping-particle":"","parse-names":false,"suffix":""}],"container-title":"Gene","id":"ITEM-1","issued":{"date-parts":[["2017"]]},"page":"543-548","title":"Circulating microRNA expression as predictor of preeclampsia and its severity","type":"article-journal","volume":"627"},"uris":["http://www.mendeley.com/documents/?uuid=1a207488-f91c-36be-8a2b-78b20c2e5253"]}],"mendeley":{"formattedCitation":"(Jairajpuri et al., 2017)","plainTextFormattedCitation":"(Jairajpuri et al., 2017)","previouslyFormattedCitation":"(Jairajpuri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(Jairajpuri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 analysis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(SYBR Green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{"citationItems":[{"id":"ITEM-1","itemData":{"DOI":"10.1016/j.placenta.2017.02.001","abstract":"Introduction Pre-eclampsia (PE) is a common and severe obstetric complication. MicroRNAs (miRs) have emerged as molecules that are associated with the disease. Methods Quantitative reverse transcription PCR (RT-qPCR) was used for serum miR-520g characterization from 19 severe pre-eclamptic and 19 normal pregnancies. In situ hybridation was adopted to localize microRNA-520g (miR-520g). Migration and invasion of HTR-8/SVneo cells were evaluated after miR-520g mimic treatment with transwell system. MiR-520g target gene was verified in luciferase reporter system. Results The expression of serum miR-520g displayed an upward trend as pregnancies progress. At first-trimester, miR-520g in pre-eclampsia was significantly higher than that in the control, but no significant differences were found in the second and last trimesters. MiR-520g localized in cytoplasm of early trimester placental trophoblasts. The migration and invasion of HTR8/SVneo were inhibited by miR-520g mimic treatment. Matrix metalloproteinase 2 (MMP2) was verified as a direct target of miR-520g. Conclusions Elevated maternal serum level of miR-520g level in first trimester was detected in patients with severe PE. By suppressing the migration and invasion of trophoblast via at least partial inhibition of MMP2 translation inhibition, miR-520g might play a role in the defective spiral artery remodeling, and thus contribute to pre-eclampsia pathophysiology.","author":[{"dropping-particle":"","family":"Jiang","given":"Liansheng","non-dropping-particle":"","parse-names":false,"suffix":""},{"dropping-particle":"","family":"Long","given":"Anxiong","non-dropping-particle":"","parse-names":false,"suffix":""},{"dropping-particle":"","family":"Tan","given":"Longyi","non-dropping-particle":"","parse-names":false,"suffix":""},{"dropping-particle":"","family":"Hong","given":"Mao","non-dropping-particle":"","parse-names":false,"suffix":""},{"dropping-particle":"","family":"Wu","given":"Jingjing","non-dropping-particle":"","parse-names":false,"suffix":""},{"dropping-particle":"","family":"Cai","given":"Leiming","non-dropping-particle":"","parse-names":false,"suffix":""},{"dropping-particle":"","family":"Li","given":"Qian","non-dropping-particle":"","parse-names":false,"suffix":""}],"container-title":"Placenta","id":"ITEM-1","issued":{"date-parts":[["2017"]]},"page":"70-75","title":"Elevated microRNA-520g in pre-eclampsia inhibits migration and invasion of trophoblasts","type":"article-journal","volume":"51"},"uris":["http://www.mendeley.com/documents/?uuid=6d2a8674-29a1-33da-afcd-0751ce07cee0"]}],"mendeley":{"formattedCitation":"(Jiang et al., 2017)","plainTextFormattedCitation":"(Jiang et al., 2017)","previouslyFormattedCitation":"(Jiang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(Jiang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qRT-PCR,In situ hybridization</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Transwell migration and matrigel invasion assay, Western blotting, Generation of luciferase reporter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{"citationItems":[{"id":"ITEM-1","itemData":{"abstract":"Insufficient trophoblast migration/invasion is associated with the preeclampsia (PE) development. Recently , microRNAs (miRNAs) have been confirmed to be involved in the pathogenesis of PE. The aim of the present study was to evaluate whether miRNAs is involved in the procession of PE by regulating the migration/invasion of trophoblast. First, we compared the expression profiles of miRNAs between normal and preeclamptic placentas using microarray. Validation analysis of miR-20b level in placentas and peripheral blood specimens was performed using quantitative reverse transcription PCR (qRT-PCR). Then, the effects of miR-20b on trophoblast cell migration and invasion were evaluated using wound healing assay and transwell migration assay. Further bioinformatics analysis, luciferase reporter assays and Western blot were performed to identify its target genes. The correlation between miR-20b and matrix metalloproteinase-2 (MMP-2) in placentas was determined by Pearson's correlation coefficient. Finally, HTR8/SVneo cells were co-transfected with miR-20b inhibitor and si-MMP-2 to explore the molecular mechanism by which miR-20b functions in the trophoblast migration/invasion. We found that miR-20b was elevated in placentas and peripheral blood specimens from preeclampsia patients. Further results show that overexpression of miR-20b significantly inhibited the invasiveness of human trophoblast cells, whereas miR-20b knockdown enhanced trophoblast cell invasion. Matrix metalloproteinase-2 (MMP-2), the most common enzymes in remodeling extracellular matrix components for metastasis, was proved to be a direct target of miR-20b. Inhibition of MMP-2 by siRNA could reverse the promoting effect of miR-20b inhibition on the invasion of trophoblast cells. Taken together, our study indicates that miR-20b inhibited trophoblastic invasion by targeting MMP2. The miR-20b/MMP-2 axis may provide novel insights into understanding the molecular pathogenesis of PE and may be a prognostic biomarker and therapeutic target for PE.","author":[{"dropping-particle":"","family":"Jin","given":"Meiyuan","non-dropping-particle":"","parse-names":false,"suffix":""},{"dropping-particle":"","family":"Li","given":"Haiyang","non-dropping-particle":"","parse-names":false,"suffix":""},{"dropping-particle":"","family":"Xu","given":"Hongfeng","non-dropping-particle":"","parse-names":false,"suffix":""},{"dropping-particle":"","family":"Huo","given":"Gaoxiang","non-dropping-particle":"","parse-names":false,"suffix":""},{"dropping-particle":"","family":"Yao","given":"Yingyu","non-dropping-particle":"","parse-names":false,"suffix":""}],"container-title":"Int J Clin Exp Pathol","id":"ITEM-1","issue":"11","issued":{"date-parts":[["2017"]]},"page":"10901-10909","title":"MicroRNA-20b inhibits trophoblast cell migration and invasion by targeting MMP-2","type":"article-journal","volume":"10"},"uris":["http://www.mendeley.com/documents/?uuid=cd3ac7d3-dc72-3247-98a8-3132c0776f45"]}],"mendeley":{"formattedCitation":"(Jin et al., 2017)","plainTextFormattedCitation":"(Jin et al., 2017)","previouslyFormattedCitation":"(Jin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(Jin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 analysis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Transfection,</w:t>
            </w:r>
            <w:r w:rsidRPr="000710F5">
              <w:rPr>
                <w:rFonts w:eastAsia="Times New Roman"/>
                <w:i/>
                <w:iCs/>
                <w:sz w:val="18"/>
                <w:szCs w:val="18"/>
              </w:rPr>
              <w:t xml:space="preserve"> In vitro </w:t>
            </w:r>
            <w:r w:rsidRPr="000710F5">
              <w:rPr>
                <w:rFonts w:eastAsia="Times New Roman"/>
                <w:sz w:val="18"/>
                <w:szCs w:val="18"/>
              </w:rPr>
              <w:t>migration and invasion assay, Western Blotting, Luciferase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 and GAPDH</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{"citationItems":[{"id":"ITEM-1","itemData":{"DOI":"10.1080/10641955.2016.1259627","abstract":"Defects in angiogenesis and mitochondrial function in the placenta contribute to the pathogenesis of preeclampsia; however upstream regulators of these pathways are not known. It has been argued that placental hypoxia secondary to abnormal spiral artery remodeling may play a causal role in the angiogenic and mitochondrial abnormalities noted in preeclampsia. The aim of this study was to evaluate the relationship between hypoxia-inducible factor-1α (HIF-1α) ¸ a surrogate of hypoxia, and soluble fms-tyrosine kinase 1 (sFlt1), a circulating anti-angiogenic factor, and microRNA 210 (miR-210), a microRNA that regulates mitochondrial function, in human placentas from preeclamptic and non-hypertensive pregnancies. We first confirmed a 2.5-fold upregulation of HIF-1α protein in placentas from preeclampsia when compared to non-hypertensive controls. Consistent with prior studies, we also observed a 10-fold upregulated sFlt1 mRNA and 2-fold upregulated miR-210 in preeclamptic tissue. Interestingly, while sFlt1 mRNA correlated with miR-210 in preeclampsia (R2 = 0.77, p = 0.0004), there were no significant correlations between these molecules and HIF1α expression. We conclude that non-hypoxia pathways may be involved in the abnormal angiogenic and metabolic alterations noted in preeclampsia.","author":[{"dropping-particle":"","family":"Korkes","given":"Henri Augusto","non-dropping-particle":"","parse-names":false,"suffix":""},{"dropping-particle":"","family":"Oliveira","given":"Leandro","non-dropping-particle":"De","parse-names":false,"suffix":""},{"dropping-particle":"","family":"Sass","given":"Nelson","non-dropping-particle":"","parse-names":false,"suffix":""},{"dropping-particle":"","family":"Salahuddin","given":"Saira","non-dropping-particle":"","parse-names":false,"suffix":""},{"dropping-particle":"","family":"Karumanchi","given":"S. Ananth","non-dropping-particle":"","parse-names":false,"suffix":""},{"dropping-particle":"","family":"Rajakumar","given":"Augustine","non-dropping-particle":"","parse-names":false,"suffix":""}],"container-title":"Hypertension in Pregnancy","id":"ITEM-1","issue":"2","issued":{"date-parts":[["2017"]]},"page":"145-150","title":"Relationship between hypoxia and downstream pathogenic pathways in preeclampsia","type":"article-journal","volume":"36"},"uris":["http://www.mendeley.com/documents/?uuid=62bd4900-d67a-31de-bedf-cda2ed50b0d0"]}],"mendeley":{"formattedCitation":"(Korkes et al., 2017)","plainTextFormattedCitation":"(Korkes et al., 2017)","previouslyFormattedCitation":"(Korkes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(Korkes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{"citationItems":[{"id":"ITEM-1","itemData":{"DOI":"10.1016/j.biopha.2017.07.082","abstract":"Preeclampsia (PE) is a pregnancy-specific disorder representing a major cause of maternal and perinatal morbidity and mortality. MicroRNAs (miRNAs) have emerged as critical regulators in PE. However, the precise role of miRNAs in PE remains poorly understood. In this study, we aimed to investigate the potential role of miR-23a and the underlying mechanism in regulating trophoblast cell apoptosis. We found a significant increase of miR-23a expression in placental tissues from PE patients. Lentivirus-mediated miR-23a overexpression significantly induced apoptosis in trophoblast cells in vitro. X-linked inhibitor of apoptosis (XIAP) was identified as a target gene of miR-23a by bioinformatics analysis and dual-luciferase reporter assay. Overexpression of miR-23a significantly inhibited XIAP expression. Knockdown of XIAP also induced trophoblast cell apoptosis. Moreover, restoration of XIAP expression significantly abolished the miR-23 overexpression-induced trophoblast cell apoptosis. Taken together, our study demonstrates that miR-23a induces trophoblast cell apoptosis by inhibiting XIAP, which may contribute to PE. Our findings provide novel insights into understanding the pathogenesis of PE and suggest a potential therapeutic target in PE.","author":[{"dropping-particle":"","family":"Li","given":"Lichun","non-dropping-particle":"","parse-names":false,"suffix":""},{"dropping-particle":"","family":"Hou","given":"Aiqin","non-dropping-particle":"","parse-names":false,"suffix":""},{"dropping-particle":"","family":"Gao","given":"Xia","non-dropping-particle":"","parse-names":false,"suffix":""},{"dropping-particle":"","family":"Zhang","given":"Juan","non-dropping-particle":"","parse-names":false,"suffix":""},{"dropping-particle":"","family":"Zhang","given":"Liping","non-dropping-particle":"","parse-names":false,"suffix":""},{"dropping-particle":"","family":"Wang","given":"Juan","non-dropping-particle":"","parse-names":false,"suffix":""},{"dropping-particle":"","family":"Li","given":"Hua","non-dropping-particle":"","parse-names":false,"suffix":""},{"dropping-particle":"","family":"Song","given":"Yanbin","non-dropping-particle":"","parse-names":false,"suffix":""}],"container-title":"Biomedicine and Pharmacotherapy","id":"ITEM-1","issued":{"date-parts":[["2017"]]},"page":"412-417","title":"Lentivirus-mediated miR-23a overexpression induces trophoblast cell apoptosis through inhibiting X-linked inhibitor of apoptosis","type":"article-journal","volume":"94"},"uris":["http://www.mendeley.com/documents/?uuid=f168f405-2c83-34fa-ac4a-3eda44eb60fe"]}],"mendeley":{"formattedCitation":"(Li et al., 2017a)","plainTextFormattedCitation":"(Li et al., 2017a)","previouslyFormattedCitation":"(Li et al., 2017a)"},"properties":{"noteIndex":0},"schema":"https://github.com/citation-style-language/schema/raw/master/csl-citation.json"}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2017a)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MTT sssay, Apoptosis assay, Caspase-3 assay, Luciferase reporter assay,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{"citationItems":[{"id":"ITEM-1","itemData":{"DOI":"10.1159/000478069","abstract":"Background/Aims: Mesenchymal stem cells (MSCs) play an important role in regulating angiogenesis and immune balance. Abnormal proliferation and function of MSCs were reported at maternal fetal interface in patients with pre-eclampsia (PE). Micro-RNA-495 was known to be upregulated in the MSCs derived from patients with PE. However, it is not clear whether the up-regulated miR-495 is related to the pathogenesis of PE. Methods: We analyzed the expression of miR-495 in MSCs and umbilical cords derived from healthy pregnancies (NC) and PE, then we upregulated or downregulated the expression of miR-495 in MSCs derived from NC and tested the proliferation, apoptosis, migration, invasion, tube formation and senescence. Results: In the current study, we found that the expression of miR-495 was significantly increased in both umbilical cord tissues and MSCs in patients with severe PE. Overexpressing miR-495 arrested cell cycle in S phase and promoted cell apoptosis. The supernatants from miR-495-overexpressed-MSCs inhibited the migration of MSCs and HTR-8/SVneo, invasion of HTR-8/SVneo and tube formation of HUVEC, while si-miR-495 had the opposite effects. Furthermore, we analyzed the senescence related β-galactosidase activity and CD146 and found that miR-495 induced the senescence of MSCs. Molecular mechanism studies confirmed that Bmi-1 mediated these effects of miR-495 on MSCs. Conclusion: Taken together, our data demonstrated that miR-495 induced senescence of MSCs may be involved in the pathogenesis of PE.","author":[{"dropping-particle":"","family":"Li","given":"Xiujun","non-dropping-particle":"","parse-names":false,"suffix":""},{"dropping-particle":"","family":"Song","given":"Yuxian","non-dropping-particle":"","parse-names":false,"suffix":""},{"dropping-particle":"","family":"Liu","given":"Dan","non-dropping-particle":"","parse-names":false,"suffix":""},{"dropping-particle":"","family":"Zhao","given":"Jiaojiao","non-dropping-particle":"","parse-names":false,"suffix":""},{"dropping-particle":"","family":"Xu","given":"Jingjing","non-dropping-particle":"","parse-names":false,"suffix":""},{"dropping-particle":"","family":"Ren","given":"Jing","non-dropping-particle":"","parse-names":false,"suffix":""},{"dropping-particle":"","family":"Hu","given":"Yali","non-dropping-particle":"","parse-names":false,"suffix":""},{"dropping-particle":"","family":"Wang","given":"Zhiqun","non-dropping-particle":"","parse-names":false,"suffix":""},{"dropping-particle":"","family":"Hou","given":"Yayi","non-dropping-particle":"","parse-names":false,"suffix":""},{"dropping-particle":"","family":"Zhao","given":"Guangfeng","non-dropping-particle":"","parse-names":false,"suffix":""}],"container-title":"Cellular Physiology and Biochemistry","id":"ITEM-1","issue":"2","issued":{"date-parts":[["2017"]]},"page":"780-796","title":"MiR-495 Promotes Senescence of Mesenchymal Stem Cells by Targeting Bmi-1","type":"article-journal","volume":"42"},"uris":["http://www.mendeley.com/documents/?uuid=dac6ead1-ed52-38ec-84ad-6e9f0907095e"]}],"mendeley":{"formattedCitation":"(Li et al., 2017b)","plainTextFormattedCitation":"(Li et al., 2017b)","previouslyFormattedCitation":"(Li et al., 2017b)"},"properties":{"noteIndex":0},"schema":"https://github.com/citation-style-language/schema/raw/master/csl-citation.json"}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2017b)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proliferation, cell cycle and apoptosis assays, Western blotting, HTR-</w:t>
            </w:r>
            <w:r w:rsidR="001E29D7" w:rsidRPr="000710F5">
              <w:rPr>
                <w:rFonts w:eastAsia="Times New Roman"/>
                <w:sz w:val="18"/>
                <w:szCs w:val="18"/>
              </w:rPr>
              <w:t>8</w:t>
            </w:r>
            <w:r w:rsidRPr="000710F5">
              <w:rPr>
                <w:rFonts w:eastAsia="Times New Roman"/>
                <w:sz w:val="18"/>
                <w:szCs w:val="18"/>
              </w:rPr>
              <w:t>/S</w:t>
            </w:r>
            <w:r w:rsidR="00E75C2B" w:rsidRPr="000710F5">
              <w:rPr>
                <w:rFonts w:eastAsia="Times New Roman"/>
                <w:sz w:val="18"/>
                <w:szCs w:val="18"/>
              </w:rPr>
              <w:t>v</w:t>
            </w:r>
            <w:r w:rsidRPr="000710F5">
              <w:rPr>
                <w:rFonts w:eastAsia="Times New Roman"/>
                <w:sz w:val="18"/>
                <w:szCs w:val="18"/>
              </w:rPr>
              <w:t>neo invasion assay, MSC and HTR-</w:t>
            </w:r>
            <w:r w:rsidR="001E29D7" w:rsidRPr="000710F5">
              <w:rPr>
                <w:rFonts w:eastAsia="Times New Roman"/>
                <w:sz w:val="18"/>
                <w:szCs w:val="18"/>
              </w:rPr>
              <w:t>8</w:t>
            </w:r>
            <w:r w:rsidRPr="000710F5">
              <w:rPr>
                <w:rFonts w:eastAsia="Times New Roman"/>
                <w:sz w:val="18"/>
                <w:szCs w:val="18"/>
              </w:rPr>
              <w:t>/S</w:t>
            </w:r>
            <w:r w:rsidR="00E75C2B" w:rsidRPr="000710F5">
              <w:rPr>
                <w:rFonts w:eastAsia="Times New Roman"/>
                <w:sz w:val="18"/>
                <w:szCs w:val="18"/>
              </w:rPr>
              <w:t>v</w:t>
            </w:r>
            <w:r w:rsidRPr="000710F5">
              <w:rPr>
                <w:rFonts w:eastAsia="Times New Roman"/>
                <w:sz w:val="18"/>
                <w:szCs w:val="18"/>
              </w:rPr>
              <w:t>neo migration assay, β-galactosidase activity assay, Dual-luciferase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{"citationItems":[{"id":"ITEM-1","itemData":{"DOI":"10.1177/1933719116650754","abstract":"Objective: To investigate the effects of microRNA-137 (miRNA-137) in proliferation and migration of placenta trophoblast cells of preeclampsia and the targeting gene of miRNA-137. Methods: A total of 134 cases of puerperants were divided into normal pregnancy (n = 50), mild preeclampsia (n = 38), and severe preeclampsia groups (n = 46). MiRNA-137, estrogen-related receptor α (ERRα), and wingless INT (WNT)11 messenger RNAs (mRNAs) were measured in placental tissue and trophoblast cells after transfection, and ERRα protein in placental tissues was detected by immunohistochemistry. The target genes of miRNA-137, trophoblast cell proliferation, migration, and invasion abilities were detected. Both ERRα and WNT11 proteins in the trophoblast cells were measured after transfection. Result: Relative expressions of miRNA-137 were higher, and positive expression rates and relative expression levels of ERRα protein were lower in mild and severe preeclampsia and early- and late-onset preeclampsia than in normal pregnancy group (all P &lt;.05). MiRNA-137 in the placental tissues was negatively correlated with ERRα protein (P &lt;.05). Luciferase reporter gene assay analysis showed that ERRα was a direct target gene of miRNA-137. Absorbance values, relative scratch-covered areas, cell membrane permeable rate, ERRα, and WNT11 mRNA and protein relative expressions were significantly lower, while cells at G1/G0 phase were higher in miRNA-137 mimic group than those in the blank, negative control, and miRNA-137 inhibitor group. Conclusion: MiRNA-137 significantly reduced the proliferation and migration of placenta trophoblast cells of preeclampsia by targeting ERRα, which might be a potential target for gene therapy.","author":[{"dropping-particle":"","family":"Lu","given":"Tan Min","non-dropping-particle":"","parse-names":false,"suffix":""},{"dropping-particle":"","family":"Lu","given":"Wei","non-dropping-particle":"","parse-names":false,"suffix":""},{"dropping-particle":"","family":"Zhao","given":"Long Jun","non-dropping-particle":"","parse-names":false,"suffix":""}],"container-title":"Reproductive Sciences","id":"ITEM-1","issue":"1","issued":{"date-parts":[["2017"]]},"page":"85-96","title":"MicroRNA-137 Affects Proliferation and Migration of Placenta Trophoblast Cells in Preeclampsia by Targeting ERRα","type":"article-journal","volume":"24"},"uris":["http://www.mendeley.com/documents/?uuid=240aa604-88c4-39cc-9a82-58b9549779da"]}],"mendeley":{"formattedCitation":"(Lu et al., 2017)","plainTextFormattedCitation":"(Lu et al., 2017)","previouslyFormattedCitation":"(Lu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(Lu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Immunohistochemistry, Luciferase Reporter Gene Assay, Cell Transfection, Scratch and Transwell Assays,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β actin and 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{"citationItems":[{"id":"ITEM-1","itemData":{"DOI":"10.1371/journal.pone.0178549","abstract":"Preeclampsia is a leading cause of perinatal maternal-foetal mortality and morbidity. The aim of this study is to identify the key microRNAs and genes in preeclampsia and uncover their potential functions. We downloaded the miRNA expression profile of GSE84260 and the gene expression profile of GSE73374 from the Gene Expression Omnibus database. Differentially expressed miRNAs and genes were identified and compared to miRNA-target information from MiRWalk 2.0, and a total of 65 differentially expressed miRNAs (DEMIs), including 32 up-regulated miRNAs and 33 down-regulated miRNAs, and 91 differentially expressed genes (DEGs), including 83 up-regulated genes and 8 down-regulated genes, were identified. The pathway enrichment analyses of the DEMIs showed that the up-regulated DEMIs were enriched in the Hippo signalling pathway and MAPK signalling pathway, and the down-regulated DEMIs were enriched in HTLV-I infection and miRNAs in cancers. The gene ontology (GO) and Kyoto Encyclopedia of Genes and Genomes pathway (KEGG) enrichment analyses of the DEGs were performed using Multifaceted Analysis Tool for Human Transcriptome. The up-regulated DEGs were enriched in biological processes (BPs), including the response to cAMP, response to hydrogen peroxide and cell-cell adhesion mediated by integrin; no enrichment of down-regulated DEGs was identified. KEGG analysis showed that the up-regulated DEGs were enriched in the Hippo signalling pathway and pathways in cancer. A PPI network of the DEGs was constructed by using Cytoscape software, and FOS, STAT1, MMP14, ITGB1, VCAN, DUSP1, LDHA, MCL1, MET, and ZFP36 were identified as the hub genes. The current study illustrates a characteristic microRNA profile and gene profile in preeclampsia, which may contribute to the interpretation of the progression of preeclampsia and provide novel biomarkers and therapeutic targets for preeclampsia.","author":[{"dropping-particle":"","family":"Luo","given":"Shouling","non-dropping-particle":"","parse-names":false,"suffix":""},{"dropping-particle":"","family":"Cao","given":"Nannan","non-dropping-particle":"","parse-names":false,"suffix":""},{"dropping-particle":"","family":"Tang","given":"Yao","non-dropping-particle":"","parse-names":false,"suffix":""},{"dropping-particle":"","family":"Gu","given":"Weirong","non-dropping-particle":"","parse-names":false,"suffix":""}],"container-title":"PLoS ONE","id":"ITEM-1","issue":"6","issued":{"date-parts":[["2017"]]},"page":"e0178549","title":"Identification of key microRNAs and genes in preeclampsia by bioinformatics analysis","type":"article-journal","volume":"12"},"uris":["http://www.mendeley.com/documents/?uuid=0b5313f2-2132-36be-8316-7c92cd397c8e"]}],"mendeley":{"formattedCitation":"(Luo et al., 2017a)","plainTextFormattedCitation":"(Luo et al., 2017a)","previouslyFormattedCitation":"(Luo et al., 2017a)"},"properties":{"noteIndex":0},"schema":"https://github.com/citation-style-language/schema/raw/master/csl-citation.json"}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(Luo et al., 2017a)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microarray analysis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Functional enrichment analyses of the DEMIs and DEGs, Integration of the protein-protein interaction (PPI) network</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{"citationItems":[{"id":"ITEM-1","itemData":{"abstract":"Preeclampsia (","author":[{"dropping-particle":"","family":"Luo","given":"Shouling","non-dropping-particle":"","parse-names":false,"suffix":""},{"dropping-particle":"","family":"Li","given":"Han","non-dropping-particle":"","parse-names":false,"suffix":""},{"dropping-particle":"","family":"Cao","given":"Nannan","non-dropping-particle":"","parse-names":false,"suffix":""},{"dropping-particle":"","family":"Tang","given":"Yao","non-dropping-particle":"","parse-names":false,"suffix":""},{"dropping-particle":"","family":"Gu","given":"Weirong","non-dropping-particle":"","parse-names":false,"suffix":""}],"container-title":"Int J Clin Exp Pathol","id":"ITEM-1","issue":"5","issued":{"date-parts":[["2017"]]},"page":"5205-5212","title":"MicroRNA-148a affects functions of placental trophoblast cells in preeclampsia by regulating HLA-G","type":"article-journal","volume":"10"},"uris":["http://www.mendeley.com/documents/?uuid=1e0cc94c-10be-3f74-8f97-e32f1c0b807a"]}],"mendeley":{"formattedCitation":"(Luo et al., 2017b)","plainTextFormattedCitation":"(Luo et al., 2017b)","previouslyFormattedCitation":"(Luo et al., 2017b)"},"properties":{"noteIndex":0},"schema":"https://github.com/citation-style-language/schema/raw/master/csl-citation.json"}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(Luo et al., 2017b)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transfection, Apoptosis assay, qRT-PCR, Western blotting, Transwell assays, Proliferation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GAPDH</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{"citationItems":[{"id":"ITEM-1","itemData":{"abstract":"Increasing evidence indicated that the dysregulation of trophoblast cell proliferation and invasion might play a central role in the pathogenesis of preeclampsia. MicroRNAs (miRs) are critical in the regulation of the patho-genesis of preeclampsia and a reduction or increase in the expression of certain miRs can mediate the proliferative and invasive activities of trophoblast cells. In the present study, we aimed to explore the effects and underlying mechanism of miR-223 on the proliferation and invasion of trophoblast cells. Real time PCR results showed that the expression of miR-223 was significantly down-regulated whereas STAT3 was high expression in preeclamptic patients. MiR-223 mimics markedly promoted trophoblast cell survival, proliferation and invasion, while inhibition of miR-223 expression has been shown to impede trophoblast cell survival, proliferation and invasion. Dual-luciferase reporter assay was confirmed that STAT3 is a direct target for miR-223, and miR-223 mimics strikingly inhibited the mRNA and protein expression of STAT3. Overexpression of STAT3 reversed the proliferation and invasion promoting effect of miR-223 in JEG-3 cells. These findings emphasized the essential role of miR-223 and opened new avenues and provide a mew target for diagnosis and treatment for preeclampsia.","author":[{"dropping-particle":"","family":"Meng","given":"Hai-Xia","non-dropping-particle":"","parse-names":false,"suffix":""},{"dropping-particle":"","family":"Xu","given":"Li-Na","non-dropping-particle":"","parse-names":false,"suffix":""},{"dropping-particle":"","family":"Jing","given":"Guo","non-dropping-particle":"","parse-names":false,"suffix":""},{"dropping-particle":"","family":"Qian","given":"Li","non-dropping-particle":"","parse-names":false,"suffix":""},{"dropping-particle":"","family":"Qi","given":"Mu-Ge","non-dropping-particle":"","parse-names":false,"suffix":""}],"container-title":"Int J Clin Exp Med","id":"ITEM-1","issue":"4","issued":{"date-parts":[["2017"]]},"page":"6577-6585","title":"MiR-223 promotes trophoblast cell survival and invasion by targeting STAT3 in preeclampsia","type":"article-journal","volume":"10"},"uris":["http://www.mendeley.com/documents/?uuid=de1c366a-7a9f-3f4e-8d38-1fc208113ee7"]}],"mendeley":{"formattedCitation":"(Meng et al., 2017)","plainTextFormattedCitation":"(Meng et al., 2017)","previouslyFormattedCitation":"(Meng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(Meng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transfection, Cell viability assay, Cell survival assay, In vitro transwell insert invasion assay, Western blotting, qRT-PCR, Luciferase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460963">
              <w:rPr>
                <w:rFonts w:eastAsia="Times New Roman"/>
                <w:sz w:val="18"/>
                <w:szCs w:val="18"/>
              </w:rPr>
              <w:instrText>ADDIN CSL_CITATION {"citationItems":[{"id":"ITEM-1","itemData":{"DOI":"10.1007/s10517-017-3812-0","abstract":"We studied the expression of microRNA-146a and microRNA-155 in placental villi from 18 women (26-39 weeks of gestation) of reproductive age with early- or late-onset preeclampsia. The reference group consisted of women with physiological pregnancy and full-term gestation and with preterm birth after caesarian section on gestation week 26-31. MicroRNA-146a and microRNA-155 were detected by in situ hybridization with digoxigenin on paraffin sections. It was found that the expression of microRNA-146a in both syncytiotrophoblast of the intermediate villi and syncytial knots was lower at late-onset preeclampsia than at physiologic pregnancy of full-term period (p=0.037 and p=0.001 respectively). The expression of microRNA-155 in syncytiotrophoblast of intermediate placental villi in early-onset preeclampsia was higher than in group with preterm delivery (p=0.003). However, in syncytiotrophoblast of intermediate villi and in syncytial knots, the expression of microRNA-155 was lower at late-onset preeclampsia in comparison with full-term physiological pregnancy (p=0.005). In addition, the expression of microRNA-146a and microRNA-155 did not increase in the later terms in preeclampsia, while in the reference groups demonstrating gradual increase in the expression of these markers with increasing gestational age. Expression microRNA-146a and microRNA-155 little differed in early- and late-onset preeclampsia. These findings suggest that different variants of preeclampsia are probably characterized by common pathogenetic pathways. Damaged trophoblast cannot maintain of microRNAs synthesis at the required level, which determines the formation of a vicious circle in preeclampsia and further progression of the disease.","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I.","non-dropping-particle":"","parse-names":false,"suffix":""},{"dropping-particle":"","family":"Sukhikh","given":"G. T.","non-dropping-particle":"","parse-names":false,"suffix":""}],"container-title":"Bulletin of Experimental Biology and Medicine","id":"ITEM-1","issue":"3","issued":{"date-parts":[["2017"]]},"page":"394-399","title":"Expression of MicroRNA-146a and MicroRNA-155 in Placental Villi in Early- and Late-Onset Preeclampsia","type":"article-journal","volume":"163"},"uris":["http://www.mendeley.com/documents/?uuid=80500197-bcc7-3b4f-9c4e-2ca3de6bbe00"]}],"mendeley":{"formattedCitation":"(Nizyaeva et al., 2017)","plainTextFormattedCitation":"(Nizyaeva et al., 2017)","previouslyFormattedCitation":"(Nizyaeva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(Nizyaeva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i/>
                <w:iCs/>
                <w:sz w:val="18"/>
                <w:szCs w:val="18"/>
              </w:rPr>
              <w:t xml:space="preserve">In situ </w:t>
            </w:r>
            <w:r w:rsidRPr="000710F5">
              <w:rPr>
                <w:rFonts w:eastAsia="Times New Roman"/>
                <w:sz w:val="18"/>
                <w:szCs w:val="18"/>
              </w:rPr>
              <w:t>hybridization</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{"citationItems":[{"id":"ITEM-1","itemData":{"DOI":"10.1210/jc.2017-00672","abstract":"Context: There is a need to develop strategies for early prediction of patients who will develop preeclampsia (PE) to establish preventive strategies to reduce the prevalence and severity of the disease and their associated complications. Objective: The objective of this study was to investigate whether exosomes and their microRNA cargo present in maternal circulation can be used as early biomarker for PE. Design, Setting, Patients, and Interventions: A retrospective stratified study design was used to quantify total exosomes and placenta-derived exosomes present in maternal plasma of normal (n = 32 per time point) and PE (n = 15 per time point) pregnancies. Exosomes present in maternal circulation were determined by nanoparticle tracking analysis. An Illumina TruSeq® Small RNA Library Prep Kit was used to construct a small RNA library from exosomal RNA obtained from plasma samples. Results: In presymptomatic women, who subsequently developed PE, the concentration of total exosomes and placenta-derived exosomes in maternal plasma was significantly greater than those observed in controls, throughout pregnancy. The area under the receiver operating characteristic curves for total exosome and placenta-derived exosome concentrations were 0.745 6 0.094 and 0.829 6 0.077, respectively. In total, over 300 microRNAs were identified in exosomes across gestation, where hsa-miR-486-1-5p and hsa-miR-486-2-5p were identified as the candidate microRNAs. Conclusions: Although the role of exosomes during PE remains to be fully elucidated, we suggest that the concentration and content of exosomes may be of diagnostic utility for women at risk for developing PE.","author":[{"dropping-particle":"","family":"Salomon","given":"Carlos","non-dropping-particle":"","parse-names":false,"suffix":""},{"dropping-particle":"","family":"Guanzon","given":"Dominic","non-dropping-particle":"","parse-names":false,"suffix":""},{"dropping-particle":"","family":"Scholz-Romero","given":"Katherin","non-dropping-particle":"","parse-names":false,"suffix":""},{"dropping-particle":"","family":"Longo","given":"Sherri","non-dropping-particle":"","parse-names":false,"suffix":""},{"dropping-particle":"","family":"Correa","given":"Paula","non-dropping-particle":"","parse-names":false,"suffix":""},{"dropping-particle":"","family":"Illanes","given":"Sebastian E.","non-dropping-particle":"","parse-names":false,"suffix":""},{"dropping-particle":"","family":"Rice","given":"Gregory E.","non-dropping-particle":"","parse-names":false,"suffix":""}],"container-title":"Journal of Clinical Endocrinology and Metabolism","id":"ITEM-1","issue":"9","issued":{"date-parts":[["2017"]]},"page":"3182-3194","title":"Placental exosomes as early biomarker of preeclampsia: Potential role of exosomalmicrornas across gestation","type":"article-journal","volume":"102"},"uris":["http://www.mendeley.com/documents/?uuid=1b5c5d99-53ec-3a49-a34c-49eb06865b59"]}],"mendeley":{"formattedCitation":"(Salomon et al., 2017)","plainTextFormattedCitation":"(Salomon et al., 2017)","previouslyFormattedCitation":"(Salomon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(Salomon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spectrophotometer, NGS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{"citationItems":[{"id":"ITEM-1","itemData":{"DOI":"10.1161/HYPERTENSIONAHA.116.08468","abstract":"Preeclampsia, a multisystem syndrome occurring during mid- to late gestation in humans, is a leading cause of maternal and perinatal morbidity and mortality. Patients usually present with high circulating testosterone and reduced estradiol production, but the mechanisms remain unclear. Revealing the mechanism that modulating the imbalance of testosterone and estradiol in preeclampsia is of great value in understanding the cause of the disease. The placenta is the predominant source of steroid hormone production during gestation, and we observed markedly increased 17β-HSD3 (17β-hydroxysteroid dehydrogenase 3) levels and downregulated aromatase expression, the key enzymes responsible for synthesis of testosterone and estradiol, respectively, in preeclamptic placentas compared with controls. Furthermore, we found a significant upregulation of microRNA (miR)-22 in preeclamptic placentas. In a trophoblast cell line, JEG-3 cells, testosterone repressed the expression of aromatase and estrogen receptor α and the production of estradiol while promoting miR-22 expression. miR-22 directly targeted and inhibited estrogen receptor α expression while indirectly decreasing aromatase expression and estradiol production by interfering with estrogen receptor α signaling. Furthermore, inhibition of miR-22 expression significantly reversed the inhibitory effect of testosterone on de novo estradiol synthesis in human trophoblastic cells. The findings reveal a mechanism underlying the balanced production of androgen and estrogen modulated by miR-22 in the human placenta and provide new insights into the pathogenesis of preeclampsia from the aspect of endocrine regulation.","author":[{"dropping-particle":"","family":"Shao","given":"Xuan","non-dropping-particle":"","parse-names":false,"suffix":""},{"dropping-particle":"","family":"Liu","given":"Yanlei","non-dropping-particle":"","parse-names":false,"suffix":""},{"dropping-particle":"","family":"Liu","given":"Ming","non-dropping-particle":"","parse-names":false,"suffix":""},{"dropping-particle":"","family":"Wang","given":"Yongqing","non-dropping-particle":"","parse-names":false,"suffix":""},{"dropping-particle":"","family":"Yan","given":"Liying","non-dropping-particle":"","parse-names":false,"suffix":""},{"dropping-particle":"","family":"Wang","given":"Hao","non-dropping-particle":"","parse-names":false,"suffix":""},{"dropping-particle":"","family":"Ma","given":"Liyang","non-dropping-particle":"","parse-names":false,"suffix":""},{"dropping-particle":"","family":"Li","given":"Yu Xia","non-dropping-particle":"","parse-names":false,"suffix":""},{"dropping-particle":"","family":"Zhao","given":"Yangyu","non-dropping-particle":"","parse-names":false,"suffix":""},{"dropping-particle":"","family":"Wang","given":"Yan Ling","non-dropping-particle":"","parse-names":false,"suffix":""}],"container-title":"Hypertension","id":"ITEM-1","issue":"4","issued":{"date-parts":[["2017"]]},"page":"721-730","title":"Testosterone Represses Estrogen Signaling by Upregulating miR-22: A Mechanism for Imbalanced Steroid Hormone Production in Preeclampsia","type":"article-journal","volume":"69"},"uris":["http://www.mendeley.com/documents/?uuid=c6286128-ad0e-3259-a957-aa97db85a9b0"]}],"mendeley":{"formattedCitation":"(Shao et al., 2017)","plainTextFormattedCitation":"(Shao et al., 2017)","previouslyFormattedCitation":"(Shao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(Shao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Dual-Luciferase Activity Assay, De Novo E2 Synthesis in JEG-3 Cells, In Situ Hybridization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{"citationItems":[{"id":"ITEM-1","itemData":{"DOI":"10.1016/j.preghy.2017.04.002","abstract":"MicroRNA (miRNA) expression has not been studied during placentation in pregnancies that develop preeclampsia, when it likely manifests. In this pilot study, miRNA expression in late first trimester placenta from four pregnancies that developed severe preeclampsia matched to controls using the Affymetrix GeneChip® miRNA 3.0 Array identified 9 miRNAs differentially expressed, with miR-202-3p the most significantly overexpressed in severe preeclampsia. Real-time reverse transcription polymerase chain reaction (qRT-PCR) confirmed overexpression of miR-202-3p in a validation cohort, with a 7-fold increase in pregnancies that developed severe preeclampsia (p ≤ 0.05). Differential miRNA expression, specifically miR-202-3p, is seen in first trimester placenta in severe preeclampsia.","author":[{"dropping-particle":"","family":"Singh","given":"Krishna","non-dropping-particle":"","parse-names":false,"suffix":""},{"dropping-particle":"","family":"Williams","given":"John","non-dropping-particle":"","parse-names":false,"suffix":""},{"dropping-particle":"","family":"Brown","given":"Jordan","non-dropping-particle":"","parse-names":false,"suffix":""},{"dropping-particle":"","family":"Wang","given":"Erica T.","non-dropping-particle":"","parse-names":false,"suffix":""},{"dropping-particle":"","family":"Lee","given":"Bora","non-dropping-particle":"","parse-names":false,"suffix":""},{"dropping-particle":"","family":"Gonzalez","given":"Tania L.","non-dropping-particle":"","parse-names":false,"suffix":""},{"dropping-particle":"","family":"Cui","given":"Jinrui","non-dropping-particle":"","parse-names":false,"suffix":""},{"dropping-particle":"","family":"Goodarzi","given":"Mark O.","non-dropping-particle":"","parse-names":false,"suffix":""},{"dropping-particle":"","family":"Pisarska","given":"Margareta D.","non-dropping-particle":"","parse-names":false,"suffix":""}],"container-title":"Pregnancy Hypertension","id":"ITEM-1","issued":{"date-parts":[["2017"]]},"page":"7-9","title":"Up-regulation of microRNA-202-3p in first trimester placenta of pregnancies destined to develop severe preeclampsia, a pilot study","type":"article-journal","volume":"10"},"uris":["http://www.mendeley.com/documents/?uuid=65aa2861-5f93-3198-9524-a119bdee35e6"]}],"mendeley":{"formattedCitation":"(Singh et al., 2017)","plainTextFormattedCitation":"(Singh et al., 2017)","previouslyFormattedCitation":"(Singh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(Singh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Affymetrix Expression Console (TAC)</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U6-2</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{"citationItems":[{"id":"ITEM-1","itemData":{"DOI":"10.1371/journal.pone.0174514","abstract":"Our understanding of how cells communicate has undergone a paradigm shift since the recent recognition of the role of exosomes in intercellular signaling. In this study, we investigated whether oxygen tension alters the exosome release and miRNA profile from extravillous trophoblast (EVT) cells, modifying their bioactivity on endothelial cells (EC). Furthermore, we have established the exosomal miRNA profile at early gestation in women who develop pre-eclampsia (PE) and spontaneous preterm birth (SPTB). HTR-8/SVneo cells were used as an EVT model. The effect of oxygen tension (i.e. 8% and 1% oxygen) on exosome release was quantified using nanocrystals (Qdot®) coupled to CD63 by fluorescence NTA. A real-Time, live-cell imaging system (Incucyte™) was used to establish the effect of exosomes on EC. Plasma samples were obtained at early gestation (&gt;18 weeks) and classified according to pregnancy outcomes. An Illumina TrueSeq Small RNA kit was used to construct a small RNA library from exosomal RNA obtained from EVT and plasma samples. The number of exosomes was significantly higher in EVT cultured under 1% compared to 8% oxygen. In total, 741 miRNA were identified in exosomes from EVT. Bioinformatic analysis revealed that these miRNA were associated with cell migration and cytokine production. Interestingly, exosomes isolated from EVT cultured at 8% oxygen increased EC migration, whilst exosomes cultured at 1% oxygen decreased EC migration. These changes were inversely proportional to TNF-α released from EC. Finally, we have identified a set of unique miRNAs in exosomes from EVT cultured at 1% oxygen and exosomes isolated from the circulation of mothers at early gestation, who later developed PE and SPTB. We suggest that aberrant exosomal signalling by placental cells is a common aetiological factor in pregnancy complications characterised by incomplete SpA remodeling and is therefore a clinically relevant biomarker of pregnancy complications.","author":[{"dropping-particle":"","family":"Truong","given":"Grace","non-dropping-particle":"","parse-names":false,"suffix":""},{"dropping-particle":"","family":"Guanzon","given":"Dominic","non-dropping-particle":"","parse-names":false,"suffix":""},{"dropping-particle":"","family":"Kinhal","given":"Vyjayanthi","non-dropping-particle":"","parse-names":false,"suffix":""},{"dropping-particle":"","family":"Elfeky","given":"Omar","non-dropping-particle":"","parse-names":false,"suffix":""},{"dropping-particle":"","family":"Lai","given":"Andrew","non-dropping-particle":"","parse-names":false,"suffix":""},{"dropping-particle":"","family":"Longo","given":"Sherri","non-dropping-particle":"","parse-names":false,"suffix":""},{"dropping-particle":"","family":"Nuzhat","given":"Zarin","non-dropping-particle":"","parse-names":false,"suffix":""},{"dropping-particle":"","family":"Palma","given":"Carlos","non-dropping-particle":"","parse-names":false,"suffix":""},{"dropping-particle":"","family":"Scholz-Romero","given":"Katherin","non-dropping-particle":"","parse-names":false,"suffix":""},{"dropping-particle":"","family":"Menon","given":"Ramkumar","non-dropping-particle":"","parse-names":false,"suffix":""},{"dropping-particle":"","family":"Mol","given":"Ben W.","non-dropping-particle":"","parse-names":false,"suffix":""},{"dropping-particle":"","family":"Rice","given":"Gregory E.","non-dropping-particle":"","parse-names":false,"suffix":""},{"dropping-particle":"","family":"Salomon","given":"Carlos","non-dropping-particle":"","parse-names":false,"suffix":""}],"container-title":"PLoS ONE","id":"ITEM-1","issue":"3","issued":{"date-parts":[["2017"]]},"page":"e0174514","title":"Oxygen tension regulates the miRNA profile and bioactivity of exosomes released from extravillous trophoblast cells-Liquid biopsies for monitoring complications of pregnancy","type":"article-journal","volume":"12"},"uris":["http://www.mendeley.com/documents/?uuid=68d9c6e9-76d4-317e-9dd9-923f1c4bd178"]}],"mendeley":{"formattedCitation":"(Truong et al., 2017)","plainTextFormattedCitation":"(Truong et al., 2017)","previouslyFormattedCitation":"(Truong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(Truong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next generation sequencing (NGS)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Nanoparticle Tracking Analysis (NTA), Fluorescence NTA, Western blotting, Endothelial cell  migration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{"citationItems":[{"id":"ITEM-1","itemData":{"DOI":"10.3390/ijms18071570","abstract":"Several miRNAs are expressed in human gestational tissue, and some have been shown to be associated with placental dysfunction and complicated pregnancy outcomes. To investigate the roles of miR-346 and miR-582-3p in adverse obstetric events, we analyzed these 2 miRNAs in three samples (maternal blood, umbilical cord blood and placenta) obtained from pregnant women in four groups, including healthy control (n = 60), preeclampsia (n = 31), preterm delivery (n = 29) and small for gestational age (n = 19) patients. The expression levels of miR-346 and miR-582-3p in all included adverse obstetric outcome groups were significantly higher in the maternal plasma samples but lower in the placenta samples (all p value &lt; 0.05). In addition, the miR-346 expression levels in fetal cord blood were also significantly lower in all of the included adverse obstetric outcome groups (all p &lt; 0.05). Multivariate analysis of the three specimens after adjusting for maternal age and gestational age at delivery gave the same results. In conclusion, aberrant miR-346 and miR-582-3p expression level in pregnancy was associated with multiple maternal and fetal complications. Their differential expression in maternal blood, umbilical cord blood and placenta could be potential biomarkers or therapeutic targets for adverse obstetric outcomes.","author":[{"dropping-particle":"","family":"Tsai","given":"Pei Yin","non-dropping-particle":"","parse-names":false,"suffix":""},{"dropping-particle":"","family":"Li","given":"Sheng Hsiang","non-dropping-particle":"","parse-names":false,"suffix":""},{"dropping-particle":"","family":"Chen","given":"Wan Ni","non-dropping-particle":"","parse-names":false,"suffix":""},{"dropping-particle":"","family":"Tsai","given":"Hui Ling","non-dropping-particle":"","parse-names":false,"suffix":""},{"dropping-particle":"","family":"Su","given":"Mei Tsz","non-dropping-particle":"","parse-names":false,"suffix":""}],"container-title":"International Journal of Molecular Sciences","id":"ITEM-1","issue":"7","issued":{"date-parts":[["2017"]]},"page":"1570","title":"Differential miR-346 and miR-582-3p expression in association with selected maternal and fetal complications","type":"article-journal","volume":"18"},"uris":["http://www.mendeley.com/documents/?uuid=b2cee63e-4218-3c83-86e3-6982aa4b4300"]}],"mendeley":{"formattedCitation":"(Tsai et al., 2017)","plainTextFormattedCitation":"(Tsai et al., 2017)","previouslyFormattedCitation":"(Tsai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(Tsai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 TaqMan MicroRNA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{"citationItems":[{"id":"ITEM-1","itemData":{"DOI":"10.3892/etm.2017.5067","abstract":"Abnormal expression of hypoxia inducible factor-1α (HIF-1α) is closely associated with various diseases. By detecting the mRNA and protein expression levels of microRNA 18b (miR-18b) and HIF-1α in placental tissues of preeclampsia (PE) patients and studying the effects of miR-18b on total cellular metabolic activity, migration and invasion in normal human trophoblast cell lines (HTR-8/SVneo), the present study aimed to investigate the effect of miR-18b on targeted regulation of HIF-1α and its clinical significance in the development of PE. Expression levels of miR-18b and HIF-1α mRNA in PE placental tissues were detected by reverse transcription-quantitative polymerase chain reaction and corresponding expression levels of HIF-1α protein were analyzed by western blotting. miR-18b overexpression and inhibited miR-18b expression in HTR-8/SVneo cells, which were constructed by transfecting miR-18b mimic and inhibitor, respectively, were investigated and the total cellular metabolic activity, migration and invasion abilities in different groups of cells were compared. Expression levels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18b were significantly reduced in PE placental tissues and miR-18b inhibitor-transfected HTR-8/SVneo cells,</w:instrText>
            </w:r>
            <w:r w:rsidR="00460963">
              <w:rPr>
                <w:rFonts w:eastAsia="Times New Roman"/>
                <w:sz w:val="18"/>
                <w:szCs w:val="18"/>
              </w:rPr>
              <w:instrText xml:space="preserve"> whereas the expression levels of HIF-1α were significantly increased in PE placental tissues and significantly decreased in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18b mimic-transfected HTR-8/SVneo cells. Overexpression of miR-18b inhibited the expression of HIF-1α and reduced the cell inva</w:instrText>
            </w:r>
            <w:r w:rsidR="00460963">
              <w:rPr>
                <w:rFonts w:eastAsia="Times New Roman"/>
                <w:sz w:val="18"/>
                <w:szCs w:val="18"/>
              </w:rPr>
              <w:instrText>sion, migration and viability of HTR-8/SVneo cells. However, inhibition of miR-18b expression promoted the expression of HIF-1α and increased the cell invasion, migration and total cellular metabolic activity of HTR-8/SVneo cells. The present study indicated that abnormal expression of HIF-1α exhibited in PE placental tissues was regulated by miR-18b. Furthermore miR-18b expression was demonstrated to affect cell invasion, migration and viability through target regulation of HIF-1α. The results of the present study suggest that miR-18b and HIF-1α may have important roles in the development of PE.","author":[{"dropping-particle":"","family":"Wang","given":"Shenglan","non-dropping-particle":"","parse-names":false,"suffix":""},{"dropping-particle":"","family":"Wang","given":"Xuemei","non-dropping-particle":"","parse-names":false,"suffix":""},{"dropping-particle":"","family":"Weng","given":"Zhanping","non-dropping-particle":"","parse-names":false,"suffix":""},{"dropping-particle":"","family":"Zhang","given":"Shuping","non-dropping-particle":"","parse-names":false,"suffix":""},{"dropping-particle":"","family":"Ning","given":"Hui","non-dropping-particle":"","parse-names":false,"suffix":""},{"dropping-particle":"","family":"Li","given":"Baolai","non-dropping-particle":"","parse-names":false,"suffix":""}],"container-title":"Experimental and Therapeutic Medicine","id":"ITEM-1","issue":"5","issued":{"date-parts":[["2017"]]},"page":"4554-4560","title":"Expression and role of microRNA 18b and hypoxia inducible factor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1α in</w:instrText>
            </w:r>
            <w:r w:rsidR="00460963">
              <w:rPr>
                <w:rFonts w:eastAsia="Times New Roman"/>
                <w:sz w:val="18"/>
                <w:szCs w:val="18"/>
              </w:rPr>
              <w:instrText xml:space="preserve"> placental tissues of preeclampsia patients","type":"article-journal","volume":"14"},"uris":["http://www.mendeley.com/documents/?uuid=6c203ae5-e5d5-31ba-be1e-5b9cf9b81a44"]}],"mendeley":{"formattedCitation":"(Wang et al., 2017)","plainTextFormattedCitation":"(Wang et al., 2017)","previouslyFormattedCitation":"(Wang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Transfection, Western blotting, Cell migration, MTT assay, Cell invasion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{"citationItems":[{"id":"ITEM-1","itemData":{"DOI":"10.1038/s41598-017-14180-8","abstract":"To profile the small RNA cargo carried by trophoblast debris derived from the placenta during normal and preeclamptic pregnancies and to determine whether trophoblast debris can deliver its small RNAs to endothelial cells with functional consequences. We confirmed that trophoblast debris can deliver its small RNAs contents to recipient endothelial cells during the co-culture. Next generation sequencing was employed to profile the small RNA contents in both normotensive and preeclamptic trophoblast debris. We identified 1278 mature miRNAs and 2646 non-miRNA small RNA fragments contained. Differential expression analysis identified 16 miRNAs (including miR-145), 5 tRNA fragments from 3 different tRNAs, 13 snRNA fragments and 85 rRNA fragments that were present in different levels between preeclamptic and normotensive trophoblast debris. We loaded a miR-145 mimic into normotensive trophoblast debris via transfection of placental explants from which the debris was derived and found the miR-145 loaded debris induced transcriptomic changes in endothelial cells similar to those induced by preeclamptic trophoblast debris. Trophoblast debris deported into maternal circulation can deliver its small RNA contents to maternal cells thereby contributing to feto-maternal communication. Small RNAs that are dysregulated in preeclamptic trophoblast debris might contribute to the endothelial cell activation which is a hallmark of preeclampsia.","author":[{"dropping-particle":"","family":"Wei","given":"Jia","non-dropping-particle":"","parse-names":false,"suffix":""},{"dropping-particle":"","family":"Blenkiron","given":"Cherie","non-dropping-particle":"","parse-names":false,"suffix":""},{"dropping-particle":"","family":"Tsai","given":"Peter","non-dropping-particle":"","parse-names":false,"suffix":""},{"dropping-particle":"","family":"James","given":"Joanna L.","non-dropping-particle":"","parse-names":false,"suffix":""},{"dropping-particle":"","family":"Chen","given":"Qi","non-dropping-particle":"","parse-names":false,"suffix":""},{"dropping-particle":"","family":"Stone","given":"Peter R.","non-dropping-particle":"","parse-names":false,"suffix":""},{"dropping-particle":"","family":"Chamley","given":"Lawrence W.","non-dropping-particle":"","parse-names":false,"suffix":""}],"container-title":"Scientific Reports","id":"ITEM-1","issue":"1","issued":{"date-parts":[["2017"]]},"page":"14681","title":"Placental trophoblast debris mediated feto-maternal signalling via small RNA delivery: Implications for preeclampsia","type":"article-journal","volume":"7"},"uris":["http://www.mendeley.com/documents/?uuid=c1892c6e-fa0e-3f5e-a9ce-d6edb57a2268"]}],"mendeley":{"formattedCitation":"(Wei et al., 2017)","plainTextFormattedCitation":"(Wei et al., 2017)","previouslyFormattedCitation":"(Wei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(Wei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Illumina HiSeq 2500 System Rapid with</w:t>
            </w:r>
            <w:r w:rsidRPr="000710F5">
              <w:rPr>
                <w:rFonts w:eastAsia="Times New Roman"/>
                <w:sz w:val="18"/>
                <w:szCs w:val="18"/>
              </w:rPr>
              <w:br/>
              <w:t>1 × 100 base single end sequenci</w:t>
            </w:r>
            <w:r w:rsidR="001E29D7">
              <w:rPr>
                <w:rFonts w:eastAsia="Times New Roman"/>
                <w:sz w:val="18"/>
                <w:szCs w:val="18"/>
              </w:rPr>
              <w:t>–</w:t>
            </w:r>
            <w:r w:rsidRPr="000710F5">
              <w:rPr>
                <w:rFonts w:eastAsia="Times New Roman"/>
                <w:sz w:val="18"/>
                <w:szCs w:val="18"/>
              </w:rPr>
              <w:t xml:space="preserve">g </w:t>
            </w:r>
            <w:r w:rsidR="00E75C2B">
              <w:rPr>
                <w:rFonts w:eastAsia="Times New Roman"/>
                <w:sz w:val="18"/>
                <w:szCs w:val="18"/>
              </w:rPr>
              <w:t>–</w:t>
            </w:r>
            <w:r w:rsidRPr="000710F5">
              <w:rPr>
                <w:rFonts w:eastAsia="Times New Roman"/>
                <w:sz w:val="18"/>
                <w:szCs w:val="18"/>
              </w:rPr>
              <w:t xml:space="preserve"> RNA deep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{"citationItems":[{"id":"ITEM-1","itemData":{"DOI":"10.1016/j.biopha.2017.07.130","abstract":"Previous studies indicated that microRNAs (miRNAs) were aberrantly expressed in the placentas of patients with Preeclampsia (PE); however, the underlying mechanism still requires further investigation. The aim of this study is to investigate the roles of miR-144 in preeclampsia and the related mechanism. The expression of miR-144 and PTEN in 30 placentas of patients with PE and 30 normal placentas was compared; next, HTR8/SVneo cells were transfected with miR-144 mimics and miR-144 inhibitors and cultured for 48 h, and the proliferation and apoptosis, cell migration and invasion of the cells were examined; furthermore, the expression PTEN, Caspase-3 and Bcl-2 was examined; next, dual luciferase reporter assay has been performed to confirm that PTEN is a direct target of miR-144; finally, HTR-8/SVneo cells were transfected with either PTEN overexpression plasmid or PTEN RNAi to determine whether knockdown or overexpression of PTEN can mimic the effect of miR-144 We have observed that the expression of miR-144 was significantly decreased and the expression of PTEN was markedly increased in placentas of patients with PE compared with normal placentas; moreover, transfection of miR-144 mimics in trophoblastic cells induced significant increase in cell proliferation, migration, invasion, and decrease in cell apoptosis, and also affected the cell cycles; on the other hand, transfection of miR-144 inhibitors has shown the opposite effects; furthermore, transient overexpression of miR-144 induced marked decrease in the expression of PTEN, Caspase-3 and increase in expression of Bcl-2 (P &lt; 0.01), while transfection of miR-144 inhibitors showed the opposite effects; finally, PTEN has been confirmed as a direct target of miR-144; finally, transfection of PTEN overexpression plasmid or PTEN RNAi can mimic the results of miR-144 inhibitor or miR-144 mimics, respectively. In conclusion, miR-144 was down-regulated in PE, and miR-144 may play important roles in the pathogenesis of PE through targeting PTEN in trophoblastic cells. These results suggested that miR-144 has the potential to become a therapeutic target for the treatment of PE.","author":[{"dropping-particle":"","family":"Xiao","given":"Jianping","non-dropping-particle":"","parse-names":false,"suffix":""},{"dropping-particle":"","family":"Tao","given":"Tao","non-dropping-particle":"","parse-names":false,"suffix":""},{"dropping-particle":"","family":"Yin","given":"Yongxiang","non-dropping-particle":"","parse-names":false,"suffix":""},{"dropping-particle":"","family":"Zhao","given":"Li","non-dropping-particle":"","parse-names":false,"suffix":""},{"dropping-particle":"","family":"Yang","given":"Lan","non-dropping-particle":"","parse-names":false,"suffix":""},{"dropping-particle":"","family":"Hu","given":"Lingqing","non-dropping-particle":"","parse-names":false,"suffix":""}],"container-title":"Biomedicine and Pharmacotherapy","id":"ITEM-1","issued":{"date-parts":[["2017"]]},"page":"341-353","title":"miR-144 may regulate the proliferation, migration and invasion of trophoblastic cells through targeting PTEN in preeclampsia","type":"article-journal","volume":"94"},"uris":["http://www.mendeley.com/documents/?uuid=d6054682-7e75-374c-994e-6c9785af9858"]}],"mendeley":{"formattedCitation":"(Xiao et al., 2017)","plainTextFormattedCitation":"(Xiao et al., 2017)","previouslyFormattedCitation":"(Xiao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(Xiao et al.,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transfection, Knockdown and overexpression of PTEN in HTR</w:t>
            </w:r>
            <w:r w:rsidR="001E29D7" w:rsidRPr="000710F5">
              <w:rPr>
                <w:rFonts w:eastAsia="Times New Roman"/>
                <w:sz w:val="18"/>
                <w:szCs w:val="18"/>
              </w:rPr>
              <w:t>8</w:t>
            </w:r>
            <w:r w:rsidRPr="000710F5">
              <w:rPr>
                <w:rFonts w:eastAsia="Times New Roman"/>
                <w:sz w:val="18"/>
                <w:szCs w:val="18"/>
              </w:rPr>
              <w:t>/S</w:t>
            </w:r>
            <w:r w:rsidR="00E75C2B" w:rsidRPr="000710F5">
              <w:rPr>
                <w:rFonts w:eastAsia="Times New Roman"/>
                <w:sz w:val="18"/>
                <w:szCs w:val="18"/>
              </w:rPr>
              <w:t>v</w:t>
            </w:r>
            <w:r w:rsidRPr="000710F5">
              <w:rPr>
                <w:rFonts w:eastAsia="Times New Roman"/>
                <w:sz w:val="18"/>
                <w:szCs w:val="18"/>
              </w:rPr>
              <w:t>neo cells, Western blotting, Cell proliferation, EdU staining, Cell apoptosis,Wound healing and transwell assays, Dual luciferase reporter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{"citationItems":[{"id":"ITEM-1","itemData":{"abstract":"Aims: The present study is to measure the expression of Endoglin and microRNA (miR)-370 in the peripheral blood and placental tissues in patients with preeclampsia (PE). The regulation of Endoglin by miR-370 is also investigated to elucidate the clinical significance of miR-370 in the occurrence and development of PE. Methods: A total of 25 PE patients and 25 normal pregnant women were included in the present study. HTR-8/SVneo cells were cultured for transfection and following studies. To measure the levels of Endoglin mRNA and miR-370, quantitative real-time polymerase chain reaction was used. To determine Endoglin protein expression, Western blotting was carried out. Enzyme-linked immunosorbent assay was employed to detect the concentration of Endoglin in serum. The effects of miR-370 on the invasion ability and proliferation of HTR-8/SVneo cell cells were examined using Transwell assay and MTT assay, respectively. Results: Endoglin mRNA and miR-370 levels in PE placental tissues were significantly different from those in normal placental tissues. PE patients had higher expression of Endoglin in peripheral blood circulation system than normal subjects. Overexpression of miR-370 interrupted Endoglin gene transcription and translation. In addition, miR-370 overexpression inhibited the motility and proliferation of HTR-8/ SVneo cells. Conclusions: The present study demonstrates that abnormal expression of Endoglin in peripheral blood and placental tissues of PE patients is related to miR-370. Abnormal expression of miR-370 affects the invasion and proliferation of HTR-8/SVneo cells by regulating the expression of Endoglin, playing important roles in the occurrence and development of PE.","author":[{"dropping-particle":"","family":"Xu","given":"Haiyan","non-dropping-particle":"","parse-names":false,"suffix":""},{"dropping-particle":"","family":"Zhang","given":"Xia","non-dropping-particle":"","parse-names":false,"suffix":""}],"container-title":"Int J Clin Exp Med","id":"ITEM-1","issue":"3","issued":{"date-parts":[["2017"]]},"page":"4943-4949","title":"Abnormal expression of microRNA-370 regulates Endoglin expression in preeclampsia","type":"article-journal","volume":"10"},"uris":["http://www.mendeley.com/documents/?uuid=6b6ffcaa-2a0a-3371-a8b8-5ce6216efc07"]}],"mendeley":{"formattedCitation":"(Xu and Zhang, 2017)","plainTextFormattedCitation":"(Xu and Zhang, 2017)","previouslyFormattedCitation":"(Xu and Zhang,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(Xu and Zhang, 2017)</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 ELISA, Transwell assa, MTT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{"citationItems":[{"id":"ITEM-1","itemData":{"DOI":"10.1097/MD.0000000000006509","abstract":"Background: This study aimed to explore the correlation between microRNA-155 (miR-155), interleukin 17A (IL-17), and late preeclampsia (PE) using biochemical parameters in maternal serum and urine. Methods: Sixty patients with PE were recruited to this study and were divided into 3 groups according to levels of urinary protein: mild urinary protein group (group A); moderate urinary protein group (group B); and severe urinary protein group (group C). All subjects presented with late onset PE (≥32 weeks). In addition, 20 healthy pregnant women were recruited as a normal group (NP). Maternal serum and urine samples were obtained from all participants and assayed using immunofluorescence, transmission electron and immune electron microscopy, and western blot. Furthermore, placentas were also collected and miR-155 and IL-17 expression was measured using an enzyme-linked immunosorbent assay. Results: Levels of miR-155 and IL-17 expression were found to be increased in PE placentas and serum, compared to the normal group (P &lt;.05). IL-17 levels and podocytes had a positive association in the serum of patients with PE. In addition, over-expression of miR-155 resulted in increased IL-17 production by CD4+ T cells in vitro, and nephrin expression was decreased in podocytes. Furthermore, IL-17 reduced nephrin expression in podocytes and podocyte apoptosis in a dose and time-dependent manner. Conclusion: The results of this study demonstrate a correlation between miR-155 and IL-17 in the formation of proteinuria during late onset PE.","author":[{"dropping-particle":"","family":"Yang","given":"Xu","non-dropping-particle":"","parse-names":false,"suffix":""},{"dropping-particle":"","family":"Zhang","given":"Jie","non-dropping-particle":"","parse-names":false,"suffix":""},{"dropping-particle":"","family":"Ding","given":"Yiling","non-dropping-particle":"","parse-names":false,"suffix":""}],"container-title":"Medicine (United States)","id":"ITEM-1","issue":"18","issued":{"date-parts":[["2017"]]},"page":"e6509","title":"Association of microRNA-155, interleukin 17A, and proteinuria in preeclampsia","type":"article-journal","volume":"96"},"uris":["http://www.mendeley.com/documents/?uuid=2d4dce75-482a-3eea-a7d4-0fbf5cd6a6a3"]}],"mendeley":{"formattedCitation":"(Yang et al., 2017)","plainTextFormattedCitation":"(Yang et al., 2017)","previouslyFormattedCitation":"(Yang et al., 2017)"},"properties":{"noteIndex":0},"schema":"https://github.com/citation-style-language/schema/raw/master/csl-citation.json"}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et al., 2017)</w:t>
            </w:r>
            <w:r>
              <w:rPr>
                <w:rFonts w:eastAsia="Times New Roman"/>
                <w:sz w:val="18"/>
                <w:szCs w:val="18"/>
              </w:rPr>
              <w:fldChar w:fldCharType="end"/>
            </w:r>
          </w:p>
        </w:tc>
        <w:tc>
          <w:tcPr>
            <w:tcW w:w="3100" w:type="dxa"/>
            <w:shd w:val="clear" w:color="auto" w:fill="auto"/>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GAPDH</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u w:val="single"/>
              </w:rPr>
            </w:pPr>
            <w:r>
              <w:rPr>
                <w:rFonts w:eastAsia="Times New Roman"/>
                <w:sz w:val="18"/>
                <w:szCs w:val="18"/>
                <w:u w:val="single"/>
              </w:rPr>
              <w:fldChar w:fldCharType="begin" w:fldLock="1"/>
            </w:r>
            <w:r w:rsidR="00460963">
              <w:rPr>
                <w:rFonts w:eastAsia="Times New Roman"/>
                <w:sz w:val="18"/>
                <w:szCs w:val="18"/>
                <w:u w:val="single"/>
              </w:rPr>
              <w:instrText>ADDIN CSL_CITATION {"citationItems":[{"id":"ITEM-1","itemData":{"DOI":"10.1016/j.ymthe.2018.07.009","abstract":"Preeclampsia (PE) is the leading cause of maternal and neonatal morbidity and mortality. Defects in trophoblast invasion, differentiation of endovascular extravillous trophoblasts (enEVTs), and spiral artery remodeling are key factors in PE development. There are no markers clinically available to predict PE, leaving expedited delivery as the only effective therapy. Dysregulation of miRNA in clinical tissues and maternal circulation have opened a new avenue for biomarker discovery. In this study, we investigated the role of miR-218-5p in PE development. miR-218-5p was highly expressed in EVTs and significantly downregulated in PE placentas. Using first-trimester trophoblast cell lines and human placental explants, we found that miR-218-5p overexpression promoted, whereas anti-miR-218-5p suppressed, trophoblast invasion, EVT outgrowth, and enEVT differentiation. Furthermore, miR-218-5p accelerated spiral artery remodeling in a decidua-placenta co-culture. The effect of miR-218-5p was mediated by the suppression of transforming growth factor (TGF)-β2 signaling. Silencing of TGFB2 mimicked, whereas treatment with TGF-β2 partially reversed, the effects of miR-218-5p. Taken together, these findings demonstrate that miR-218-5p promotes trophoblast invasion and enEVT differentiation through a novel miR-218-5p-TGF-β2 pathway. This study elucidates the role of an miRNA in enEVT differentiation and spiral artery remodeling and suggests that downregulation of miR-218-5p contributes to PE development. Defects in endovascular trophoblast (enEVT) differentiation and subsequent spiral artery remodeling are major causes of preeclampsia. Brkić et al. elucidate how an miRNA regulates enEVT differentiation. Their findings suggest a critical role of miR-218-5p in normal spiral artery remodeling and in the pathogenesis of preeclampsia.","author":[{"dropping-particle":"","family":"Brkić","given":"Jelena","non-dropping-particle":"","parse-names":false,"suffix":""},{"dropping-particle":"","family":"Dunk","given":"Caroline","non-dropping-particle":"","parse-names":false,"suffix":""},{"dropping-particle":"","family":"O'Brien","given":"Jacob","non-dropping-particle":"","parse-names":false,"suffix":""},{"dropping-particle":"","family":"Fu","given":"Guodong","non-dropping-particle":"","parse-names":false,"suffix":""},{"dropping-particle":"","family":"Nadeem","given":"Lubna","non-dropping-particle":"","parse-names":false,"suffix":""},{"dropping-particle":"","family":"Wang","given":"Yan ling","non-dropping-particle":"","parse-names":false,"suffix":""},{"dropping-particle":"","family":"Rosman","given":"David","non-dropping-particle":"","parse-names":false,"suffix":""},{"dropping-particle":"","family":"Salem","given":"Mohamed","non-dropping-particle":"","parse-names":false,"suffix":""},{"dropping-particle":"","family":"Shynlova","given":"Oksana","non-dropping-particle":"","parse-names":false,"suffix":""},{"dropping-particle":"","family":"Yougbaré","given":"Issaka","non-dropping-particle":"","parse-names":false,"suffix":""},{"dropping-particle":"","family":"Ni","given":"Heyu","non-dropping-particle":"","parse-names":false,"suffix":""},{"dropping-particle":"","family":"Lye","given":"Stephen J.","non-dropping-particle":"","parse-names":false,"suffix":""},{"dropping-particle":"","family":"Peng","given":"Chun","non-dropping-particle":"","parse-names":false,"suffix":""}],"container-title":"Molecular Therapy","id":"ITEM-1","issue":"9","issued":{"date-parts":[["2018"]]},"page":"2189-2205","title":"MicroRNA-218-5p Promotes Endovascular Trophoblast Differentiation and Spiral Artery Remodeling","type":"article-journal","volume":"26"},"uris":["http://www.mendeley.com/documents/?uuid=2146ec15-632a-3de5-a05e-e20d2f8b35f2"]}],"mendeley":{"formattedCitation":"(Brkić et al., 2018)","plainTextFormattedCitation":"(Brkić et al., 2018)","previouslyFormattedCitation":"(Brkić et al., 2018)"},"properties":{"noteIndex":0},"schema":"https://github.com/citation-style-language/schema/raw/master/csl-citation.json"}</w:instrText>
            </w:r>
            <w:r>
              <w:rPr>
                <w:rFonts w:eastAsia="Times New Roman"/>
                <w:sz w:val="18"/>
                <w:szCs w:val="18"/>
                <w:u w:val="single"/>
              </w:rPr>
              <w:fldChar w:fldCharType="separate"/>
            </w:r>
            <w:r w:rsidR="00D0073D" w:rsidRPr="00D0073D">
              <w:rPr>
                <w:rFonts w:eastAsia="Times New Roman"/>
                <w:noProof/>
                <w:sz w:val="18"/>
                <w:szCs w:val="18"/>
              </w:rPr>
              <w:t>(Brkić et al., 2018)</w:t>
            </w:r>
            <w:r>
              <w:rPr>
                <w:rFonts w:eastAsia="Times New Roman"/>
                <w:sz w:val="18"/>
                <w:szCs w:val="18"/>
                <w:u w:val="single"/>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247AFE" w:rsidP="009B2A14">
            <w:pPr>
              <w:spacing w:after="0"/>
              <w:jc w:val="center"/>
              <w:rPr>
                <w:rFonts w:eastAsia="Times New Roman"/>
                <w:sz w:val="18"/>
                <w:szCs w:val="18"/>
                <w:u w:val="single"/>
              </w:rPr>
            </w:pP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{"citationItems":[{"id":"ITEM-1","itemData":{"DOI":"10.3892/etm.2018.6890","abstract":"Preeclampsia (PE) is the leading cause of maternal and fetal mortality and morbidity. Furthermore, recent studies have reported that miR-145 within the preeclamptic trophoblast debris may cause the high blood pressure via interacting with the maternal endothelium. The aim of the present study was to investigate the functions of miR-145 in PE. Reverse transcription-quantitative polymerase chain reaction and western blotting were used to assess the expression of miR-145 and mucin (MUC1), respectively. TargetScan, miRBase and miRWalk were used to predict the targets of miR-145. Constructed miR-145 mimic plasmids were transfected into HTR-8/SVneo cells for further experiments, including an MTT assay for cell proliferation, Transwell assay for cell invasion and flow cytometry for cell apoptosis analysis. Additionally, the luciferase reporter gene system was employed for target verification. The results demonstrated that miR-145 is downregulated and MUC1 is upregulated in PE tissues and cells compared with normal placenta tissues and cells. The correlation analysis suggests that the expression of miR-145 is negatively correlated with MUC1. Meanwhile, increased proliferation, enhanced invasion and decreased apoptosis of HTR-8/SVneo cells was observed in miR-145 mimic groups compared with mimic control group. Also, the decreased luciferase activity in the miR-145 mimic group indicates that MUC1 may be a target of miR-145. In summary, the results of the present study suggest that miR-145 may serve key roles in the regulation of trophoblast cell proliferation and invasion by targeting MUC1.","author":[{"dropping-particle":"","family":"Chi","given":"Zhenjing","non-dropping-particle":"","parse-names":false,"suffix":""},{"dropping-particle":"","family":"Zhang","given":"Muling","non-dropping-particle":"","parse-names":false,"suffix":""}],"container-title":"Experimental and Therapeutic Medicine","id":"ITEM-1","issue":"6","issued":{"date-parts":[["2018"]]},"page":"5298-5304","title":"Exploration of the regulation and control mechanisms of mir-145 in trophoblast cell proliferation and invasion","type":"article-journal","volume":"16"},"uris":["http://www.mendeley.com/documents/?uuid=f445d8e2-7dd4-3c8d-88bc-72d773a0a647"]}],"mendeley":{"formattedCitation":"(Chi and Zhang, 2018)","plainTextFormattedCitation":"(Chi and Zhang, 2018)","previouslyFormattedCitation":"(Chi and Zhang,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(Chi and Zhang,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MiR‐145 target gene predictions, Western blotting, MTT assay for HTR‐</w:t>
            </w:r>
            <w:r w:rsidR="001E29D7" w:rsidRPr="000710F5">
              <w:rPr>
                <w:rFonts w:eastAsia="Times New Roman"/>
                <w:sz w:val="18"/>
                <w:szCs w:val="18"/>
              </w:rPr>
              <w:t>8</w:t>
            </w:r>
            <w:r w:rsidRPr="000710F5">
              <w:rPr>
                <w:rFonts w:eastAsia="Times New Roman"/>
                <w:sz w:val="18"/>
                <w:szCs w:val="18"/>
              </w:rPr>
              <w:t>/S</w:t>
            </w:r>
            <w:r w:rsidR="00E75C2B" w:rsidRPr="000710F5">
              <w:rPr>
                <w:rFonts w:eastAsia="Times New Roman"/>
                <w:sz w:val="18"/>
                <w:szCs w:val="18"/>
              </w:rPr>
              <w:t>v</w:t>
            </w:r>
            <w:r w:rsidRPr="000710F5">
              <w:rPr>
                <w:rFonts w:eastAsia="Times New Roman"/>
                <w:sz w:val="18"/>
                <w:szCs w:val="18"/>
              </w:rPr>
              <w:t>neo cell proliferation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{"citationItems":[{"id":"ITEM-1","itemData":{"DOI":"10.1002/jcb.26282","abstract":"Preeclampsia (PE) is a serious pregnancy complication that continues to adverse effects on mother and the fetus. The study investigated the effect of microRNA let-7d (miR-let-7d) on the proliferation and invasion of trophoblast cells (TC) in PE. In situ hybridization techniques were employed to evaluate the miR-let-7d expressions in the placental tissues from 63 PE patients as well as 65 normal placental tissues. Transfection of pre-let-7d, anti-let-7d, and their corresponding control sequences was performed in TCs obtained from PE. The blank group was composed of TCs no transfection and normal group consisted of normal TCs. Expressions of proliferation and invasion markers in TCs were detected by qRT-PCR. Proliferation, apoptosis, and the invasion ability of the TCs were determined using a CCK-8 assay, flow cytometry, and Transwell assay. In comparison to the normal placental tissues, PE placental tissues exhibited increased levels of let-7d expression. Following transfection of anti-let-7d, when compared with the blank group, the anti-let-7d group displayed increased levels of proliferation ability, expression of proliferation labeling proteins PCNA and Ki67, number of TCs as well as expressions of the invasion related proteins MMP-2, MMP-9, and TIMP-1. In contrast declines in cell apoptosis rate were observed. Compared with the blank group, the changes of the indexes were reversed in the pre-let-7d group. The study provided evidence suggesting that low expression levels of miR-let-7d plays a central role in suppressing apoptosis in addition to promoting the proliferation and invasion of PE TCs.","author":[{"dropping-particle":"","family":"Dai","given":"Xu","non-dropping-particle":"","parse-names":false,"suffix":""},{"dropping-particle":"","family":"Cai","given":"Yan","non-dropping-particle":"","parse-names":false,"suffix":""}],"container-title":"Journal of Cellular Biochemistry","id":"ITEM-1","issue":"1","issued":{"date-parts":[["2018"]]},"page":"1141-1151","title":"Down-regulation of microRNA let-7d inhibits the proliferation and invasion of trophoblast cells in preeclampsia","type":"article-journal","volume":"119"},"uris":["http://www.mendeley.com/documents/?uuid=7948d5a2-262f-33c0-a87c-f7504dec2ed4"]}],"mendeley":{"formattedCitation":"(Dai and Cai, 2018)","plainTextFormattedCitation":"(Dai and Cai, 2018)","previouslyFormattedCitation":"(Dai and Cai,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(Dai and Cai,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in situ hybridization then qRT-PCR</w:t>
            </w:r>
            <w:r w:rsidRPr="000710F5">
              <w:rPr>
                <w:rFonts w:eastAsia="Times New Roman"/>
                <w:sz w:val="18"/>
                <w:szCs w:val="18"/>
              </w:rPr>
              <w:br/>
              <w:t>in situ PE vs Controls, but qRT-PCR no comparison between groups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Transfection, In situ hybridization assay, Western blotting, Transwell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283825">
              <w:rPr>
                <w:rFonts w:eastAsia="Times New Roman"/>
                <w:sz w:val="18"/>
                <w:szCs w:val="18"/>
              </w:rPr>
              <w:instrText>ADDIN CSL_CITATION {"citationItems":[{"id":"ITEM-1","itemData":{"DOI":"10.26355/eurrev_201810_16132","author":[{"dropping-particle":"","family":"Fang","given":"YN","non-dropping-particle":"","parse-names":false,"suffix":""},{"dropping-particle":"","family":"Huang","given":"ZI","non-dropping-particle":"","parse-names":false,"suffix":""},{"dropping-particle":"","family":"Tan","given":"WB","non-dropping-particle":"","parse-names":false,"suffix":""},{"dropping-particle":"","family":"Zhang","given":"QG","non-dropping-particle":"","parse-names":false,"suffix":""},{"dropping-particle":"","family":"L","given":"Wang","non-dropping-particle":"","parse-names":false,"suffix":""},{"dropping-particle":"","family":"Wu","given":"JL","non-dropping-particle":"","parse-names":false,"suffix":""}],"container-title":"European Review for Medical and Pharmacological Sciences","id":"ITEM-1","issued":{"date-parts":[["2018"]]},"page":"6583-6590","title":"High expression of miR-182-5p promotes preeclampsia progression","type":"article-journal","volume":"22"},"uris":["http://www.mendeley.com/documents/?uuid=6e223474-9e7f-375b-9061-2dbc3b6f127d"]}],"mendeley":{"formattedCitation":"(Fang et al., 2018)","plainTextFormattedCitation":"(Fang et al., 2018)","previouslyFormattedCitation":"(Fang, Y.-N, Huang Z.-I, Tan W.-B., ZHANG Q.-G., WANG L., 2018)"},"properties":{"noteIndex":0},"schema":"https://github.com/citation-style-language/schema/raw/master/csl-citation.json"}</w:instrText>
            </w:r>
            <w:r>
              <w:rPr>
                <w:rFonts w:eastAsia="Times New Roman"/>
                <w:sz w:val="18"/>
                <w:szCs w:val="18"/>
              </w:rPr>
              <w:fldChar w:fldCharType="separate"/>
            </w:r>
            <w:r w:rsidR="00283825" w:rsidRPr="00283825">
              <w:rPr>
                <w:rFonts w:eastAsia="Times New Roman"/>
                <w:noProof/>
                <w:sz w:val="18"/>
                <w:szCs w:val="18"/>
              </w:rPr>
              <w:t>(Fang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Transfection Experiments, Western Blot Assay, Wound Healing Test, Transwell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10.26355/eurrev_201803_14557","author":[{"dropping-particle":"","family":"Gao","given":"X","non-dropping-particle":"","parse-names":false,"suffix":""},{"dropping-particle":"","family":"Li","given":"H","non-dropping-particle":"","parse-names":false,"suffix":""},{"dropping-particle":"","family":"Wei","given":"J.-X","non-dropping-particle":"","parse-names":false,"suffix":""}],"container-title":"Eur Rev Med Pharmacol Sci","id":"ITEM-1","issue":"6","issued":{"date-parts":[["2018"]]},"page":"1533-1540","title":"MiR-4421 regulates the progression of preeclampsia by regulating CYP11B2","type":"article-journal","volume":"22"},"uris":["http://www.mendeley.com/documents/?uuid=9db051f8-e62e-3e8c-b7c9-1f5d88470554"]}],"mendeley":{"formattedCitation":"(Gao et al., 2018a)","plainTextFormattedCitation":"(Gao et al., 2018a)","previouslyFormattedCitation":"(Gao et al., 2018a)"},"properties":{"noteIndex":0},"schema":"https://github.com/citation-style-language/schema/raw/master/csl-citation.json"}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(Gao et al., 2018a)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Transfection, CCK8 Assay for Cell Proliferation, Cell Cycle Assay, Apoptosis Assay,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GAPDH</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{"citationItems":[{"id":"ITEM-1","itemData":{"DOI":"10.1016/j.biopha.2017.11.053","abstract":"Pre-eclampsia (PE), a pregnancy-associated disorder, is a major contributor to maternal mortality and morbidity worldwide. Recently, microRNAs (miRNAs) were found to be associated with the pathogenesis of PE. The present study investigated the function of miR-299 in HTR-8/SVneo trophoblast cells and explored its underlying mechanism in the pathogenesis of PE. The miR-299 and histone deacetylase 2 (HDAC2) mRNA expression levels were determined by quantitative real-time PCR. Transwell invasion and wound healing assays were used to measure cell invasive and migratory ability. Luciferase reporter assay was performed to confirm the downstream targets of miR-299. Western blot was performed to measure the protein expression of HDAC2. The expression level of miR-299 in placental tissues from pregnant women with severe PE was significantly higher than that from normal pregnant women. MiR-299 overexpression suppressed the invasion and migration of trophoblast cells; and knock-down of miR-299 promoted the invasion and migration of trophoblast cells. Bioinformatics prediction and luciferase reporter assay confirmed that miR-299 directly targeted the 3′ untranslated region of HDAC2. The mRNA expression level of HDAC2 in placental tissues from pregnant women with severe PE was significantly lower than that from normal pregnant women, and was negatively correlated the expression level of miR-299 in placental tissues from pregnant women with severe PE. HDAC2 siRNA transfection suppressed the mRNA and protein expression levels of HDAC in trophoblast cells compared with control group, and HDAC2 siRNA transfection also suppressed the trophoblast cell invasion and migration compared with control group. Enforced expression of HDAC2 in trophoblast cells attenuated the inhibitory effects of miR-299 overexpression on cell invasion and migration. In summary, the results showed the up-regulation of miR-299 in the placental tissues from women with severe PE and miR-299 suppressed the invasion and migration of trophoblast cells partly via targeting HDAC2.","author":[{"dropping-particle":"","family":"Gao","given":"Yu","non-dropping-particle":"","parse-names":false,"suffix":""},{"dropping-particle":"","family":"She","given":"Ruilian","non-dropping-particle":"","parse-names":false,"suffix":""},{"dropping-particle":"","family":"Wang","given":"Qian","non-dropping-particle":"","parse-names":false,"suffix":""},{"dropping-particle":"","family":"Li","given":"Yan","non-dropping-particle":"","parse-names":false,"suffix":""},{"dropping-particle":"","family":"Zhang","given":"Haiying","non-dropping-particle":"","parse-names":false,"suffix":""}],"container-title":"Biomedicine and Pharmacotherapy","id":"ITEM-1","issued":{"date-parts":[["2018"]]},"page":"1222-1228","title":"Up-regulation of miR-299 suppressed the invasion and migration of HTR-8/SVneo trophoblast cells partly via targeting HDAC2 in pre-eclampsia","type":"article-journal","volume":"97"},"uris":["http://www.mendeley.com/documents/?uuid=ec074c4d-a422-36a0-af70-9b0039ae6fc7"]}],"mendeley":{"formattedCitation":"(Gao et al., 2018b)","plainTextFormattedCitation":"(Gao et al., 2018b)","previouslyFormattedCitation":"(Gao et al., 2018b)"},"properties":{"noteIndex":0},"schema":"https://github.com/citation-style-language/schema/raw/master/csl-citation.json"}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(Gao et al., 2018b)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MiRNAs, small interference RNAs (siRNAs), plasmids and transfection, Transwell invasion assay, Wound healing assay,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{"citationItems":[{"id":"ITEM-1","itemData":{"DOI":"10.1080/14767058.2018.1508439","abstract":"Purpose: Preeclampsia (PE) is a pregnancy specific disease soon after 20 weeks of gestation where major symptoms are hypertension and proteinuria. The underlying pathology is believed to be abnormal placentation. Epigenetic and genetic factors have significant roles in abnormal placental development. MicroRNA’s (miRNAs), being one of the most important epigenetic regulators, take part in abnormal placentation. Hsa-miR-195 is a molecule associated with abnormal placental growth mechanisms such as impaired cellular proliferation, inadequate trophoblastic invasion causing defective spiral artery remodeling, and apoptosis. We aimed to evaluate miRNA functions, namely miR-195 expression profile, in order to divulge PE pathogenesis. Methods: In this study, we extracted circulating miRNAs from maternal plasma and placenta from 20 PE patients and 20 normotensive pregnant women. miR-195 was quantified using quantitative real time reverse transcriptase PCR (qRT-PCR). The target genes of miR-195 were predicted by Diana Tools-mirPath, TargetScan, and miRDB databases. Results: We found that miR-195 levels were downregulated (3.83-fold decrease, p &lt;.05) in preeclamptic placenta samples, however miR-195 were undetected in preeclamptic and normotensive plasma samples. The steep down-regulation of miR-195 points to its importance of PE pathogenesis. Conclusion: miR-195 is suggested to regulate PE via its target genes manipulating biological processes such as placental proliferation, apoptosis, and angiogenesis. We propose that detection of decreased miR-195 levels in preeclamptic placentas could be used to enlighten the pathophysiology of PE.","author":[{"dropping-particle":"","family":"Gunel","given":"Tuba","non-dropping-particle":"","parse-names":false,"suffix":""},{"dropping-particle":"","family":"Kamali","given":"Nilufer","non-dropping-particle":"","parse-names":false,"suffix":""},{"dropping-particle":"","family":"Hosseini","given":"Mohammad K.","non-dropping-particle":"","parse-names":false,"suffix":""},{"dropping-particle":"","family":"Gumusoglu","given":"Ece","non-dropping-particle":"","parse-names":false,"suffix":""},{"dropping-particle":"","family":"Benian","given":"Ali","non-dropping-particle":"","parse-names":false,"suffix":""},{"dropping-particle":"","family":"Aydinli","given":"Kilic","non-dropping-particle":"","parse-names":false,"suffix":""}],"container-title":"Journal of Maternal-Fetal and Neonatal Medicine","id":"ITEM-1","issue":"6","issued":{"date-parts":[["2020"]]},"page":"901-908","title":"Regulatory effect of miR-195 in the placental dysfunction of preeclampsia","type":"article-journal","volume":"33"},"uris":["http://www.mendeley.com/documents/?uuid=a26f6a1b-a599-3ed3-a4d7-e65c533212fc"]}],"mendeley":{"formattedCitation":"(Gunel et al., 2020)","plainTextFormattedCitation":"(Gunel et al., 2020)","previouslyFormattedCitation":"(Gunel et al., 2020)"},"properties":{"noteIndex":0},"schema":"https://github.com/citation-style-language/schema/raw/master/csl-citation.json"}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(Gunel et al., 2020)</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{"citationItems":[{"id":"ITEM-1","itemData":{"DOI":"10.1016/j.placenta.2018.12.003","abstract":"Introduction: Preeclampsia (PE) is one of the leading causes of maternal and fetal mortality globally. The imbalance of trophoblast homeostasis is closely linked with the pathogenesis of PE. MicroRNA-423–5p (miR-423–5p) has been reported to be abnormally expressed in placenta and blood plasma of pregnant women with PE. In the present study, miR-423–5p expression in blood plasma of pregnant women with PE and healthy pregnant women was detected. Also, the roles and molecular mechanisms of miR-423–5p in the development of trophoblast cells were further investigated. Methods: Expression of miR-423–5p and insulin like growth factor 2 mRNA binding protein 1 (IGF2BP1) mRNA was detected by RT-qPCR assay. Protein expression of IGF2BP1, Bcl-2 and Bax was determined using western blot assay. Cell migratory and invasive capacities were assessed by transwell migration and invasion assay. Cell apoptotic rate was determined using flow cytometry via the double-staining of Annexin V-FITC/Propidium Iodide. The interaction between miR-423–5p and IGF2BP1 was demonstrated by bioinformatics analysis and luciferase reporter assay. Results: MiR-423–5p was highly expressed in blood plasma of pregnant women with PE. MiR-423–5p inhibited migration, invasion and proliferation as well as induced apoptosis in HTR-8/SVneo cells. Further investigation revealed that IGF2BP1 was a target of miR-423–5p. Moreover, IGF2BP1 overexpression promoted migration, invasion and proliferation, suppressed apoptosis, and weakened miR-423–5p function in HTR-8/SVneo cells. Discussion: MiR-423–5p inhibited migration, invasion and proliferation as well as induced apoptosis by targeting IGF2BP1 in HTR-8/SVneo cells, presenting a novel molecular basis implicated in PE pathogenesis.","author":[{"dropping-particle":"","family":"Guo","given":"Li","non-dropping-particle":"","parse-names":false,"suffix":""},{"dropping-particle":"","family":"Liu","given":"Yu","non-dropping-particle":"","parse-names":false,"suffix":""},{"dropping-particle":"","family":"Guo","given":"Ying","non-dropping-particle":"","parse-names":false,"suffix":""},{"dropping-particle":"","family":"Yang","given":"Yongkang","non-dropping-particle":"","parse-names":false,"suffix":""},{"dropping-particle":"","family":"Chen","given":"Biliang","non-dropping-particle":"","parse-names":false,"suffix":""}],"container-title":"Placenta","id":"ITEM-1","issued":{"date-parts":[["2018"]]},"page":"1-8","title":"MicroRNA-423–5p inhibits the progression of trophoblast cells via targeting IGF2BP1","type":"article-journal","volume":"74"},"uris":["http://www.mendeley.com/documents/?uuid=67f1e62c-a230-3c53-8aff-0da109c80f9f"]}],"mendeley":{"formattedCitation":"(Guo et al., 2018)","plainTextFormattedCitation":"(Guo et al., 2018)","previouslyFormattedCitation":"(Guo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(Guo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 CCK-8 assay, Cell apoptotic rate detection, Transwell migration and invasion assays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{"citationItems":[{"id":"ITEM-1","itemData":{"DOI":"10.1080/10641963.2018.1431257","abstract":"Objectives: The objective of this study was to determine microRNAs (miRNAs) expression levels in placental tissue and serum samples from preeclampsia (PE) and gestational hypertensive (GH) patients. Study design: Using a targeted qPCR method, the selected miRNAs putatively involved in the PE and GH were examined from normotensive (n = 32), PE (n = 32) and GH (n = 28) in South African women. Western blot analysis of protein expressions of AKT and PI3K was performed in the placental tissue of all three groups. Results: qPCR results of serum miR-222 expression levels showed a significant decrease in PE compared to GH and normotensive groups. miR-29a expression levels were significantly increased in PE and GH groups compared to normotensives. Serum expression levels of miR-181a in GH showed a significant increase compared to the PE and normotensive groups. Placental tissue expression levels of miR-181a were significantly increased in PE and GH groups compared to normotensives. Western blot results of placental tissue showed a decrease in the expression levels of AKT-serine and threonine in the PE groups compared to the normotensives and a significantly higher expression in the GH groups compared to normotensives. Phosphatidyl-inositol-3 kinase (PI3K) expression levels were significantly decreased in PE and GH groups compared to normotensives. Conclusion: The present study, interestingly, demonstrates the differential expression of circulating miRNA in GH and a correlation between the expression levels of miRNAs with AKT/PI3K in the insulin signaling pathway, reinforcing the presence of metabolic dysregulation in PE and GH.","author":[{"dropping-particle":"","family":"Khaliq","given":"Olive P.","non-dropping-particle":"","parse-names":false,"suffix":""},{"dropping-particle":"","family":"Murugesan","given":"Saravanakumar","non-dropping-particle":"","parse-names":false,"suffix":""},{"dropping-particle":"","family":"Moodley","given":"Jagidesa","non-dropping-particle":"","parse-names":false,"suffix":""},{"dropping-particle":"","family":"Mackraj","given":"Irene","non-dropping-particle":"","parse-names":false,"suffix":""}],"container-title":"Clinical and Experimental Hypertension","id":"ITEM-1","issue":"8","issued":{"date-parts":[["2018"]]},"page":"744-751","title":"Differential expression of miRNAs are associated with the insulin signaling pathway in preeclampsia and gestational hypertension","type":"article-journal","volume":"40"},"uris":["http://www.mendeley.com/documents/?uuid=1d4c407f-1244-3042-b679-81ec7fae086f"]}],"mendeley":{"formattedCitation":"(Khaliq et al., 2018)","plainTextFormattedCitation":"(Khaliq et al., 2018)","previouslyFormattedCitation":"(Khaliq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(Khaliq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 and cel-miR-39</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{"citationItems":[{"id":"ITEM-1","itemData":{"DOI":"10.1074/jbc.RA118.005197","abstract":"Inflammatory cytokines, including tumor necrosis factor- (TNF), were elevated in patients with cardiovascular diseases and are also considered as crucial factors in the pathogenesis of preeclampsia; however, the underlying pathogenic mechanism has not been clearly elucidated. This study provides novel evidence that TNF leads to endothelial dysfunction associated with hypertension and vascular remodeling in preeclampsia through down-regulation of endothelial nitric-oxide synthase (eNOS) by NF-B– dependent biogenesis of microRNA (miR)-31-5p, which targets eNOS mRNA. In this study, we found that miR-31-5p was up-regulated in sera from patients with preeclampsia and in human endothelial cells treated with TNF. TNF-mediated induction of miR-31-5p was blocked by an NF-B inhibitor and NF-B p65 knockdown but not by mito-gen-activated protein kinase (MAPK) and phosphatidylinositol 3-kinase inhibitors, indicating that NF-B is essential for biogenesis of miR-31-5p. The treatment of human endothelial cells with TNF or miR-31-5p mimics decreased endothelial nitric-oxide synthase (eNOS) mRNA stability without affecting eNOS promoter activity, resulting in inhibition of eNOS expression and NO/cGMP production through blocking of the functional activity of the eNOS mRNA 3-UTR. Moreover, TNF and miR-31-5p mimic evoked endothelial dysfunction associated with defects in angiogenesis, trophoblastic invasion, and vasorelaxation in an ex vivo cultured model of human placental arterial vessels, which are typical features of preeclampsia. These results suggest that NF-B–responsive miR-31-5p elicits endothelial dysfunction, hypertension, and vascular remodeling via post-transcriptional down-regulation of eNOS and is a molecular risk factor in the pathogenesis and development of preeclampsia.","author":[{"dropping-particle":"","family":"Kim","given":"Suji","non-dropping-particle":"","parse-names":false,"suffix":""},{"dropping-particle":"","family":"Lee","given":"Kyu Sun","non-dropping-particle":"","parse-names":false,"suffix":""},{"dropping-particle":"","family":"Choi","given":"Seunghwan","non-dropping-particle":"","parse-names":false,"suffix":""},{"dropping-particle":"","family":"Kim","given":"Joohwan","non-dropping-particle":"","parse-names":false,"suffix":""},{"dropping-particle":"","family":"Lee","given":"Dong Keon","non-dropping-particle":"","parse-names":false,"suffix":""},{"dropping-particle":"","family":"Park","given":"Minsik","non-dropping-particle":"","parse-names":false,"suffix":""},{"dropping-particle":"","family":"Park","given":"Wonjin","non-dropping-particle":"","parse-names":false,"suffix":""},{"dropping-particle":"","family":"Kim","given":"Tae Hoon","non-dropping-particle":"","parse-names":false,"suffix":""},{"dropping-particle":"","family":"Hwang","given":"Jong Yun","non-dropping-particle":"","parse-names":false,"suffix":""},{"dropping-particle":"","family":"Won","given":"Moo Ho","non-dropping-particle":"","parse-names":false,"suffix":""},{"dropping-particle":"","family":"Lee","given":"Hansoo","non-dropping-particle":"","parse-names":false,"suffix":""},{"dropping-particle":"","family":"Ryoo","given":"Sungwoo","non-dropping-particle":"","parse-names":false,"suffix":""},{"dropping-particle":"","family":"Ha","given":"Kwon Soo","non-dropping-particle":"","parse-names":false,"suffix":""},{"dropping-particle":"","family":"Kwon","given":"Young Guen","non-dropping-particle":"","parse-names":false,"suffix":""},{"dropping-particle":"","family":"Kim","given":"Young Myeong","non-dropping-particle":"","parse-names":false,"suffix":""}],"container-title":"Journal of Biological Chemistry","id":"ITEM-1","issue":"49","issued":{"date-parts":[["2018"]]},"page":"18989-19000","title":"NF-B–responsive miRNA-31-5p elicits endothelial dysfunction associated with preeclampsia via downregulation of endothelial nitric-oxide synthase","type":"article-journal","volume":"293"},"uris":["http://www.mendeley.com/documents/?uuid=65610dd4-910f-3657-82e7-15f9e3dde696"]}],"mendeley":{"formattedCitation":"(Kim et al., 2018)","plainTextFormattedCitation":"(Kim et al., 2018)","previouslyFormattedCitation":"(Kim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(Kim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SNORD-95</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460963">
              <w:rPr>
                <w:rFonts w:eastAsia="Times New Roman"/>
                <w:sz w:val="18"/>
                <w:szCs w:val="18"/>
              </w:rPr>
              <w:instrText>ADDIN CSL_CITATION {"citationItems":[{"id":"ITEM-1","itemData":{"DOI":"10.3892/etm.2018.6394","abstract":"The study aims to investigate the clinical significance of regulating the expression of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hydroxyvitamin D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VD) via microRNA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376c in the occurrence and development of preeclampsia (PE) in pregnant wome</w:instrText>
            </w:r>
            <w:r w:rsidR="00460963">
              <w:rPr>
                <w:rFonts w:eastAsia="Times New Roman"/>
                <w:sz w:val="18"/>
                <w:szCs w:val="18"/>
              </w:rPr>
              <w:instrText>n. Peripheral blood and placental tissues were collected from pregnant women in 4 groups, including 67 normal pregnant women, 41 pregnant women with gestational hypertension, 40 pregnant women with mild PE and 51 pregnant women with severe PE. The expression of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VD and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376c in peripheral blood were analyzed via reverse transcription-quantitative polymerase chain reaction (RT-qPCR); the protein expression of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VD was analyzed via western blotting, and the clinical significance of its expressio</w:instrText>
            </w:r>
            <w:r w:rsidR="00460963">
              <w:rPr>
                <w:rFonts w:eastAsia="Times New Roman"/>
                <w:sz w:val="18"/>
                <w:szCs w:val="18"/>
              </w:rPr>
              <w:instrText>n was also analyzed. The expression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376c in peripheral blood in pregnant women was decreased (P&lt;0.01), and the expression of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 xml:space="preserve">VD in peripheral blood was significantly decreased (P&lt;0.01); there was a significantly positive correlation between </w:instrText>
            </w:r>
            <w:r w:rsidR="00460963">
              <w:rPr>
                <w:rFonts w:eastAsia="Times New Roman"/>
                <w:sz w:val="18"/>
                <w:szCs w:val="18"/>
              </w:rPr>
              <w:instrText>the expression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376c and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VD (P&lt;0.01). There was a significantly positive correlation between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376c and the protein expression of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VD in placental tissues (P&lt;0.01). The downregulation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 xml:space="preserve">376c expression in peripheral blood and </w:instrText>
            </w:r>
            <w:r w:rsidR="00460963">
              <w:rPr>
                <w:rFonts w:eastAsia="Times New Roman"/>
                <w:sz w:val="18"/>
                <w:szCs w:val="18"/>
              </w:rPr>
              <w:instrText>placental tissues in pregnant women had significantly positive correlations with gestational age, plasma albumin level and fetal weight, but had significantly negative correlations with blood pressure and urinary protein level. (P&lt;0.01). The downregulation of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VD expression in placental tissues also had such correlations. The low expression of miRNA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376c in PE patients is involved in the occurrence and development of PE through downregulating the expression of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OH</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VD.","author":[{"dropping-particle":</w:instrText>
            </w:r>
            <w:r w:rsidR="00460963">
              <w:rPr>
                <w:rFonts w:eastAsia="Times New Roman"/>
                <w:sz w:val="18"/>
                <w:szCs w:val="18"/>
              </w:rPr>
              <w:instrText>"","family":"Li","given":"Jinlan","non-dropping-particle":"","parse-names":false,"suffix":""},{"dropping-particle":"","family":"Du","given":"Jiangdong","non-dropping-particle":"","parse-names":false,"suffix":""},{"dropping-particle":"","family":"Wang","given":"Zhan","non-dropping-particle":"","parse-names":false,"suffix":""},{"dropping-particle":"","family":"Wang","given":"Chenghong","non-dropping-particle":"","parse-names":false,"suffix":""},{"dropping-particle":"","family":"Bai","given":"Jianhua","non-dropping-particle":"","parse-names":false,"suffix":""},{"dropping-particle":"","family":"Zhang","given":"Su","non-dropping-particle":"","parse-names":false,"suffix":""}],"container-title":"Experimental and Therapeutic Medicine","id":"ITEM-1","issue":"3","issued":{"date-parts":[["2018"]]},"page":"1701-1706","title":"Expression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376 in blood of pregnant women with preeclampsia and its effect on 25</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hydroxyvitamin D","type":"article-journal","volume":"16"},"uris":["http://www.mendeley.com/documents/?uuid=943</w:instrText>
            </w:r>
            <w:r w:rsidR="00460963">
              <w:rPr>
                <w:rFonts w:eastAsia="Times New Roman"/>
                <w:sz w:val="18"/>
                <w:szCs w:val="18"/>
              </w:rPr>
              <w:instrText>4166f-47f7-3ab6-a838-30cdf6f44afc"]}],"mendeley":{"formattedCitation":"(Li et al., 2018)","plainTextFormattedCitation":"(Li et al., 2018)","previouslyFormattedCitation":"(Li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{"citationItems":[{"id":"ITEM-1","itemData":{"DOI":"10.3892/mmr.2018.8558","abstract":"Pre-eclampsia (PE) is a common but complex condition that can occur in pregnancy. It is estimated to affect 3-8% of pregnancies worldwide. PE development is thought to be multifactorial and to involve the dysregulation of microRNA (miR) expression. However, the precise mechanisms of PE development remain unclear. The present study aimed to illustrate the association between miR-203 expression and PE development in samples of human placenta collected from mothers with (n=18) and without (n=20) PE. It was demonstrated that miR-203 expression was significantly increased in the PE placenta compared with the normal placenta samples, while the expression of vascular endothelial growth factor A (VEGFA) was decreased. In vitro experiments revealed that miR-203 overexpression significantly downregulated VEGFA expression and inhibited the proliferation, migration and invasion ability of HTR-8/SVneo cells. Suppression of miR-203 expression alleviated these effects. A luciferase reporter assay confirmed the interaction of the 3'-untranslated region of VEGFA with miR-203. Thus, miR-203 may have significant contribution to the development of PE by targeting VEGFA in the human placenta and may have potential as a biomarker or therapeutic target in the treatment of PE.","author":[{"dropping-particle":"","family":"Liu","given":"Fulin","non-dropping-particle":"","parse-names":false,"suffix":""},{"dropping-particle":"","family":"Wu","given":"Kejia","non-dropping-particle":"","parse-names":false,"suffix":""},{"dropping-particle":"","family":"Wu","given":"Wanrong","non-dropping-particle":"","parse-names":false,"suffix":""},{"dropping-particle":"","family":"Chen","given":"Yurou","non-dropping-particle":"","parse-names":false,"suffix":""},{"dropping-particle":"","family":"Wu","given":"Hanshu","non-dropping-particle":"","parse-names":false,"suffix":""},{"dropping-particle":"","family":"Wang","given":"Hui","non-dropping-particle":"","parse-names":false,"suffix":""},{"dropping-particle":"","family":"Zhang","given":"Wei","non-dropping-particle":"","parse-names":false,"suffix":""}],"container-title":"Molecular Medicine Reports","id":"ITEM-1","issue":"4","issued":{"date-parts":[["2018"]]},"page":"5627-5634","title":"MiR-203 contributes to pre-eclampsia via inhibition of VEGFA expression","type":"article-journal","volume":"17"},"uris":["http://www.mendeley.com/documents/?uuid=f0a5c03c-e40b-339a-ad51-1cc05a923075"]}],"mendeley":{"formattedCitation":"(Liu et al., 2018)","plainTextFormattedCitation":"(Liu et al., 2018)","previouslyFormattedCitation":"(Liu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(Liu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Hematoxylin and eosin (H&amp;E) staining, Immunohistochemistry, Cell culture and transfection, Cell proliferation,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10.26355/eurrev_201810_16023","author":[{"dropping-particle":"","family":"Lou","given":"C.-X","non-dropping-particle":"","parse-names":false,"suffix":""},{"dropping-particle":"","family":"Zhou","given":"X.-T","non-dropping-particle":"","parse-names":false,"suffix":""},{"dropping-particle":"","family":"Tian","given":"Q.-C","non-dropping-particle":"","parse-names":false,"suffix":""},{"dropping-particle":"","family":"Xie","given":"H.-Q","non-dropping-particle":"","parse-names":false,"suffix":""},{"dropping-particle":"","family":"Zhang","given":"J.-Y","non-dropping-particle":"","parse-names":false,"suffix":""}],"container-title":"Eur Rev Med Pharmacol Sci","id":"ITEM-1","issue":"19","issued":{"date-parts":[["2018"]]},"page":"6181-6189","title":"Low expression of microRNA-21 inhibits trophoblast cell infiltration through targeting PTEN","type":"article-journal","volume":"22"},"uris":["http://www.mendeley.com/documents/?uuid=420d102d-2c72-35b5-8989-9932d68bbd55"]}],"mendeley":{"formattedCitation":"(Lou et al., 2018)","plainTextFormattedCitation":"(Lou et al., 2018)","previouslyFormattedCitation":"(Lou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(Lou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Transfection, Cell Counting Kit-8 (CCK-8) Assay, Transwell Assay,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{"citationItems":[{"id":"ITEM-1","itemData":{"DOI":"10.1016/j.placenta.2017.11.005","abstract":"Introduction To determine the miRNA expression profile in placentas complicated by Preeclampsia (PE) and compare it to uncomplicated pregnancies. Methods Sixteen placentas from women with PE, [11 with early onset PE (EOPE) and 5 with late onset PE (LOPE)], as well as 8 placentas from uncomplicated pregnancies were analyzed using miRNA microarrays. For statistical analyses the MATLAB® simulation environment was applied. The over-expression of miR-518a-5p was verified using Quantitative Real-Time Polymerase Chain Reaction. Results Forty four miRNAs were found dysregulated in PE complicated placentas. Statistical analysis revealed that miR-431, miR-518a-5p and miR-124* were over-expressed in EOPE complicated placentas as compared to controls, whereas miR-544 and miR-3942 were down-regulated in EOPE. When comparing the miRNA expression profile in cases with PE and PE-growth restricted fetuses (FGR), miR-431 and miR-518a-5p were found over-expressed in pregnancies complicated by FGR. Discussion Since specific miRNAs can differentiate EOPE and LOPE from uncomplicated placentas, they may be considered as putative PE-specific biomarkers. MiR-518a-5p emerged as a potential diagnostic indicator for EOPE cases as well as for PE-FGR complicated placentas, indicating a potential link to the severity of the disease.","author":[{"dropping-particle":"","family":"Lykoudi","given":"Alexandra","non-dropping-particle":"","parse-names":false,"suffix":""},{"dropping-particle":"","family":"Kolialexi","given":"Aggeliki","non-dropping-particle":"","parse-names":false,"suffix":""},{"dropping-particle":"","family":"Lambrou","given":"George I.","non-dropping-particle":"","parse-names":false,"suffix":""},{"dropping-particle":"","family":"Braoudaki","given":"Maria","non-dropping-particle":"","parse-names":false,"suffix":""},{"dropping-particle":"","family":"Siristatidis","given":"Charalampos","non-dropping-particle":"","parse-names":false,"suffix":""},{"dropping-particle":"","family":"Papaioanou","given":"George Konstantinos","non-dropping-particle":"","parse-names":false,"suffix":""},{"dropping-particle":"","family":"Tzetis","given":"Maria","non-dropping-particle":"","parse-names":false,"suffix":""},{"dropping-particle":"","family":"Mavrou","given":"Ariadni","non-dropping-particle":"","parse-names":false,"suffix":""},{"dropping-particle":"","family":"Papantoniou","given":"Nikolas","non-dropping-particle":"","parse-names":false,"suffix":""}],"container-title":"Placenta","id":"ITEM-1","issued":{"date-parts":[["2018"]]},"page":"24-32","title":"Dysregulated placental microRNAs in Early and Late onset Preeclampsia","type":"article-journal","volume":"61"},"uris":["http://www.mendeley.com/documents/?uuid=9e213bee-2ca7-32d4-a8b1-eba28751d842"]}],"mendeley":{"formattedCitation":"(Lykoudi et al., 2018)","plainTextFormattedCitation":"(Lykoudi et al., 2018)","previouslyFormattedCitation":"(Lykoudi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(Lykoudi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RNU44</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{"citationItems":[{"id":"ITEM-1","itemData":{"DOI":"10.1007/s00404-017-4611-6","abstract":"Purpose: To perform serum microRNA expression profiling to identify members of chromosome 19 miRNA cluster involved in preeclampsia development. Methods: Serum chromosome 19 miRNA cluster microRNA expression profiling was evaluated at 12, 16, and 20 gestational weeks and at the time of preeclampsia diagnosis, in women who developed preeclampsia (WWD-PE; n = 16) and controls (n = 18) using TaqMan low density array plates. Results: A total of 51 chromosome 19 microRNA cluster members were evaluated. The circulating hsa-miRs 512-3p, 518f-3p, 520c-3p, and 520d-3p, were differentially expressed between groups (P &lt; 0.05). Compared with controls, serum levels of hsa-miR-518f-3p at 20 GW were useful for identifying WWD-Mild-PE (P = 0.035) and WWD-Severe-PE (P = 0.007). Conclusions: Serum hsa-miRs 512-3p, 518f-3p, 520c-3p, and 520d-3p, are differentially expressed between WWD-PE and controls and their role in the development of preeclampsia should be investigated further.","author":[{"dropping-particle":"","family":"Martinez-Fierro","given":"Margarita L.","non-dropping-particle":"","parse-names":false,"suffix":""},{"dropping-particle":"","family":"Garza-Veloz","given":"Idalia","non-dropping-particle":"","parse-names":false,"suffix":""},{"dropping-particle":"","family":"Gutierrez-Arteaga","given":"Cristina","non-dropping-particle":"","parse-names":false,"suffix":""},{"dropping-particle":"","family":"Delgado-Enciso","given":"Ivan","non-dropping-particle":"","parse-names":false,"suffix":""},{"dropping-particle":"","family":"Barbosa-Cisneros","given":"Olga Y.","non-dropping-particle":"","parse-names":false,"suffix":""},{"dropping-particle":"","family":"Flores-Morales","given":"Virginia","non-dropping-particle":"","parse-names":false,"suffix":""},{"dropping-particle":"","family":"Hernandez-Delgadillo","given":"Gloria P.","non-dropping-particle":"","parse-names":false,"suffix":""},{"dropping-particle":"","family":"Rocha-Pizaña","given":"Maria R.","non-dropping-particle":"","parse-names":false,"suffix":""},{"dropping-particle":"","family":"Rodriguez-Sanchez","given":"Iram P.","non-dropping-particle":"","parse-names":false,"suffix":""},{"dropping-particle":"","family":"Badillo-Almaraz","given":"Jose I.","non-dropping-particle":"","parse-names":false,"suffix":""},{"dropping-particle":"","family":"Ortiz-Rodriguez","given":"Jose M.","non-dropping-particle":"","parse-names":false,"suffix":""},{"dropping-particle":"","family":"Castañeda-Miranda","given":"Rodrigo","non-dropping-particle":"","parse-names":false,"suffix":""},{"dropping-particle":"","family":"Solis-Sanchez","given":"Luis O.","non-dropping-particle":"","parse-names":false,"suffix":""},{"dropping-particle":"","family":"Ortiz-Castro","given":"Yolanda","non-dropping-particle":"","parse-names":false,"suffix":""}],"container-title":"Archives of Gynecology and Obstetrics","id":"ITEM-1","issue":"2","issued":{"date-parts":[["2018"]]},"page":"365-371","title":"Circulating levels of specific members of chromosome 19 microRNA cluster are associated with preeclampsia development","type":"article-journal","volume":"297"},"uris":["http://www.mendeley.com/documents/?uuid=fcd98f5c-a55b-3ef1-9ad4-9bfa99e7f0d5"]}],"mendeley":{"formattedCitation":"(Martinez-Fierro et al., 2018)","plainTextFormattedCitation":"(Martinez-Fierro et al., 2018)","previouslyFormattedCitation":"(Martinez-Fierro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(Martinez-Fierro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Human MicroRNA</w:t>
            </w:r>
            <w:r w:rsidRPr="000710F5">
              <w:rPr>
                <w:rFonts w:eastAsia="Times New Roman"/>
                <w:sz w:val="18"/>
                <w:szCs w:val="18"/>
              </w:rPr>
              <w:br/>
              <w:t>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{"citationItems":[{"id":"ITEM-1","itemData":{"DOI":"10.1016/j.abb.2018.09.023","abstract":"Background: Pre-eclampsia (PE) is one of the most threatening pregnancy complications. So far neither a secure, competent therapy for PE nor effective biomarkers for a premature discovery has been achieved. However, currently, the use of released microRNAs (miRNAs) as potential biomarkers and therapy targets for various diseases is the dominating area of research. The aim of our study was to identify miRNAs 136, 494 and 495 genes expression in exosomes of peripheral blood compared to umbilical cord mesenchymal stem cells (UCMSCs) conditioned media released exososomes in patients with PE, as valuable markers for PE early prediction. Methods: Blood samples were collected from 100 patients with PE and 100 control with normal pregnancies. Thirty fresh umbilical cord samples of women with healthy pregnancies (n = 15) and PE patients (n = 15) were retrieved during caesarean deliveries and UCMSCs were isolated from Wharton jelly. The expression of miRNAs 136, 494 and 495 in exosomes of peripheral blood and UCMSCs conditioned media was measured using quantitative real-time PCR method. Unpaired t-test, Pearson correlation test and Receiver operator characteristic (ROC) analysis were used for data analysis. Results: Our study revealed a significantly higher expression levels of miRNAs 136, 494 and 495 in exosomes of peripheral blood and matched with UCMSCs released exosomes from patients with PE compared to normal pregnancies (p = 0.000). In peripheral blood of PE, they were 6.4, 3.9 and 2.1 folds higher, respectively. ROC analysis revealed that the sensitivity and specificity values of miRNA-136 were 95% and 100%, respectively, with a cut-off value of 2.55. The sensitivity and specificity values of miRNA-494 were 86% and 95%, respectively, with a cut-off value of 0.47. The sensitivity and specificity values of miRNA-495 were 90% and 83%, respectively, with a cut-off value of 1.287. Conclusion: Our findings suggest that exosomes derived miRNA-136, miRNA-494 and miRNA-495 could be promising circulating biomarkers in early detection of PE. Furthermore, UCMSCs released exosomes miRNA-136, miRNA-494 and miRNA-495 genes expression confirmed peripheral blood results analysis.","author":[{"dropping-particle":"","family":"Motawi","given":"Tarek M.k.","non-dropping-particle":"","parse-names":false,"suffix":""},{"dropping-particle":"","family":"Sabry","given":"Dina","non-dropping-particle":"","parse-names":false,"suffix":""},{"dropping-particle":"","family":"Maurice","given":"Nadine W.","non-dropping-particle":"","parse-names":false,"suffix":""},{"dropping-particle":"","family":"Rizk","given":"Sherine M.","non-dropping-particle":"","parse-names":false,"suffix":""}],"container-title":"Archives of Biochemistry and Biophysics","id":"ITEM-1","issued":{"date-parts":[["2018"]]},"page":"13-21","title":"Role of mesenchymal stem cells exosomes derived microRNAs; miR-136, miR-494 and miR-495 in pre-eclampsia diagnosis and evaluation","type":"article-journal","volume":"659"},"uris":["http://www.mendeley.com/documents/?uuid=b8191eb7-28d5-3790-85bd-bd5fb443c4a3"]}],"mendeley":{"formattedCitation":"(Motawi et al., 2018)","plainTextFormattedCitation":"(Motawi et al., 2018)","previouslyFormattedCitation":"(Motawi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(Motawi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{"citationItems":[{"id":"ITEM-1","itemData":{"DOI":"10.1016/j.ajog.2017.11.568","abstract":"Objective: Preeclampsia (PE) affects many women globally and remains a primary cause of neonatal and maternal morbidity and mortality. Aberrant placental microRNA (miRNA) expression might be associated with PE. Previously, 33 PE-related miRNAs, 11 up-regulated and 23 down-regulated, were detected in placentas of women with severe PE when compared with those of normal patients. One of the most up-regulated miRNAs in PE is miR-30a-3p. The predicted target of it is insulin-like growth factor 1 (IGF-1), which has been reported to have a relatively low expression level in PE patients. This study was conducted to determine the aberrant increased of miR-30a-3p in the placentas of women with preeclampsia and to elucidate the target and function of it in trophoblast cells. Study Design: miR-30a-3p expression in placenta tissues was compared between women with preeclampsia (n = 25) and normal pregnant women (n = 20). The miRNA target was studied by in silico and functional assay. The effects of the miRNA were verified by apoptosis assay and invasion assay in the trophoblast cell line. Results: miR-30a-3p was increased significantly in the placenta of women with preeclampsia when compared to those with normal pregnancies. Luciferase assay confirmed direct regulation of miR-30a-3p on the expression of IGF-1. Forced expression of miR-30a-3p suppressed IGF-1 protein expression in the HTR-8/SVneo cells. The functional assay suggests that the over-expression of miR-30a-3p alter the invasive capacity of JEG-3 cells and induce the apoptosis of HTR-8/SVneo cells (Figure). Conclusion: Expression of miR-30a-3p was significantly increased in the placentas of patients with preeclampsia. miR-30a-3p might be involved in the pathogenesis of preeclampsia by targeting IGF-1 and regulating the invasion and apoptosis of trophoblast cells.","author":[{"dropping-particle":"","family":"Niu","given":"Zi ru","non-dropping-particle":"","parse-names":false,"suffix":""},{"dropping-particle":"","family":"Han","given":"Tao","non-dropping-particle":"","parse-names":false,"suffix":""},{"dropping-particle":"","family":"Sun","given":"Xiao luan","non-dropping-particle":"","parse-names":false,"suffix":""},{"dropping-particle":"","family":"Luan","given":"Li xia","non-dropping-particle":"","parse-names":false,"suffix":""},{"dropping-particle":"","family":"Gou","given":"Wen li","non-dropping-particle":"","parse-names":false,"suffix":""},{"dropping-particle":"","family":"Zhu","given":"Xiao ming","non-dropping-particle":"","parse-names":false,"suffix":""}],"container-title":"American Journal of Obstetrics and Gynecology","id":"ITEM-1","issue":"2","issued":{"date-parts":[["2018"]]},"page":"249.e1-249.e12","title":"MicroRNA-30a-3p is overexpressed in the placentas of patients with preeclampsia and affects trophoblast invasion and apoptosis by its effects on IGF-1","type":"article-journal","volume":"218"},"uris":["http://www.mendeley.com/documents/?uuid=8d679529-4472-3444-b49e-7183faabad56"]}],"mendeley":{"formattedCitation":"(Niu et al., 2018)","plainTextFormattedCitation":"(Niu et al., 2018)","previouslyFormattedCitation":"(Niu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(Niu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MicroRNA prediction of target genes and functional and bioinformatics analysis, Forced and repressed expression of miR-30a-3p, Western blotting, Apoptosis assay, Transwell invasion assay, Cell cycle detection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{"citationItems":[{"id":"ITEM-1","itemData":{"DOI":"10.1007/s10517-018-4267-7","abstract":"The expression of microRNA-17, microRNA-181a, and microRNA-519a in the villous tree in preeclampsia was analyzed using chromogenic in situ hybridization technique (CISH). It was found that in early-onset preeclampsia, the expression of microRNA-17 in the syncytiotrophoblast was higher (p&lt;0.05) than in late preeclampsia, and the expression of microRNA-519a was higher (p&lt;0.05) than in women with preterm birth at 26-31 weeks gestation. We revealed higher level of expression of microRNA-181a (p&lt;0.05) in the cytoplasm of the syncytiotrophoblast of intermediate placental villi in the group with premature delivery in comparison with early preeclampsia. In full-term pregnancy, the expression of microRNA-181a in the vascular endothelium of placental villi was higher (p&lt;0.02) than in women with premature deliveries. Analysis of the target genes associated with these microRNAs showed that damage to the trophoblast typical of preeclampsia, especially up to 34 weeks gestation, was accompanied by selective activation of genes participating in invasion and compensatory suppression of oncoprotective genes associated with the development of malignant neoplasms.","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I.","non-dropping-particle":"","parse-names":false,"suffix":""}],"container-title":"Bulletin of Experimental Biology and Medicine","id":"ITEM-1","issue":"6","issued":{"date-parts":[["2018"]]},"page":"793-797","title":"Change in OncomicroRNA Expression in the Placenta during Preeclampsia","type":"article-journal","volume":"165"},"uris":["http://www.mendeley.com/documents/?uuid=6cf29799-cb89-32f0-b827-9d5410886217"]}],"mendeley":{"formattedCitation":"(Nizyaeva et al., 2018)","plainTextFormattedCitation":"(Nizyaeva et al., 2018)","previouslyFormattedCitation":"(Nizyaeva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(Nizyaeva et al., 2018)</w:t>
            </w:r>
            <w:r>
              <w:rPr>
                <w:rFonts w:eastAsia="Times New Roman"/>
                <w:sz w:val="18"/>
                <w:szCs w:val="18"/>
              </w:rPr>
              <w:fldChar w:fldCharType="end"/>
            </w:r>
          </w:p>
        </w:tc>
        <w:tc>
          <w:tcPr>
            <w:tcW w:w="3100" w:type="dxa"/>
            <w:shd w:val="clear" w:color="auto" w:fill="auto"/>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In situ hybridization</w:t>
            </w:r>
          </w:p>
        </w:tc>
        <w:tc>
          <w:tcPr>
            <w:tcW w:w="4280" w:type="dxa"/>
            <w:shd w:val="clear" w:color="auto" w:fill="auto"/>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{"citationItems":[{"id":"ITEM-1","itemData":{"DOI":"10.3892/ijmm.2018.3367","abstract":"Preeclampsia (PE) is considered to be initiated by abnormal placentation in early pregnancy and results in systemic endothelial cell dysfunction in the second or third trimester. MicroRNA s (miRs) expressed in the human placenta can be secreted into maternal circulation via exosomes, which are secreted extracellular vesicles that serve important roles in intercellular communication. The present study hypothesized that upregulation of placenta-associated serum exosomal miR- 155 from patients with PE may suppress endothelial nitric oxide synthase (eNO S) expression in endothelial cells. The results demonstrated that placenta-associated serum exosomes from patients with PE decreased nitric oxide (NO ) production and eNO S expression in primary human umbilical vein endothelial cells (HUVEC s). Subsequently, an upregulation of placenta-associated serum exosomal miR- 155 was detected in patients with PE compared with in gestational age-matched normal pregnant women. In addition, the results demonstrated that overexpression of exosomal miR- 155 from BeWo cells was internalized into HUVEC s, and was able to suppress eNO S expression by targeting its 3'-untranslated region. The results of the present study indicated that placenta-associated serum exosomes may inhibit eNO S expression in endothelial cell during PE development in humans, and this phenomenon may be partly due to increased miR- 155 expression in placenta-associated serum exosomes.","author":[{"dropping-particle":"","family":"Shen","given":"Li","non-dropping-particle":"","parse-names":false,"suffix":""},{"dropping-particle":"","family":"Li","given":"Yujing","non-dropping-particle":"","parse-names":false,"suffix":""},{"dropping-particle":"","family":"Li","given":"Ruotian","non-dropping-particle":"","parse-names":false,"suffix":""},{"dropping-particle":"","family":"Diao","given":"Zhenyu","non-dropping-particle":"","parse-names":false,"suffix":""},{"dropping-particle":"","family":"Yany","given":"Muyi","non-dropping-particle":"","parse-names":false,"suffix":""},{"dropping-particle":"","family":"Wu","given":"Mengfei","non-dropping-particle":"","parse-names":false,"suffix":""},{"dropping-particle":"","family":"Sun","given":"Haixiang","non-dropping-particle":"","parse-names":false,"suffix":""},{"dropping-particle":"","family":"Yan","given":"Guijun","non-dropping-particle":"","parse-names":false,"suffix":""},{"dropping-particle":"","family":"Hu","given":"Yali","non-dropping-particle":"","parse-names":false,"suffix":""}],"container-title":"International Journal of Molecular Medicine","id":"ITEM-1","issue":"3","issued":{"date-parts":[["2018"]]},"page":"1731-1739","title":"Placenta-associated serum exosomal miR-155 derived from patients with preeclampsia inhibits eNOS expression in human umbilical vein endothelial cells","type":"article-journal","volume":"41"},"uris":["http://www.mendeley.com/documents/?uuid=14a8d1cf-2690-3f3e-bf10-885c840d8c57"]}],"mendeley":{"formattedCitation":"(Shen et al., 2018)","plainTextFormattedCitation":"(Shen et al., 2018)","previouslyFormattedCitation":"(Shen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(Shen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Adenovirus and plasmid construction, Western blotting, NO detection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(Timofeeva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sequencing</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SNORD68, miR-532-5p, cel-miR-39</w:t>
            </w:r>
          </w:p>
        </w:tc>
      </w:tr>
      <w:tr w:rsidR="00247AFE" w:rsidRPr="000459A8" w:rsidTr="00130F93">
        <w:trPr>
          <w:trHeight w:val="288"/>
          <w:jc w:val="center"/>
        </w:trPr>
        <w:tc>
          <w:tcPr>
            <w:tcW w:w="1052"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310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color w:val="000000"/>
                <w:sz w:val="18"/>
                <w:szCs w:val="18"/>
              </w:rPr>
              <w:t>qRT-PCR</w:t>
            </w:r>
          </w:p>
        </w:tc>
        <w:tc>
          <w:tcPr>
            <w:tcW w:w="4280"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Pr>
                <w:rFonts w:eastAsia="Times New Roman"/>
                <w:color w:val="000000"/>
                <w:sz w:val="18"/>
                <w:szCs w:val="18"/>
              </w:rPr>
              <w:t>Not reported</w:t>
            </w:r>
          </w:p>
        </w:tc>
        <w:tc>
          <w:tcPr>
            <w:tcW w:w="1099"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color w:val="000000"/>
                <w:sz w:val="18"/>
                <w:szCs w:val="18"/>
              </w:rPr>
            </w:pPr>
            <w:r w:rsidRPr="000710F5">
              <w:rPr>
                <w:rFonts w:eastAsia="Times New Roman"/>
                <w:sz w:val="18"/>
                <w:szCs w:val="18"/>
              </w:rPr>
              <w:t>SNORD68, miR-532-5p, cel-miR-39</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{"citationItems":[{"id":"ITEM-1","itemData":{"DOI":"10.1016/j.biopha.2018.08.055","abstract":"Preeclampsia (PE) is a pregnancy-specific disorder representing a major cause for maternal and perinatal morbidity and mortality. The dysfunction of trophoblast cells plays an important role in the pathogenesis of PE. In recent years, microRNAs (miRNAs) have been suggested to play an important role in regulating trophoblast cell biological functions involved in the pathogenesis of PE. Accumulating evidence has showed that miR-454 plays an important role in regulating cell functions. However, whether miR-454 is involved in regulating cell functions of trophoblast cells during PE remains unclear. In this study, we found that miR-454 expression was significantly downregulated in placental tissues from PE patients. in vitro experiments showed that miR-454 overexpression significantly increased proliferation, inhibited apoptosis, and promoted invasion of trophoblast cells, whereas miR-454 inhibition markedly suppressed proliferation, increased apoptosis, and inhibited invasion of trophoblast cells. Interestingly, bioinformatics analysis predicted that ephrin receptor B4 (EPHB4), an important gene for regulating trophoblast cell function in PE, was a potential target gene of miR-454. Dual-luciferase reporter assay showed that miR-454 directly targeted the 3’-untranslated region of EPHB4. Real-time quantitative polymerase chain reaction and Western blot analysis demonstrated that miR-454 negatively regulated EPHB4 expression in trophoblast cells. Moreover, miR-454 expression was found inversely correlated with EPHB4 expression in placental tissues from PE patients. Importantly, EPHB4 overexpression partially reversed the promotion effect of miR-454 overexpression on trophoblast cell proliferation and invasion. Taken together, these findings demonstrate that miR-454 promotes the proliferation and invasion of trophoblast cells by inhibiting EPHB4 expression, and the decreased miR-454 expression may contribute to PE by promoting EPHB4 expression. Our study provides novel insights into understanding the molecular pathogenesis of PE.","author":[{"dropping-particle":"","family":"Wang","given":"Furong","non-dropping-particle":"","parse-names":false,"suffix":""},{"dropping-particle":"","family":"Yan","given":"Jin","non-dropping-particle":"","parse-names":false,"suffix":""}],"container-title":"Biomedicine and Pharmacotherapy","id":"ITEM-1","issued":{"date-parts":[["2018"]]},"page":"746-753","title":"MicroRNA-454 is involved in regulating trophoblast cell proliferation, apoptosis, and invasion in preeclampsia by modulating the expression of ephrin receptor B4","type":"article-journal","volume":"107"},"uris":["http://www.mendeley.com/documents/?uuid=10cbac5f-49d1-3c77-877a-a87ebdf5be24"]}],"mendeley":{"formattedCitation":"(Wang and Yan, 2018)","plainTextFormattedCitation":"(Wang and Yan, 2018)","previouslyFormattedCitation":"(Wang and Yan,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and Yan,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transfection, Caspase-3 activity assay, Transwell invasion assay, Western blot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{"citationItems":[{"id":"ITEM-1","itemData":{"DOI":"10.1097/HJH.0000000000001529","abstract":"Objective: Preeclampsia is a severe pregnancy-specific syndrome defined as newly onset hypertension and proteinuria. Abnormal placental development has been generally accepted as the initial cause of the disorder. Recently, miR-195 was identified as one of the downregulated small RNAs in preeclamptic placentas. Methods: The potential targets of miR-195 in human trophoblast cells were screened by isobaric tags for relative and absolute quantification-based mass spectrum analysis. Localization of miR-195 and its targets was examined by in-situ hybridization and immunohistochemistry in human placenta. Real-Time PCR, western blotting and luciferase assay were used for target validation. Apoptosis was accessed by Annexin V/PI costaining, whereas mitochondrial function by ATP measurement and tetramethylrhodamine ethyl ester fluorescence. Results: Two mitochondria-Associated proteins, flavin adenine dinucleotide-dependent oxidoreductase domain-containing protein 1 (FOXRED1) and pyruvate dehydrogenase phosphatase regulatory subunit (PDPR), were identified as targets of miR-195. Overexpression of miR-195 in HTR8/SVneo cells resulted in enhanced apoptosis, decreased mitochondrial membrane potential and cellular ATP content upon hydrogen peroxide stimulation. The effects could be partially rescued by FOXRED1 or PDPR. In preeclamptic patients, lowered circulating level of miR-195 were found at early-To-mid gestation and term pregnancy, and marked increase in FOXRED1 and PDPR expression were observed in the placenta when compared with gestational week-matched controls. In addition, chronic hydrogen peroxide stimuli suppressed miR-195 expression in trophoblast cells. Conclusion: MiR-195 could suppress mitochondrial energy production via targeting FOXRED1 and PDPR, and lead to trophoblast cell apoptosis under oxidative stress. In preeclamptic placenta, lowered level of miR-195 might be induced by chorionic oxidative stress and subsequently form a compensation mechanism to defend the disturbed energy production and cell apoptosis upon oxidative stress.","author":[{"dropping-particle":"","family":"Wang","given":"Hao","non-dropping-particle":"","parse-names":false,"suffix":""},{"dropping-particle":"","family":"Zhang","given":"Lanmei","non-dropping-particle":"","parse-names":false,"suffix":""},{"dropping-particle":"","family":"Guo","given":"Xuejiang","non-dropping-particle":"","parse-names":false,"suffix":""},{"dropping-particle":"","family":"Bai","given":"Yang","non-dropping-particle":"","parse-names":false,"suffix":""},{"dropping-particle":"","family":"Li","given":"Yu Xia","non-dropping-particle":"","parse-names":false,"suffix":""},{"dropping-particle":"","family":"Sha","given":"Jiahao","non-dropping-particle":"","parse-names":false,"suffix":""},{"dropping-particle":"","family":"Peng","given":"Chun","non-dropping-particle":"","parse-names":false,"suffix":""},{"dropping-particle":"","family":"Wang","given":"Yan Ling","non-dropping-particle":"","parse-names":false,"suffix":""},{"dropping-particle":"","family":"Liu","given":"Ming","non-dropping-particle":"","parse-names":false,"suffix":""}],"container-title":"Journal of Hypertension","id":"ITEM-1","issue":"2","issued":{"date-parts":[["2018"]]},"page":"306-318","title":"MiR-195 modulates oxidative stress-induced apoptosis and mitochondrial energy production in human trophoblasts via flavin adenine dinucleotide-dependent oxidoreductase domain-containing protein 1 and pyruvate dehydrogenase phosphatase regulatory subunit","type":"article-journal","volume":"36"},"uris":["http://www.mendeley.com/documents/?uuid=175f2098-272f-3d60-9b4d-1564648f9bca"]}],"mendeley":{"formattedCitation":"(Wang et al., 2018a)","plainTextFormattedCitation":"(Wang et al., 2018a)","previouslyFormattedCitation":"(Wang et al., 2018a)"},"properties":{"noteIndex":0},"schema":"https://github.com/citation-style-language/schema/raw/master/csl-citation.json"}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2018a)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Immunohistochemistry, In-situ hybridization, Sequences and constructs, Cell culture and transfection, Cellular ATP measurement, Mitochondrial membrane potential, Cell apoptosis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{"citationItems":[{"id":"ITEM-1","itemData":{"DOI":"10.1016/j.biopha.2018.01.089","abstract":"Preeclampsia (PE), a common obstetrical disorder, is one of the leading causes of pregnancy associated death. PE is closely linked with impaired migration and invasion ability of trophoblastic cells. miR-362-3p recently received our particular attention due not only to its aberrant expression in the placentas of patients with PE, but also to its important roles in regulating migration and invasion of various cells. This study was thus conducted to investigate the roles of miR-362-3p in PE and the related mechanism. The expression of miR-362-3p and Pax3 was examined in placentas of patients with PE and in normal placentas. HTR8/SVneo cells were cultured under hypoxia and transfected with miR-362-3p mimics, miR-362-3p inhibitors or Pax3 over-expression vectors. Results showed up-regulation of miR-362-3p but down-regulation of Pax3 in placentas of preeclamptic pregnancies. Luciferase report assay confirmed that Pax3 is a direct target of miR-362-3p. Although Pax3 was predicted to be targeted by miR-30a-3p and miR-181a-5p as well, their expression either had no difference between placentas of PE patients and normal placentas or showed less increment in placentas of PE patients than miR-362-3p. Exposure to hypoxia inhibited cell viability, migration and invasion of HTR8/SVneo cells. Increasing miR-362-3p by the mimics conferred improved effects on the inhibition. However, deletion of miR-362-3p or overexpression of Pax3 abolished the inhibiton. These results suggest that miR-362-3p/Pax3 axis regulates cell viability, migration and invasion of HTR8/SVneo cells under hypoxia. The present study adds to the further understanding of the pathogenesis of PE.","author":[{"dropping-particle":"","family":"Wang","given":"Nan","non-dropping-particle":"","parse-names":false,"suffix":""},{"dropping-particle":"","family":"Feng","given":"Yaling","non-dropping-particle":"","parse-names":false,"suffix":""},{"dropping-particle":"","family":"Xu","given":"Jianjuan","non-dropping-particle":"","parse-names":false,"suffix":""},{"dropping-particle":"","family":"Zou","given":"Jinfang","non-dropping-particle":"","parse-names":false,"suffix":""},{"dropping-particle":"","family":"Chen","given":"Minghua","non-dropping-particle":"","parse-names":false,"suffix":""},{"dropping-particle":"","family":"He","given":"Yue","non-dropping-particle":"","parse-names":false,"suffix":""},{"dropping-particle":"","family":"Liu","given":"Huan","non-dropping-particle":"","parse-names":false,"suffix":""},{"dropping-particle":"","family":"Xue","given":"Min","non-dropping-particle":"","parse-names":false,"suffix":""},{"dropping-particle":"","family":"Gu","given":"Yanfang","non-dropping-particle":"","parse-names":false,"suffix":""}],"container-title":"Biomedicine and Pharmacotherapy","id":"ITEM-1","issued":{"date-parts":[["2018"]]},"page":"462-468","title":"miR-362-3p regulates cell proliferation, migration and invasion of trophoblastic cells under hypoxia through targeting Pax3","type":"article-journal","volume":"99"},"uris":["http://www.mendeley.com/documents/?uuid=db9348f6-648e-33ff-9150-e56e688d1cfb"]}],"mendeley":{"formattedCitation":"(Wang et al., 2018b)","plainTextFormattedCitation":"(Wang et al., 2018b)","previouslyFormattedCitation":"(Wang et al., 2018b)"},"properties":{"noteIndex":0},"schema":"https://github.com/citation-style-language/schema/raw/master/csl-citation.json"}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2018b)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transfection, Proliferation assay,Western blot analysis,Scratch assay,Transwell cell invasion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{"citationItems":[{"id":"ITEM-1","itemData":{"DOI":"10.1093/molehr/gay031","ISSN":"14602407","PMID":"30060096","abstract":"STUDY QUESTION: Are any microRNAs (miRNAs) that target the placental renin-angiotensin system (RAS) in the human placenta suppressed in early gestation? SUMMARY ANSWER: Overall, 21 miRNAs with predicted RAS mRNA targets were less abundant in early versus term placentae and nine were more highly expressed. WHAT IS KNOWN ALREADY: Regulation of human placental RAS expression could alter placental development and therefore normal pregnancy outcome. The expression of genes encoding prorenin (REN), angiotensinogen, (pro)renin receptor, angiotensin converting enzyme 2, and the angiotensin II type 1 receptor are highest in early gestation, at a time when oxygen tension is at its lowest. Studies have shown that the human placental RAS is sensitive to oxygen, as are some miRNAs that regulate RAS mRNAs. We propose that in early pregnancy, the prevailing low O2 tension, by suppression of levels of miRNAs that target RAS mRNAs, results in increased expression of RAS mRNAs and encoded proteins. As gestation proceeds and the prevailing oxygen tension rises, abundance of these miRNAs increases, and placental RAS mRNA expression is suppressed. STUDY DESIGN, SIZE, DURATION: The expression of miRNAs was compared in human placentae collected in early (10-11 weeks; n = 7) and mid-gestation (14-18 weeks; n = 8) with placenta collected at term (38-40 weeks; n = 8). Expression of placental miRNAs in women with early (29-35.1 weeks; n = 8) or late-onset pre-eclampsia (PE) (&gt;34-weeks gestation; n = 8) and gestational age matched preterm (31.6-35.1 weeks; n = 8) and term normotensive controls were also compared. PARTICIPANTS/MATERIALS, SETTING, METHODS: Agilent Human miRNA microarray v19 was used to detect up to 2006 miRNAs in four placentae from each group. Statistically different levels of expression were determined and refined using predictive modelling. Placental miRNAs predicted to target RAS mRNAs were identified in three databases. Differences detected on the array were confirmed for some miRNAs by semi-quantitative RT-PCR (qPCR, n = 7-8 for all groups). Two differentially expressed miRNAs that were known to target human renal REN mRNA (miR-181a-5p and miR-663) were transfected into human HTR-8/SVneo trophoblast cells to examine their effect on placental REN expression and prorenin levels. MAIN RESULTS AND THE ROLE OF CHANCE: In early gestation placentae, 186 miRNAs were differentially expressed compared with term placentae (109 increased, 77 decreased). Thirty of the diff…","author":[{"dropping-particle":"","family":"Wang","given":"Yu","non-dropping-particle":"","parse-names":false,"suffix":""},{"dropping-particle":"","family":"Lumbers","given":"Eugenie R.","non-dropping-particle":"","parse-names":false,"suffix":""},{"dropping-particle":"","family":"Arthurs","given":"Anya L.","non-dropping-particle":"","parse-names":false,"suffix":""},{"dropping-particle":"","family":"Meaultsart","given":"Celine Corbisier","non-dropping-particle":"De","parse-names":false,"suffix":""},{"dropping-particle":"","family":"Mathe","given":"Andrea","non-dropping-particle":"","parse-names":false,"suffix":""},{"dropping-particle":"","family":"Avery-Kiejda","given":"Kelly A.","non-dropping-particle":"","parse-names":false,"suffix":""},{"dropping-particle":"","family":"Roberts","given":"Claire T.","non-dropping-particle":"","parse-names":false,"suffix":""},{"dropping-particle":"","family":"Pipkin","given":"Fiona Broughton","non-dropping-particle":"","parse-names":false,"suffix":""},{"dropping-particle":"","family":"Marques","given":"Francine Z.","non-dropping-particle":"","parse-names":false,"suffix":""},{"dropping-particle":"","family":"Morris","given":"Brian J.","non-dropping-particle":"","parse-names":false,"suffix":""},{"dropping-particle":"","family":"Pringle","given":"Kirsty G.","non-dropping-particle":"","parse-names":false,"suffix":""}],"container-title":"Molecular Human Reproduction","id":"ITEM-1","issue":"9","issued":{"date-parts":[["2018"]]},"page":"453-464","title":"Regulation of the human placental (pro)renin receptor-prorenin-angiotensin system by microRNAs","type":"article-journal","volume":"24"},"uris":["http://www.mendeley.com/documents/?uuid=e92ad325-13b9-4f2d-9eea-5bfe16f792b9"]}],"mendeley":{"formattedCitation":"(Wang et al., 2018c)","plainTextFormattedCitation":"(Wang et al., 2018c)","previouslyFormattedCitation":"(Wang et al., 2018c)"},"properties":{"noteIndex":0},"schema":"https://github.com/citation-style-language/schema/raw/master/csl-citation.json"}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2018c)</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Transfection of cells with miRNA mimics, ELISA,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TNU44</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{"citationItems":[{"id":"ITEM-1","itemData":{"DOI":"10.1371/journal.pone.0190654","abstract":"Objective We investigated the capacity of microRNAs isolated from peripheral blood buffy coat collected late during the first trimester to predict preeclampsia. Study design The cohort study comprised 48 pregnant women with the following pregnancy outcomes: 8 preeclampsia and 40 with normal delivery outcomes. Quantitative rtPCR was performed on a panel of 30 microRNAs from buffy coat samples drawn at a mean of 12.7±0.5 weeks gestation. MicroRNA Risk Scores were calculated and AUC-ROC calculations derived. Results The AUC-ROC for preeclampsia risk was 0.91 (p&lt;0.0001). When women with normal delivery and high-risk background (those with SLE/APS, chronic hypertension and/or Type 2 Diabetes) were compared to women who developed preeclampsia but with a normal risk background (without these mentioned risk factors), preeclampsia was still predicted with an AUC-ROC of 0.92 (p&lt;0.0001). Conclusion MicroRNA quantification of peripheral immune cell microRNA provides sensitive and specific prediction of preeclampsia in the first trimester of pregnant women. With this study, we extend the range during which disorders of the placental bed may be predicted from early to the end of the first trimester. This study confirms that buffy coat may be used as a sample preparation.","author":[{"dropping-particle":"","family":"Winger","given":"Edward E.","non-dropping-particle":"","parse-names":false,"suffix":""},{"dropping-particle":"","family":"Reed","given":"Jane L.","non-dropping-particle":"","parse-names":false,"suffix":""},{"dropping-particle":"","family":"Ji","given":"Xuhuai","non-dropping-particle":"","parse-names":false,"suffix":""},{"dropping-particle":"","family":"Nicolaides","given":"Kypros","non-dropping-particle":"","parse-names":false,"suffix":""}],"container-title":"PLoS ONE","id":"ITEM-1","issue":"1","issued":{"date-parts":[["2018"]]},"page":"e0190654","title":"Peripheral blood cell microRNA quantification during the first trimester predicts preeclampsia: Proof of concept","type":"article-journal","volume":"13"},"uris":["http://www.mendeley.com/documents/?uuid=de829d05-7c65-3a0d-b8e1-5a2efe1ae5db"]}],"mendeley":{"formattedCitation":"(Winger et al., 2018)","plainTextFormattedCitation":"(Winger et al., 2018)","previouslyFormattedCitation":"(Winger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(Winger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different</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10.26355/eurrev_201803_14557","author":[{"dropping-particle":"","family":"Zou","given":"A.-X","non-dropping-particle":"","parse-names":false,"suffix":""},{"dropping-particle":"","family":"Chen","given":"B","non-dropping-particle":"","parse-names":false,"suffix":""},{"dropping-particle":"","family":"Li","given":"Q.-X","non-dropping-particle":"","parse-names":false,"suffix":""},{"dropping-particle":"","family":"Liang","given":"Y.-C","non-dropping-particle":"","parse-names":false,"suffix":""}],"container-title":"European Review for Medical and Pharmacological Sciences","id":"ITEM-1","issued":{"date-parts":[["2018"]]},"page":"2199-2206","title":"MiR-134 regulates the progression of preeclampsia","type":"article-journal","volume":"22"},"uris":["http://www.mendeley.com/documents/?uuid=bd18a081-fec8-3c1f-aa11-ebf1c2f591fb"]}],"mendeley":{"formattedCitation":"(Zou et al., 2018)","plainTextFormattedCitation":"(Zou et al., 2018)","previouslyFormattedCitation":"(Zou et al., 2018)"},"properties":{"noteIndex":0},"schema":"https://github.com/citation-style-language/schema/raw/master/csl-citation.json"}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(Zou et al., 2018)</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Proliferation Assay, Trophoblast Cells Infiltration Experiment, Western Blot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(Awamleh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Illumina Truseq RNA and smRNA library preparation kits</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TaqMan fast advanced PCR master mix in conjunction with TaqMan miRNA expression assays, Target prediction and gene ontology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miR-191-5p</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{"citationItems":[{"id":"ITEM-1","itemData":{"DOI":"10.1016/j.gene.2019.01.012","abstract":"Introduction: microRNAs (miRNAs) play important role in the regulation of placental development, and abnormal miRNA expression is associated with preeclampsia (PE). miRNAs are released from trophoblast cells to maternal blood flow, where they are highly stable, being encapsulated inside extracellular vesicles, like exosomes or bound to Argonaute proteins. In PE, placental dysfunction leads to aberrant extracellular miRNA secretion. hsa-miR-210 is a hypoxia-sensitive miRNA found to be upregulated in PE; however, it is unknown whether it is the cause or the consequence of the disease. Objective: Our aim was to analyze the expression of several miRNAs, including hsa-miR-210 in placenta, exosome and Ago-bound fractions comparing normal (N) and PE pregnancies. We performed in vitro analyses of extracellular hsa-miR-210 secretion of trophoblast cell cultures (of villous and extravillous origin) under hypoxic condition. Methods: PE and N placenta samples were collected from C-sections, and blood samples were drawn from each pregnant woman in the third trimester. HTR-8 and JAR cell lines were cultured in exosome-free media and treated with hypoxia-mimetic agents. Exosome and Ago-bound fractions were isolated by membrane affinity spin column method from plasma and cell media. Short RNAs were extracted from exosomes and vesicle-free fractions, and total-RNA was isolated from the placenta samples. The RNA purity and concentration were measured by spectrophotometry. Expression analysis was carried out by qPCR with specific primers to target and reference miRNAs. Results: The level of hsa-miR-210 was significantly higher in PE placentas, which could cause a minor increase of exosomal and a high elevation of Ago-bound miR-210 in circulation. Hypoxia lead to intracellular hsa-miR-210 upregulation in trophoblast cell lines. In extravillous cell (HTR-8) media, only the level of exosomal hsa-miR-210 was increased but no change in Ago-bound hsa-miR-210 level was observed. In contrast, in villous cell (JAR) media, the level of exosomal hsa-miR-210 was increased and enhanced release of Ago-bound hsa-miR-210 was also observed. Conclusion: Based on our data, we postulate that in PE, exosomal hsa-miR-210 is secreted actively from the trophoblast, and by intercellular communication, it may have a role in disease etiology. In addition, there is a passive release of Ago-bound hsa-miR-210 into the circulation, which may represent by-products of cell-death and is thereby a possible…","author":[{"dropping-particle":"","family":"Biró","given":"Orsolya","non-dropping-particle":"","parse-names":false,"suffix":""},{"dropping-particle":"","family":"Fóthi","given":"Ábel","non-dropping-particle":"","parse-names":false,"suffix":""},{"dropping-particle":"","family":"Alasztics","given":"Bálint","non-dropping-particle":"","parse-names":false,"suffix":""},{"dropping-particle":"","family":"Nagy","given":"Bálint","non-dropping-particle":"","parse-names":false,"suffix":""},{"dropping-particle":"","family":"Orbán","given":"Tamás I.","non-dropping-particle":"","parse-names":false,"suffix":""},{"dropping-particle":"","family":"Rigó","given":"János","non-dropping-particle":"","parse-names":false,"suffix":""}],"container-title":"Gene","id":"ITEM-1","issued":{"date-parts":[["2019"]]},"page":"138-144","title":"Circulating exosomal and Argonaute-bound microRNAs in preeclampsia","type":"article-journal","volume":"692"},"uris":["http://www.mendeley.com/documents/?uuid=b0320f3a-64bf-335a-8489-133d737d86f0"]}],"mendeley":{"formattedCitation":"(Biró et al., 2019)","plainTextFormattedCitation":"(Biró et al., 2019)","previouslyFormattedCitation":"(Biró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(Biró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Universal RT</w:t>
            </w:r>
            <w:r w:rsidRPr="000710F5">
              <w:rPr>
                <w:rFonts w:eastAsia="Times New Roman"/>
                <w:sz w:val="18"/>
                <w:szCs w:val="18"/>
              </w:rPr>
              <w:br/>
              <w:t>miRNA PCR 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miR-103a</w:t>
            </w:r>
          </w:p>
        </w:tc>
      </w:tr>
      <w:tr w:rsidR="00247AFE" w:rsidRPr="000459A8" w:rsidTr="00130F93">
        <w:trPr>
          <w:trHeight w:val="288"/>
          <w:jc w:val="center"/>
        </w:trPr>
        <w:tc>
          <w:tcPr>
            <w:tcW w:w="1052" w:type="dxa"/>
            <w:shd w:val="clear" w:color="auto" w:fill="auto"/>
            <w:vAlign w:val="center"/>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{"citationItems":[{"id":"ITEM-1","itemData":{"DOI":"10.3892/mmr.2018.9733","abstract":"Increasing evidence suggests that an exaggerated maternalsystemicinflammatofreryresponsemayplayacentral role in the pathogenesis of preeclampsia (PE). Considering the growingevidenceonmicroRNAs(miRNAs)andtissue-specific regulators of gene expression, we investigated the potential association of miR-210 and forkhead box p3 (Foxp3) in preeclamptic patients. Serum levels of the cytokines interleukin (IL)-6, IL-10, IL-17, and transforming grown factor-β1 were detected with ELISA. Reverse-transcription-quantitative polymerase chain reaction was performed to detect mRNA expression for maternal placenta retinoic acid-related orphan receptor C, Foxp3 and miRNA (miR)-210. Foxp3 protein expressionwasevaluatedbywesternblotanalysis.Serumlevels of cytokines IL-10 were significantly lower in preeclamptic patients than in normal pregnant women. mRNA expression of Foxp3 was significantly lower in placenta of PE. mRNA expression of miR-210 was significantly increased in PE. Results of western blot analysis indicated that Foxp3 protein expression was lower in PE than in normal pregnant women. Our data suggest that PE manifests as a decreased number of regulatory T cells (Tregs), which regulate maternal tolerance of the fetus. In placenta from women with PE, compared with normal pregnant women, mRNA expression of Foxp3 was significantly decreased, and expression of miR-210 was significantly increased.","author":[{"dropping-particle":"","family":"Chen","given":"Jiying","non-dropping-particle":"","parse-names":false,"suffix":""},{"dropping-particle":"","family":"Zhao","given":"Lijian","non-dropping-particle":"","parse-names":false,"suffix":""},{"dropping-particle":"","family":"Wang","given":"Dengchuan","non-dropping-particle":"","parse-names":false,"suffix":""},{"dropping-particle":"","family":"Xu","given":"Yanbin","non-dropping-particle":"","parse-names":false,"suffix":""},{"dropping-particle":"","family":"Gao","given":"Haijie","non-dropping-particle":"","parse-names":false,"suffix":""},{"dropping-particle":"","family":"Tan","given":"Wenqing","non-dropping-particle":"","parse-names":false,"suffix":""},{"dropping-particle":"","family":"Wang","given":"Chenhong","non-dropping-particle":"","parse-names":false,"suffix":""}],"container-title":"Molecular Medicine Reports","id":"ITEM-1","issue":"2","issued":{"date-parts":[["2019"]]},"page":"1150-1158","title":"Contribution of regulatory T cells to immune tolerance and association of microRNA-210 and Foxp3 in preeclampsia","type":"article-journal","volume":"19"},"uris":["http://www.mendeley.com/documents/?uuid=6020f860-03a3-3010-a609-7beab39203b3"]}],"mendeley":{"formattedCitation":"(Chen et al., 2019)","plainTextFormattedCitation":"(Chen et al., 2019)","previouslyFormattedCitation":"(Chen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(Chen et al., 2019)</w:t>
            </w:r>
            <w:r>
              <w:rPr>
                <w:rFonts w:eastAsia="Times New Roman"/>
                <w:sz w:val="18"/>
                <w:szCs w:val="18"/>
              </w:rPr>
              <w:fldChar w:fldCharType="end"/>
            </w:r>
          </w:p>
        </w:tc>
        <w:tc>
          <w:tcPr>
            <w:tcW w:w="3100" w:type="dxa"/>
            <w:shd w:val="clear" w:color="auto" w:fill="auto"/>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{"citationItems":[{"id":"ITEM-1","itemData":{"DOI":"10.1080/14767058.2019.1569614","abstract":"Objective: To identify microRNAs (miRNAs) differentially expressed in plasma exosomes collected in women diagnosed with preeclampsia compared with women with uncomplicated pregnancies. Materials and methods: Exosomes were purified from plasma samples obtained at each trimester from four women subsequently diagnosed with preeclampsia and from five matched healthy controls. RNA was purified from the exosomes, and expression of 368 miRNAs was profiled using A-Set TaqMan low density array (TLDA). Results: One-third of the 368 miRNAs profiled are not expressed in exosomes. Further, those that are not expressed tend to be evolutionarily younger and have a significantly different mature sequence signature than do miRNAs that are expressed in exosomes. Among miRNAs that are expressed in exosomes, a total of eight (miR-134, miR-196b, miR-302c, miR-346, miR-376c, miR-486-3p, miR-590-5p, and miR-618) were found to display statistically significant differential expression between women who developed preeclampsia as compared with those who did not. Moreover, half of these miRNAs (miR-134, miR-376c, miR-486-3p, and miR-590-5p) displayed statistically significant differential expression in the first trimester. Conclusions: Not all miRNAs are expressed in exosomes. Those that tend to be evolutionarily older and have a significantly different mature sequence signature than those that are not. A few exosome-expressed miRNAs do display expression patterns in women subsequently diagnosed with preeclampsia that are significantly different than in women having an uncomplicated and, among these, several appear in the first trimester. These miRNAs are potential early markers of preeclampsia risk.","author":[{"dropping-particle":"","family":"Devor","given":"Eric","non-dropping-particle":"","parse-names":false,"suffix":""},{"dropping-particle":"","family":"Santillan","given":"Donna","non-dropping-particle":"","parse-names":false,"suffix":""},{"dropping-particle":"","family":"Scroggins","given":"Sabrina","non-dropping-particle":"","parse-names":false,"suffix":""},{"dropping-particle":"","family":"Warrier","given":"Akshaya","non-dropping-particle":"","parse-names":false,"suffix":""},{"dropping-particle":"","family":"Santillan","given":"Mark","non-dropping-particle":"","parse-names":false,"suffix":""}],"container-title":"Journal of Maternal-Fetal and Neonatal Medicine","id":"ITEM-1","issue":"18","issued":{"date-parts":[["2020"]]},"page":"3116-3124","title":"Trimester-specific plasma exosome microRNA expression profiles in preeclampsia","type":"article-journal","volume":"33"},"uris":["http://www.mendeley.com/documents/?uuid=6b3cf997-aab0-36f3-9b31-38386b79281e"]}],"mendeley":{"formattedCitation":"(Devor et al., 2020)","plainTextFormattedCitation":"(Devor et al., 2020)","previouslyFormattedCitation":"(Devor et al., 2020)"},"properties":{"noteIndex":0},"schema":"https://github.com/citation-style-language/schema/raw/master/csl-citation.json"}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(Devor et al., 2020)</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RNU48</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{"citationItems":[{"id":"ITEM-1","itemData":{"DOI":"10.1016/j.preghy.2019.05.013","abstract":"MicroRNAs (miRNAs/miRs) are highly stable in circulating, which suppress target gene expression by base-pairing to the 3′-untranslated region. We compared the expressions of 3 circulating miRs (miR-31, miR-21, and miR-16), which are related to the control of cell apoptosis, invasion, angiogenesis and immune tolerance in non-pregnancy (n = 10), 20–34 gestational weeks normal pregnancy (20–34 GW NP, n = 20), early onset preeclampsia (EOPE, n = 20), 34–41 gestational weeks normal pregnancy (34–41 GW NP, n = 20) and late onset preeclampsia (LOPE, n = 20). Using quantitative RT-PCR, we found the levels of miR-31, miR-21 and miR-16 changed throughout different stages of pregnancy with the non-pregnancy as the calibrator. The plasma miR-31 levels were significantly down-regulated in EOPE rather than in LOPE when compared to gestational age matched normal pregnancy (P &lt; 0.001). MiR-21 levels were significantly lower in LOPE compared to healthy controls (P &lt; 0.001), while no significant difference was found between EOPE and 20–34 gestational weeks normal pregnancy (P = 0.376). The miR-16 expressions were at similar levels between preeclampsia (PE) and normal pregnancy. Receiver operating characteristic (ROC) curve analyses indicated the miR-31 differentiated EOPE patients from healthy controls with an area under the curve (AUC) of 0.875 with 95.0% sensitivity and 70.0% specificity. ROC curves also discriminated the LOPE patients from healthy pregnancy with an AUC of 0.793, 65.1% sensitivity and 90.3% specificity for plasma miR-21 levels. This study is the first to demonstrate the difference, and circulating miR-31 may serve as a diagnostic biomarker for early onset preeclampsia meanwhile miR-21 might be a diagnostic biomarker for late onset preeclampsia.","author":[{"dropping-particle":"","family":"Dong","given":"Kun","non-dropping-particle":"","parse-names":false,"suffix":""},{"dropping-particle":"","family":"Zhang","given":"Xiangli","non-dropping-particle":"","parse-names":false,"suffix":""},{"dropping-particle":"","family":"Ma","given":"Lijuan","non-dropping-particle":"","parse-names":false,"suffix":""},{"dropping-particle":"","family":"Gao","given":"Na","non-dropping-particle":"","parse-names":false,"suffix":""},{"dropping-particle":"","family":"Tang","given":"Haiyang","non-dropping-particle":"","parse-names":false,"suffix":""},{"dropping-particle":"","family":"Jian","given":"Feng","non-dropping-particle":"","parse-names":false,"suffix":""},{"dropping-particle":"","family":"Ma","given":"Yuyan","non-dropping-particle":"","parse-names":false,"suffix":""}],"container-title":"Pregnancy Hypertension","id":"ITEM-1","issued":{"date-parts":[["2019"]]},"page":"59-63","title":"Downregulations of circulating miR-31 and miR-21 are associated with preeclampsia","type":"article-journal","volume":"17"},"uris":["http://www.mendeley.com/documents/?uuid=0b184015-3d45-3041-bdc9-41d1d163d454"]}],"mendeley":{"formattedCitation":"(Dong et al., 2019)","plainTextFormattedCitation":"(Dong et al., 2019)","previouslyFormattedCitation":"(Dong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(Dong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460963">
              <w:rPr>
                <w:rFonts w:eastAsia="Times New Roman"/>
                <w:sz w:val="18"/>
                <w:szCs w:val="18"/>
              </w:rPr>
              <w:instrText>ADDIN CSL_CITATION {"citationItems":[{"id":"ITEM-1","itemData":{"DOI":"10.1002/jcp.27315","abstract":"Problem: Inappropriate activation of the immune system, particularly the imbalance of T-helper type 17 (Th17)/regulatory T (Treg) cells is thought to play considerable roles in preeclampsia (PE). To investigate the probable effects of the adaptive immune system in the pathophysiology of PE, we analyzed the dynamic changes of Th17/Treg cells, cytokines profile, and transcription pattern of Th17/Treg-related genes and microRNAs (miRNAs) in 50 women suffering from PE in comparison with 50 healthy pregnant women. Methods: Expressions of cytokines, specific transcription factors, and related miRNAs were measured by real-time polymerase chain reaction (PCR). Enzyme-linked immunosorbent assay (ELISA) was used to test the interleukin (IL)-17, IL-23, IL-6, and IL-10 and transforming growth factor β in serum and supernatant of peripheral blood mononuclear cells (PBMCs). The frequency of Th17 and Treg cells were determined by flow cytometry. Results: PE patients exhibited a decreased number of Treg cells (p = 0.006), while Th17 cells were increased (p = 0.004). Forkhead box P3 and IL-10 mRNA expressions were reduced (p = 0.0001 and 0.0028, respectively), while expressions of retinoic acid receptor-related orphan nuclear receptor γt, IL-17, IL-23, and IL-6 were enhanced (p &lt; 0.0001, 0.0018, 0.0014, and 0.027, respectively). ELISA results also showed increased levels of IL-6, IL-17, and IL-23 (p = 0.022, 0.0005, 0.0081, respectively), and decreased levels of IL-10 in the supernatant of PBMCs of PE patients compared with control group (p = 0.0011). There was significant upregulation of miR-106b and miR-326 (p = 0.0048 and 0.028, respectively) in PE patients in comparison with the control group. Conclusions: These findings suggest that imbalance of Th17/Treg cells, regulated possibly via microRNAs, may be involved in the pathogenesis of PE, emphasizing on the importance of these cells in feto-maternal immune cross-talk.","author":[{"dropping-particle":"","family":"Eghbal-Fard","given":"Shadi","non-dropping-particle":"","parse-names":false,"suffix":""},{"dropping-particle":"","family":"Yousefi","given":"Mehdi","non-dropping-particle":"","parse-names":false,"suffix":""},{"dropping-particle":"","family":"Heydarlou","given":"Hanieh","non-dropping-particle":"","parse-names":false,"suffix":""},{"dropping-particle":"","family":"Ahmadi","given":"Majid","non-dropping-particle":"","parse-names":false,"suffix":""},{"dropping-particle":"","family":"Taghavi","given":"Simin","non-dropping-particle":"","parse-names":false,"suffix":""},{"dropping-particle":"","family":"Movasaghpour","given":"Aliakbar","non-dropping-particle":"","parse-names":false,"suffix":""},{"dropping-particle":"","family":"Jadidi-Niaragh","given":"Farhad","non-dropping-particle":"","parse-names":false,"suffix":""},{"dropping-particle":"","family":"Yousefi","given":"Bahman","non-dropping-particle":"","parse-names":false,"suffix":""},{"dropping-particle":"","family":"Dolati","given":"Sanam","non-dropping-particle":"","parse-names":false,"suffix":""},{"dropping-particle":"","family":"Hojjat-Farsangi","given":"Mohammad","non-dropping-particle":"","parse-names":false,"suffix":""},{"dropping-particle":"","family":"Rikhtegar","given":"Reza","non-dropping-particle":"","parse-names":false,"suffix":""},{"dropping-particle":"","family":"Nouri","given":"Mohammad","non-dropping-particle":"","parse-names":false,"suffix":""},{"dropping-particle":"","family":"Aghebati-Maleki","given":"Leili","non-dropping-particle":"","parse-names":false,"suffix":""}],"container-title":"Journal of Cellular Physiology","id":"ITEM-1","issue":"4","issued":{"date-parts":[["2019"]]},"page":"5106-5116","title":"The imbalance of Th17/Treg axis involved in the pathogenesis of preeclampsia","type":"article-journal","volume":"234"},"uris":["http://www.mendeley.com/documents/?uuid=c8016517-73fd-3d4e-aede-b5e11a9002fd"]}],"mendeley":{"formattedCitation":"(Eghbal-Fard et al., 2019)","plainTextFormattedCitation":"(Eghbal-Fard et al., 2019)","previouslyFormattedCitation":"(Eghbal-Fard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(Eghbal-Fard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{"citationItems":[{"id":"ITEM-1","itemData":{"DOI":"10.1016/j.preghy.2019.04.004","abstract":"Objectives: Preeclampsia (PE) is diagnosed in women presenting with new onset hypertension accompanied by proteinuria. Gestational diabetes mellitus (GDM) is the carbohydrate intolerance that can occur in pregnancy. Neutrophil activation is related to PE and GDM. Circulating microRNAs (miRs) are small, noncoding RNA molecules. The aim of this study was to verify the expression levels of three candidate miRs in blood leukocytes of the patients with PE, GDM, and PE-GDM compared to healthy controls. Study design: We selected miR-21-3p, miR-155-5p, and miR-16-5p which have been associated with GDM and PE. Using real-time quantitative PCR, the expression levels of miR-21-3p, miR-155-5p, miR-16-5p were analyzed in PE (n = 23), GDM (n = 19), PE, and GDM (n = 9) compared to healthy controls (n = 28). Main outcome measures: The relative expression of the target miR in patient samples was compared to the calibrator and the results were expressed as relative quantification values. Results: There was a significant decrease in the expression levels of miR-21-3p in GDM and PE and miR-155-5p in PE group. No significant differences were observed in the expression levels of miRs in PE-GDM group. On receiving operator characteristic (ROC) analysis, areas under the curve (AUC) of the expression ratio of miR-21-3p in GDM was 0.73, and miR-21-3p, miR-155-5p in PE were 0.69 and 0.81, respectively. Conclusions: Our findings indicated that decreased miR-21-3p and miR-155-5p expression levels are associated with PE and miR-21-3p levels are associated with GDM. Our study for the first time revealed that miR-21-3p, miR-16-5p and miR155-5p are not related to PE-GDM group.","author":[{"dropping-particle":"","family":"Hocaoglu","given":"Meryem","non-dropping-particle":"","parse-names":false,"suffix":""},{"dropping-particle":"","family":"Demirer","given":"Selin","non-dropping-particle":"","parse-names":false,"suffix":""},{"dropping-particle":"","family":"Senturk","given":"Hilal","non-dropping-particle":"","parse-names":false,"suffix":""},{"dropping-particle":"","family":"Turgut","given":"Abdulkadir","non-dropping-particle":"","parse-names":false,"suffix":""},{"dropping-particle":"","family":"Komurcu-Bayrak","given":"Evrim","non-dropping-particle":"","parse-names":false,"suffix":""}],"container-title":"Pregnancy Hypertension","id":"ITEM-1","issued":{"date-parts":[["2019"]]},"page":"5-11","title":"Differential expression of candidate circulating microRNAs in maternal blood leukocytes of the patients with preeclampsia and gestational diabetes mellitus","type":"article-journal","volume":"17"},"uris":["http://www.mendeley.com/documents/?uuid=992eebb3-c57a-30dc-bbc1-67e58c7cd5f4"]}],"mendeley":{"formattedCitation":"(Hocaoglu et al., 2019)","plainTextFormattedCitation":"(Hocaoglu et al., 2019)","previouslyFormattedCitation":"(Hocaoglu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(Hocaoglu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{"citationItems":[{"id":"ITEM-1","itemData":{"DOI":"10.1016/j.ijcard.2019.05.036","abstract":"Background and methods: Gestational hypertension (GH), preeclampsia (PE) and fetal growth restriction (FGR) may predispose to later onset of cardiovascular/cerebrovascular diseases. We examined if pregnancy complications induce postpartum alterations in gene expression of cardiovascular/cerebrovascular disease associated microRNAs. 29 microRNAs were tested in peripheral blood of women, compared between groups with a history of GH, PE, FGR and controls, and correlated with the severity of the disease regarding clinical signs, delivery date, and Doppler parameters. Results: GH was associated with the up-regulation of miR-20a-5p, miR-143-3p, miR-146a-5p, miR-181a-5p, miR-199a-5p, miR-221-3p, and miR-499a-5p. The up-regulation of miR-17-5p, miR-20b-5p, miR-29a-3p, and miR-126-3p was a mutual phenomenon of GH and severe PE. GH and early PE were associated with up-regulation of miR-1-3p and miR-17-5p. GH and late PE showed up-regulation of miR-17-5p, miR-20b-5p, and miR-29a-3p. Severe PE induced up-regulation of miR-133a-3p and down-regulation of miR-130b-3p. MiR-133a-3p up-regulation was also observed in early PE. PE and/or FGR with abnormal Doppler parameters demonstrated up-regulation of miR-100-5p, miR-125b-5p, miR-133a-3p, and miR-145-5p. The combination screening was superior over using individual microRNAs for patients with GH, PE regardless of the severity of the disease, severe PE and early PE. A cardiovascular risk at patients with late PE, PE and/or FGR with abnormal Doppler parameters was identified more accurately using the single microRNA only. Conclusion: Epigenetic changes characteristic for cardiovascular/cerebrovascular diseases are present in women with a prior exposure to pregnancy complications. Screening of microRNAs may be used to identify patients at a higher risk of later development of cardiovascular/cerebrovascular diseases.","author":[{"dropping-particle":"","family":"Hromadnikova","given":"Ilona","non-dropping-particle":"","parse-names":false,"suffix":""},{"dropping-particle":"","family":"Kotlabova","given":"Katerina","non-dropping-particle":"","parse-names":false,"suffix":""},{"dropping-particle":"","family":"Dvorakova","given":"Lenka","non-dropping-particle":"","parse-names":false,"suffix":""},{"dropping-particle":"","family":"Krofta","given":"Ladislav","non-dropping-particle":"","parse-names":false,"suffix":""}],"container-title":"International Journal of Cardiology","id":"ITEM-1","issued":{"date-parts":[["2019"]]},"page":"158-167","publisher":"Elsevier Ireland Ltd","title":"Postpartum profiling of microRNAs involved in pathogenesis of cardiovascular/cerebrovascular diseases in women exposed to pregnancy-related complications","type":"article-journal","volume":"291"},"uris":["http://www.mendeley.com/documents/?uuid=21c8f59f-c373-3ad5-8ab8-4b4735893312"]}],"mendeley":{"formattedCitation":"(Hromadnikova et al., 2019b)","plainTextFormattedCitation":"(Hromadnikova et al., 2019b)","previouslyFormattedCitation":"(Hromadnikova et al., 2019b)"},"properties":{"noteIndex":0},"schema":"https://github.com/citation-style-language/schema/raw/master/csl-citation.json"}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2019b)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U58A and U38B</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{"citationItems":[{"id":"ITEM-1","itemData":{"DOI":"10.3390/ijms20122972","abstract":"1The aim of the study was to verify if quantification of placental specific C19MC microRNAs in plasma exosomes would be able to differentiate during the early stages of gestation between patients subsequently developing pregnancy-related complications and women with the normal course of gestation and if this differentiation would lead to the improvement of the diagnostical potential. The retrospective study on singleton Caucasian pregnancies was performed within 6/2011-2/2019. The case control study, nested in a cohort, involved women that later developed GH (n = 57), PE (n = 43), FGR (n = 63), and 102 controls. Maternal plasma exosome profiling was performed with the selection of C19MC microRNAs with diagnostical potential only (miR-516b-5p, miR-517-5p, miR-518b, miR-520a-5p, miR-520h, and miR-525-5p) using real-time RT-PCR. The down-regulation of miR-517-5p, miR-520a-5p, and miR-525-5p was observed in patients with later occurrence of GH and PE. Maternal plasma exosomal profiling of selected C19MC microRNAs also revealed a novel down-regulated biomarker during the first trimester of gestation (miR-520a-5p) for women destinated to develop FGR. First trimester circulating plasma exosomes possess the identical C19MC microRNA expression profile as placental tissues derived from patients with GH, PE and FGR after labor. The predictive accuracy of first trimester C19MC microRNA screening (miR-517-5p, miR-520a-5p, and miR-525-5p) for the diagnosis of GH and PE was significantly higher in the case of expression profiling of maternal plasma exosomes compared to expression profiling of the whole maternal plasma samples.","author":[{"dropping-particle":"","family":"Hromadnikova","given":"Ilona","non-dropping-particle":"","parse-names":false,"suffix":""},{"dropping-particle":"","family":"Dvorakova","given":"Lenka","non-dropping-particle":"","parse-names":false,"suffix":""},{"dropping-particle":"","family":"Kotlabova","given":"Katerina","non-dropping-particle":"","parse-names":false,"suffix":""},{"dropping-particle":"","family":"Krofta","given":"Ladislav","non-dropping-particle":"","parse-names":false,"suffix":""}],"container-title":"International Journal of Molecular Sciences","id":"ITEM-1","issue":"12","issued":{"date-parts":[["2019"]]},"page":"2972","title":"The prediction of gestational hypertension, preeclampsia and fetal growth restriction via the first trimester screening of plasma exosomal C19MC microRNAs","type":"article-journal","volume":"20"},"uris":["http://www.mendeley.com/documents/?uuid=de060b0b-3c63-302e-ae94-0c04267c11da"]}],"mendeley":{"formattedCitation":"(Hromadnikova et al., 2019a)","plainTextFormattedCitation":"(Hromadnikova et al., 2019a)","previouslyFormattedCitation":"(Hromadnikova et al., 2019a)"},"properties":{"noteIndex":0},"schema":"https://github.com/citation-style-language/schema/raw/master/csl-citation.json"}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(Hromadnikova et al., 2019a)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Cel-miR-39</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{"citationItems":[{"id":"ITEM-1","itemData":{"DOI":"10.3892/mmr.2019.10150","abstract":"Preeclampsia remains a major cause of maternal mortality and morbidity worldwide. It is generally accepted that the development of the placenta, including spiral artery remodelling, normal trophoblast cells function and maternal-fetal inflammation-immune interactions, is critical for the pathogenesis of preeclampsia. Several investigations have demonstrated that microRNAs (miRNAs/miRs) in the placenta may be potential molecular markers for diagnosis of preeclampsia. In the current study, the aim was to investigate the expression of miR-144-3p in the placenta of patients with preeclampsia and normal placentas, and to explore the potential target genes. H I Ì R N A microarray analysis was performed using three paired placentas (preeclampsia and normal) in order to find differential expression of miRNAs. Following this, miR-144-3p was selected as a differentially expressed H I Ì R N A and validated using in situ hybridization to determine the clinical significance in placentas with preeclampsia. A potential target gene of miR-144-3p, cyclooxygenase-2 (Cox-2), was identified by bioinformatics, luciferase reporter assay and western blotting. The expression of cox-2 was also examined by immunohistochemical staining of samples of placenta from patients with preeclampsia and normal placenta. Western blot analysis was performed to investigate the effect of miR-144-3p on the expression of Cox-2 in HTR-8/SVneo cells in vitro. miR-144-3p was decreased in placentas from patients with preeclampsia. A luciferase reporter assay demon¬ strated that Cox-2 was a potential miR-144-3p target gene and the result was verified by western blotting. A negative correlation was observed between miR-144-3p and Cox-2 in preeclamptic placenta by immunohistochemical staining and in situ hybridization. Western blot analysis demonstrated that overexpression of miR-144-3p decreased Cox-2 expression by 38.2% in HTR-8/SVneo cells. Understanding the differential expression of miR-144-3p and its association with Cox-2 may aid the exploration of the pathogenesis of preeclampsia, and contribute to the development of miRNA-based therapies in the future.","author":[{"dropping-particle":"","family":"Hu","given":"Suwei","non-dropping-particle":"","parse-names":false,"suffix":""},{"dropping-particle":"","family":"Li","given":"Jie","non-dropping-particle":"","parse-names":false,"suffix":""},{"dropping-particle":"","family":"Tung","given":"Ming","non-dropping-particle":"","parse-names":false,"suffix":""},{"dropping-particle":"","family":"Li","given":"Qian","non-dropping-particle":"","parse-names":false,"suffix":""},{"dropping-particle":"","family":"Chen","given":"Yung","non-dropping-particle":"","parse-names":false,"suffix":""},{"dropping-particle":"","family":"Lu","given":"Hongmei","non-dropping-particle":"","parse-names":false,"suffix":""},{"dropping-particle":"","family":"Wang","given":"Yixiong","non-dropping-particle":"","parse-names":false,"suffix":""},{"dropping-particle":"","family":"Min","given":"Lingfeng","non-dropping-particle":"","parse-names":false,"suffix":""}],"container-title":"Molecular Medicine Reports","id":"ITEM-1","issue":"6","issued":{"date-parts":[["2019"]]},"page":"4655-4662","title":"MicroRNA-144-3p may participate in the pathogenesis of preeclampsia by targeting Cox-2","type":"article-journal","volume":"19"},"uris":["http://www.mendeley.com/documents/?uuid=09c22a77-56c8-3657-9eff-4bb8a615e36c"]}],"mendeley":{"formattedCitation":"(Hu et al., 2019)","plainTextFormattedCitation":"(Hu et al., 2019)","previouslyFormattedCitation":"(Hu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(Hu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{"citationItems":[{"id":"ITEM-1","itemData":{"DOI":"10.1177/1933719118808916","abstract":"Objective: It has been demonstrated that preeclampsia is associated with alterations in placental microRNA expression. Previous reports have shown that hsa-miR-181a-5p is overexpressed in human preeclamptic placenta compared with normotensive placenta. The purpose of this study was to explore whether upregulated hsa-miR-181a-5p expression is involved in the ontogenesis of preeclampsia. Methods: Twenty preeclamptic placentas and 20 normotensive placentas were obtained from nulliparous women by cesarean section. Expression of hsa-miR-181a-5p in placenta tissues and human trophoblast cell lines was analyzed by reverse transcription polymerase chain reaction. The trophoblast cell lines (HTR-8/SVneo and JAR) were transfected with specific oligonucleotides to upregulate miR-181a-5p expression. The effect of miR-181a-5p expression on proliferation, cell cycle, apoptosis, and invasion in HTR-8/SVneo and JAR cells was then investigated. Result: It was demonstrated that hsa-miR-181a-5p expression was upregulated in preeclamptic placentas and that it may trigger antiproliferation and inhibition of cell cycle progression, induce apoptosis, and suppress invasion in HTR-8/SVneo and JAR cells. Conclusion: Anomalously upregulated hsa-miR-181a-5p expression could contribute to trophoblast dysfunction and may be a crucial factor in the pathogenesis of preeclampsia.","author":[{"dropping-particle":"","family":"Huang","given":"Xiaohao","non-dropping-particle":"","parse-names":false,"suffix":""},{"dropping-particle":"","family":"Wu","given":"Lan","non-dropping-particle":"","parse-names":false,"suffix":""},{"dropping-particle":"","family":"Zhang","given":"Guoying","non-dropping-particle":"","parse-names":false,"suffix":""},{"dropping-particle":"","family":"Tang","given":"Ranran","non-dropping-particle":"","parse-names":false,"suffix":""},{"dropping-particle":"","family":"Zhou","given":"Xue","non-dropping-particle":"","parse-names":false,"suffix":""}],"container-title":"Reproductive Sciences","id":"ITEM-1","issue":"8","issued":{"date-parts":[["2019"]]},"page":"1121-1129","title":"Elevated MicroRNA-181a-5p Contributes to Trophoblast Dysfunction and Preeclampsia","type":"article-journal","volume":"26"},"uris":["http://www.mendeley.com/documents/?uuid=9134c2f7-1858-3a1a-a77b-5e3129b6233c"]}],"mendeley":{"formattedCitation":"(Huang et al., 2019)","plainTextFormattedCitation":"(Huang et al., 2019)","previouslyFormattedCitation":"(Huang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(Huang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Treatment, Transfection, Cell Viability Assay, Cell Cycle Analysis, Apoptosis Detection Assay, Gelatin Zymography, Western Blotting Analysis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{"citationItems":[{"id":"ITEM-1","itemData":{"DOI":"10.1016/j.cellsig.2018.12.006","abstract":"Preeclampsia (PE), a pregnancy-specific disorder, is a leading cause of perinatal maternal and fetal mortality and morbidity. Impaired migration and invasion of trophoblastic cells and an imbalanced systemic maternal inflammatory response have been proposed as possible causes of pathogenesis of PE. Comparative analysis of PE-affected placentas and healthy placentas has uncovered differentially expressed long noncoding RNAs, microRNAs, and mRNAs. This study was conducted to investigate the effect of a regulatory network among these RNAs on PE pathogenesis. Long noncoding RNA WDR86-AS1, microRNA miR-10b-3p, and mRNA of protein LITAF were identified by screening of genes in existing databases with aberrant expression in PE-affected placentas and potential mutual interactions as revealed by TargetScan, miRanda, and PicTar analyses. This study identified their expression in PE-affected and healthy placentas by RT-PCR. An in vitro experiment was performed on human trophoblast HTR-8/SVneo cells cultured under normoxic or hypoxic conditions. MiR-10b-3p targets were identified in luciferase reporter assays and RNA pull-down assays. The mouse model of PE was set up using a soluble form of FLT-1 for in vivo testing. Lower levels of miR-10b-3p but higher expression of WDR86-AS1 and LITAF were observed in PE-affected placentas and trophoblast cells under hypoxia. WDR86-AS1 and LITAF mRNA were confirmed as targets of miR-10b-3p. WDR86-AS1 downregulated miR-10b-3p but promoted LITAF expression. Microarray analyses revealed that LITAF controlled the inflammatory responses and migration and proliferation of HTR-8/SVneo cells under hypoxia. Indeed, knockdown of WDR86-AS1 and LITAF or overexpression of miR-10b-3p attenuated the hypoxia-induced inhibition of cellular viability, migration, and invasion. Moreover, miR-10b-3p overexpression attenuated the pathological symptoms caused by soluble FLT-1 in vivo. In summary, the WDR86-AS1/miR-10b-3p/LITAF network is probably involved in PE pathogenesis.","author":[{"dropping-particle":"","family":"Li","given":"Ruizhen","non-dropping-particle":"","parse-names":false,"suffix":""},{"dropping-particle":"","family":"Wang","given":"Nan","non-dropping-particle":"","parse-names":false,"suffix":""},{"dropping-particle":"","family":"Xue","given":"Min","non-dropping-particle":"","parse-names":false,"suffix":""},{"dropping-particle":"","family":"Long","given":"Wenxin","non-dropping-particle":"","parse-names":false,"suffix":""},{"dropping-particle":"","family":"Cheng","given":"Chunxia","non-dropping-particle":"","parse-names":false,"suffix":""},{"dropping-particle":"","family":"Mi","given":"Chunmei","non-dropping-particle":"","parse-names":false,"suffix":""},{"dropping-particle":"","family":"Gao","given":"Zhou","non-dropping-particle":"","parse-names":false,"suffix":""}],"container-title":"Cellular Signalling","id":"ITEM-1","issued":{"date-parts":[["2019"]]},"page":"40-52","title":"A potential regulatory network among WDR86-AS1, miR-10b-3p, and LITAF is possibly involved in preeclampsia pathogenesis","type":"article-journal","volume":"55"},"uris":["http://www.mendeley.com/documents/?uuid=37779977-c5a9-3f76-865a-4b3020b86d62"]}],"mendeley":{"formattedCitation":"(Li et al., 2019)","plainTextFormattedCitation":"(Li et al., 2019)","previouslyFormattedCitation":"(Li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treatments, Cell transfection, An RNA pull-down assay, Microarray analyses, CCK-8 cell proliferation assay, Transwell cell invasion assay, Scratch assay, Immunohistochemistry, Gelatin zymography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{"citationItems":[{"id":"ITEM-1","itemData":{"DOI":"10.3892/mmr.2019.9997","abstract":"Insufficient invasion of trophoblasts is known to be associated with preeclampsia (PE) development. Recently, microRNAs (miRNAs) have been reported to serve important roles in the pathogenesis of PE. However, little is known regarding the regulation of trophoblastic invasion by miRNAs. The aim of the present study was to explore the role of miRNAs in trophoblastic invasion and the underlying molecular mechanism. Using a miRNA microarray, miRNAs putatively involved in the pathophysiology of PE were examined between normal and preeclamptic placentas. Validation analysis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level in placenta specimens was performed using reverse transcription</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quantitative polymerase chain reaction (RT</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qPCR). Then, the regulation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 xml:space="preserve">3p on trophoblast cells migration </w:instrText>
            </w:r>
            <w:r w:rsidR="00460963">
              <w:rPr>
                <w:rFonts w:eastAsia="Times New Roman"/>
                <w:sz w:val="18"/>
                <w:szCs w:val="18"/>
              </w:rPr>
              <w:instrText>and invasion was evaluated using wound healing and transwell migration assays. Furthermore, the target gene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and the downstream signaling pathway were also investigated. Microarray analysis and RT</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qPCR revealed that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was significantl</w:instrText>
            </w:r>
            <w:r w:rsidR="00460963">
              <w:rPr>
                <w:rFonts w:eastAsia="Times New Roman"/>
                <w:sz w:val="18"/>
                <w:szCs w:val="18"/>
              </w:rPr>
              <w:instrText>y upregulated in placenta specimens from patients with PE. Its overexpression inhibited trophoblast cell invasion and migration, whereas its knockdown enhanced trophoblast cell invasion and migration. In addition, overexpression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inhibited the</w:instrText>
            </w:r>
            <w:r w:rsidR="00460963">
              <w:rPr>
                <w:rFonts w:eastAsia="Times New Roman"/>
                <w:sz w:val="18"/>
                <w:szCs w:val="18"/>
              </w:rPr>
              <w:instrText xml:space="preserve"> mRNA expression and the activities of matrix metalloproteinase</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2 (MMP2) and MMP9, which are closely associated with cell invasion and migration, while inhibition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had the opposite result. Subsequent analyses demonstrated that transforming gro</w:instrText>
            </w:r>
            <w:r w:rsidR="00460963">
              <w:rPr>
                <w:rFonts w:eastAsia="Times New Roman"/>
                <w:sz w:val="18"/>
                <w:szCs w:val="18"/>
              </w:rPr>
              <w:instrText>wth factor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β1 (TGF</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β1) was a direct and functional target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Notably, the knockdown of TGF</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β1 effectively reversed the enhancement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inhibitor on trophoblast cell invasion and migration. Finally, the present study confirmed that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inhibitor enhanced cell invasion and migration by reactivating the TGF</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β1/Smad3 signaling pathway. Taken together, the results of the present study suggest that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may serve an important role in human placental development by suppressing tr</w:instrText>
            </w:r>
            <w:r w:rsidR="00460963">
              <w:rPr>
                <w:rFonts w:eastAsia="Times New Roman"/>
                <w:sz w:val="18"/>
                <w:szCs w:val="18"/>
              </w:rPr>
              <w:instrText>ophoblast cell invasion and migration through disruption of the TGF</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β1/smad3 signaling pathway, suggesting that knockdown of miR</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 may provide a novel therapy for PE.","author":[{"dropping-particle":"","family":"Liu","given":"Enling","non-dropping-par</w:instrText>
            </w:r>
            <w:r w:rsidR="00460963">
              <w:rPr>
                <w:rFonts w:eastAsia="Times New Roman"/>
                <w:sz w:val="18"/>
                <w:szCs w:val="18"/>
              </w:rPr>
              <w:instrText>ticle":"","parse-names":false,"suffix":""},{"dropping-particle":"","family":"Liu","given":"Zheng","non-dropping-particle":"","parse-names":false,"suffix":""},{"dropping-particle":"","family":"Zhou","given":"Yuxiu","non-dropping-particle":"","parse-names":false,"suffix":""},{"dropping-particle":"","family":"Chen","given":"Mei","non-dropping-particle":"","parse-names":false,"suffix":""},{"dropping-particle":"","family":"Wang","given":"Liqun","non-dropping-particle":"","parse-names":false,"suffix":""},{"dropping-particle":"","family":"Li","given":"Jun","non-dropping-particle":"","parse-names":false,"suffix":""}],"container-title":"Molecular Medicine Reports","id":"ITEM-1","issue":"5","issued":{"date-parts":[["2019"]]},"page":"3775-3782","title":"MicroRNA</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142</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3p</w:instrText>
            </w:r>
            <w:r w:rsidR="00460963">
              <w:rPr>
                <w:rFonts w:eastAsia="Times New Roman"/>
                <w:sz w:val="18"/>
                <w:szCs w:val="18"/>
              </w:rPr>
              <w:instrText xml:space="preserve"> inhibits trophoblast cell migration and invasion by disrupting the TGF</w:instrText>
            </w:r>
            <w:r w:rsidR="00460963">
              <w:rPr>
                <w:rFonts w:ascii="MS Mincho" w:eastAsia="MS Mincho" w:hAnsi="MS Mincho" w:cs="MS Mincho" w:hint="eastAsia"/>
                <w:sz w:val="18"/>
                <w:szCs w:val="18"/>
              </w:rPr>
              <w:instrText>‑</w:instrText>
            </w:r>
            <w:r w:rsidR="00460963">
              <w:rPr>
                <w:rFonts w:eastAsia="Times New Roman" w:cs="Times New Roman"/>
                <w:sz w:val="18"/>
                <w:szCs w:val="18"/>
              </w:rPr>
              <w:instrText>β1/Smad3 signaling pathway","type":"article-journal","volume":"49"},"uris":["http://www.mendeley.com/documents/?uuid=14d01d6d-851d-3ad3-a836-885e3a1f5110"]}],"mendeley":{"formattedCita</w:instrText>
            </w:r>
            <w:r w:rsidR="00460963">
              <w:rPr>
                <w:rFonts w:eastAsia="Times New Roman"/>
                <w:sz w:val="18"/>
                <w:szCs w:val="18"/>
              </w:rPr>
              <w:instrText>tion":"(Liu et al., 2019a)","plainTextFormattedCitation":"(Liu et al., 2019a)","previouslyFormattedCitation":"(Liu et al., 2019a)"},"properties":{"noteIndex":0},"schema":"https://github.com/citation-style-language/schema/raw/master/csl-citation.json"}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(Liu et al., 2019a)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283825">
              <w:rPr>
                <w:rFonts w:eastAsia="Times New Roman"/>
                <w:sz w:val="18"/>
                <w:szCs w:val="18"/>
              </w:rPr>
              <w:instrText>ADDIN CSL_CITATION {"citationItems":[{"id":"ITEM-1","itemData":{"DOI":"10.26355/eurrev_201902_16978","abstract":"OBJECTIVE: The aim of this study was to investigate the influence of micro-ribo-nucleic acid-34a (miR-34a) on preeclampsia through the Notch signaling pathway. PATIENTS AND METHODS: The expressions of miR-34a, Notch-1, Notch-2, and Notch-3 in the placenta of 39 preeclampsia patients and 42 normal patients were detected by immuno-histochemistry and Reverse Transcription-Poly-merase Chain Reaction (RT-PCR). The correlations between miR-34a expression with the expressions of Notch-1, Notch-2 and Notch-3 were analyzed, respectively. Besides, placen-tal trophoblasts were isolated from preeclamp-sia patients and cultured in vitro. The expressions of miR-34a, Notch-1, Notch-2 and Notch-3 in placental trophoblasts were analyzed. Furthermore , the influences of miR-34a on the protein expressions of Notch-1, Notch-2, Notch-3, and hairy and enhancer of split-1 (Hes-1) in the Notch signaling pathway were analyzed by Lu-ciferase reporter gene assay and Western blotting. The role of Notch in trophoblast invasion was investigated through the Notch inhibitors. In addition, its influence on the expression of uro-kinase-type plasminogen activator (uPA) was studied by miR-34a overexpression. RESULTS: The expressions of miR-34a and Notch-1 were correlated with preeclampsia in the placentas of preeclampsia patients and normal patients to a certain degree. The expression of miR-34a in preeclamptic placenta was significantly higher than that of the normal placenta (p&lt;0.05). However, Notch-1 expression was markedly lower in preeclamptic placenta (p&lt;0.05). No significant differences were found in the expressions of Notch-2 and Notch-3 between the two types of placentas (p&gt;0.05). MiR-34a had a remarkable negative correlation with Notch-1 expression in the Notch family (p&lt;0.001, r=-0.5775). RT-PCR results revealed that the mRNA expression of miR-34a in placental trophoblasts of patients with preeclampsia was notably higher than that of normal people (p&lt;0.01). However, Western blotting demonstrated that the protein expressions of Notch-1, Notch-2 and Notch-3 exhibited the opposite results. Additionally, the protein expression of Notch-1, Notch-2, Notch-3 and Hes-1 in trophoblasts transfected with pre-miR-34a was significantly decreased. The treatment with Notch inhibitors markedly reduced the trophoblast invasion. Furthermore, miR-34a overexpression or in-tracellular domain of Notch (ICN) overexpression regulated uPA expression. CONCLUSIONS: MiR-34a regulates uPA system through th…","author":[{"dropping-particle":"","family":"Liu","given":"JJ","non-dropping-particle":"","parse-names":false,"suffix":""},{"dropping-particle":"","family":"Zhang","given":"L","non-dropping-particle":"","parse-names":false,"suffix":""},{"dropping-particle":"","family":"Zhang","given":"FF","non-dropping-particle":"","parse-names":false,"suffix":""},{"dropping-particle":"","family":"Luan","given":"T","non-dropping-particle":"","parse-names":false,"suffix":""},{"dropping-particle":"","family":"Yin","given":"ZM","non-dropping-particle":"","parse-names":false,"suffix":""},{"dropping-particle":"","family":"Rui","given":"C","non-dropping-particle":"","parse-names":false,"suffix":""},{"dropping-particle":"","family":"Ding","given":"HJ","non-dropping-particle":"","parse-names":false,"suffix":""}],"container-title":"Eur Rev Med Pharmacol Sci","id":"ITEM-1","issue":"3","issued":{"date-parts":[["2019"]]},"page":"923-931","title":"Influence of miR-34a on preeclampsia through the Notch signaling pathway","type":"article-journal","volume":"23"},"uris":["http://www.mendeley.com/documents/?uuid=0f6655f3-d8a4-3e73-b455-45d94cc08be8"]}],"mendeley":{"formattedCitation":"(Liu et al., 2019b)","plainTextFormattedCitation":"(Liu et al., 2019b)","previouslyFormattedCitation":"(Liu JJ, Zhang L, Zhang FF, Luan T, Yin ZM, Rui C, 2019)"},"properties":{"noteIndex":0},"schema":"https://github.com/citation-style-language/schema/raw/master/csl-citation.json"}</w:instrText>
            </w:r>
            <w:r>
              <w:rPr>
                <w:rFonts w:eastAsia="Times New Roman"/>
                <w:sz w:val="18"/>
                <w:szCs w:val="18"/>
              </w:rPr>
              <w:fldChar w:fldCharType="separate"/>
            </w:r>
            <w:r w:rsidR="00283825" w:rsidRPr="00283825">
              <w:rPr>
                <w:rFonts w:eastAsia="Times New Roman"/>
                <w:noProof/>
                <w:sz w:val="18"/>
                <w:szCs w:val="18"/>
              </w:rPr>
              <w:t>(Liu et al., 2019b)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Immuno-Histochemical Detection, Western Blotting, Cell Invasion Assay, Overexpression of MiR-34a and Transfection of ICN Expression Plasmids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283825">
              <w:rPr>
                <w:rFonts w:eastAsia="Times New Roman"/>
                <w:sz w:val="18"/>
                <w:szCs w:val="18"/>
              </w:rPr>
              <w:instrText>ADDIN CSL_CITATION {"citationItems":[{"id":"ITEM-1","itemData":{"DOI":"10.1007/s00011-019-01246-8","abstract":"Background: The pathogenesis of preeclampsia (PE) is suggested to be a consequence of inflammation. Previously conducted investigations on nod-like receptor pyrin domain-containing 3 (NLRP3) have shed light to its crucial role in PE. Furthermore, microRNA-520c-3p (miR-520c-3p) is observed to be implicated in inflammation. Therefore, the current study aimed to explore the role of miR-520c-3p in inflammatory cascade of PE by targeting NLRP3. Methods: Microarray analyses were performed to screen differentially expressed genes associated with PE, and the potential relationship between miR-520c-3p and NLRP3 was analyzed. PE and normal placenta tissues were collected to determine the levels of inflammatory cytokines (IL-18, IL-33, IL-1β, IL-10, and TNF-α), miR-520c-3p and NLRP3. Hypoxic HTR8/SVneo cells were transfected with oe-NLRP3, si-NLRP3 or miR-520c-3p mimic to elucidate the functional role of NLRP3 or miR-520c-3p in the inflammatory cascade in PE, followed by the evaluation of levels of inflammatory cytokines and NLRP3 inflammasomes (NLRP3, ASC and caspase-1). Additionally, the HTR8/SVneo cell migration and invasion were evaluated. Results: An upregulation of NLRP3, IL-18, IL-1β and TNF-α, and downregulation of miR-520c-3p, IL-33 and IL-10 were observed in PE placenta tissues. NLRP3 was found to be a target gene of miR-520c-3p. HTR8/SVneo cells after hypoxia transfected with si-NLRP3 or miR-520c-3p mimic exhibited decreased levels of inflammatory cytokines and NLRP3 inflammasomes, in addition to increased IL-10 and IL-33 levels. Moreover, enhanced migration and invasion abilities were observed in cells transfected with si-NLRP3. Conclusion: Collectively, miR-520c-3p could potentially inhibit NLRP3 inflammasome activation and inflammatory cascade in PE by downregulating NLRP3, highlighting the potential of miR-520c-3p as a therapeutic target for PE treatment.","author":[{"dropping-particle":"","family":"Liu","given":"Zhaochun","non-dropping-particle":"","parse-names":false,"suffix":""},{"dropping-particle":"","family":"Zhao","given":"Xia","non-dropping-particle":"","parse-names":false,"suffix":""},{"dropping-particle":"","family":"Shan","given":"Hong Ying","non-dropping-particle":"","parse-names":false,"suffix":""},{"dropping-particle":"","family":"Gao","given":"Huan","non-dropping-particle":"","parse-names":false,"suffix":""},{"dropping-particle":"","family":"Wang","given":"Ping","non-dropping-particle":"","parse-names":false,"suffix":""}],"container-title":"Inflammation Research","id":"ITEM-1","issue":"8","issued":{"date-parts":[["2019"]]},"page":"643-654","title":"microRNA-520c-3p suppresses NLRP3 inflammasome activation and inflammatory cascade in preeclampsia by downregulating NLRP3","type":"article-journal","volume":"68"},"uris":["http://www.mendeley.com/documents/?uuid=4de40402-d637-3efe-b3e4-2d562f3df34a"]}],"mendeley":{"formattedCitation":"(Liu et al., 2019c)","plainTextFormattedCitation":"(Liu et al., 2019c)","previouslyFormattedCitation":"(Liu et al., 2019b)"},"properties":{"noteIndex":0},"schema":"https://github.com/citation-style-language/schema/raw/master/csl-citation.json"}</w:instrText>
            </w:r>
            <w:r>
              <w:rPr>
                <w:rFonts w:eastAsia="Times New Roman"/>
                <w:sz w:val="18"/>
                <w:szCs w:val="18"/>
              </w:rPr>
              <w:fldChar w:fldCharType="separate"/>
            </w:r>
            <w:r w:rsidR="00283825" w:rsidRPr="00283825">
              <w:rPr>
                <w:rFonts w:eastAsia="Times New Roman"/>
                <w:noProof/>
                <w:sz w:val="18"/>
                <w:szCs w:val="18"/>
              </w:rPr>
              <w:t>(Liu et al., 2019c)</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Microarray‐based analysis, ELISA, Immunohistochemistry, Cell treatment,Western blot analysis, Immunofuorescence assay, Scratch test, Transwell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{"citationItems":[{"id":"ITEM-1","itemData":{"abstract":"Objective: The aim of the current study was to investigate the clinical significance of peripheral blood miR-133a and miR-206 in pregnant women with preeclampsia (PE), examining correlation with pregnancy outcomes. Methods: A prospective cohort study design was used for 89 patients with PE.","author":[{"dropping-particle":"","family":"Ma","given":"Rong","non-dropping-particle":"","parse-names":false,"suffix":""},{"dropping-particle":"","family":"Lu","given":"Yan","non-dropping-particle":"","parse-names":false,"suffix":""},{"dropping-particle":"","family":"Dou","given":"Chunjiang","non-dropping-particle":"","parse-names":false,"suffix":""},{"dropping-particle":"","family":"Gu","given":"Qiaoling","non-dropping-particle":"","parse-names":false,"suffix":""}],"container-title":"Int J Clin Exp Med","id":"ITEM-1","issue":"6","issued":{"date-parts":[["2019"]]},"page":"7383-7391","title":"Clinical significance of miR-133a and miR-206 in pregnant women with preeclampsia and correlation with pregnancy outcomes","type":"article-journal","volume":"12"},"uris":["http://www.mendeley.com/documents/?uuid=58a85cbf-c3ac-33a9-b523-834c6e987b2d"]}],"mendeley":{"formattedCitation":"(Ma et al., 2019)","plainTextFormattedCitation":"(Ma et al., 2019)","previouslyFormattedCitation":"(Ma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(Ma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{"citationItems":[{"id":"ITEM-1","itemData":{"DOI":"10.1016/j.preghy.2019.03.012","abstract":"Objective: Preeclampsia pathogenesis involves imbalances of oxidative stress networks including the heat shock protein (HSP) pathway. Micro-RNAs regulate gene networks associated with preeclampsia. Hsp90 and Runx2 are transcriptional targets of miR-628-3p. Considering that potential participation of hsa-miR-628-3p in PE development is still not elucidated, the aim of this study was to evaluate serum microRNA expression of hsa-miR-628-3p and hsa-miR-628-5p and their association with the preeclampsia development. Study design: A retrospective nested cohort case-control study was conducted. Serum samples from 16 pregnant women who developed preeclampsia (WWD-PE) during the follow-up period were selected and individually matched to that from 18 women in the cohort who had healthy pregnancies without complications (controls). Main outcome measures: The levels of hsa-miR-628-3p and hsa-miR-628-5p were measured in serum samples from study groups at 12, 16, and 20 weeks of gestation (WG) using TaqMan probes. Additionally serum levels were measured at the moment of diagnosis, in women with preeclampsia. Results: Serum levels of hsa-miR-628-3p were higher than controls in WWD-PE at 12 WG (RQ = 7.7; P = 0.020), and of hsa-miR-628-5p at 20 WG (RQ = 3.4; P = 0.008). An increase in hsa-miR-628-3p serum levels at 12 WG (RQ = 12.01; P = 0.001) and of hsa-miR-628-5p at 20 WG (RQ = 2.95; P = 0.033) was also observed in women who developed mild preeclampsia, and severe preeclampsia, respectively. Conclusions: Serum hsa-miR-628-3p and hsa-miR-628-5p were differentially expressed between WWD-PE and controls, suggesting a participation of these miRNAs in the development of preeclampsia. Future studies are needed to validate hsa-miR628-3p and -5p as early predictors of preeclampsia.","author":[{"dropping-particle":"","family":"Martinez-Fierro","given":"Margarita L.","non-dropping-particle":"","parse-names":false,"suffix":""},{"dropping-particle":"","family":"Carrillo-Arriaga","given":"Jose Gerardo","non-dropping-particle":"","parse-names":false,"suffix":""},{"dropping-particle":"","family":"Luevano","given":"Martha","non-dropping-particle":"","parse-names":false,"suffix":""},{"dropping-particle":"","family":"Lugo-Trampe","given":"Angel","non-dropping-particle":"","parse-names":false,"suffix":""},{"dropping-particle":"","family":"Delgado-Enciso","given":"Ivan","non-dropping-particle":"","parse-names":false,"suffix":""},{"dropping-particle":"","family":"Rodriguez-Sanchez","given":"Iram Pablo","non-dropping-particle":"","parse-names":false,"suffix":""},{"dropping-particle":"","family":"Garza-Veloz","given":"Idalia","non-dropping-particle":"","parse-names":false,"suffix":""}],"container-title":"Pregnancy Hypertension","id":"ITEM-1","issued":{"date-parts":[["2019"]]},"page":"120-125","title":"Serum levels of miR-628-3p and miR-628-5p during the early pregnancy are increased in women who subsequently develop preeclampsia","type":"article-journal","volume":"16"},"uris":["http://www.mendeley.com/documents/?uuid=4b5efe7a-1689-34f3-8391-85093af5d344"]}],"mendeley":{"formattedCitation":"(Martinez-Fierro et al., 2019)","plainTextFormattedCitation":"(Martinez-Fierro et al., 2019)","previouslyFormattedCitation":"(Martinez-Fierro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(Martinez-Fierro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{"citationItems":[{"id":"ITEM-1","itemData":{"DOI":"10.1016/j.biopha.2019.108805","abstract":"Background: Preeclampsia (PE) is a special complication during pregnancy, which can cause severe maternal complications and lead the cause of maternal and perinatal death. So far, the etiology and pathogenesis of the disease is still not very clear. Currently, microRNAs (miRNAs) are reported to be the key regulators in the development of PE. Methods: The miR-199a-5p expression was detected by qRT-PCR. The expression of vascular endothelial growth factor A (VEGFA), placental growth factor (PLGF) and activating transcription factor 3 (ATF-3) were detected by qRT-PCR and Western blot. Transwell-invasion assay wasused to assess the effects of miR-199a-5p, PLGF and ATF-3 on the invasion of HTR-8/SVneo and TEV-1cell lines. Western blot and qRT-PCR were used to assess the related molecular mechanisms. Dual luciferase reporter assay was used to detect the interaction between miR-199a-5p and VEGFA. Results: Here, weinitially demonstrated that in PE tissues, miR-199a-5p expression was higher than that in normal tissues, while there was sharp reduction in VEGFA. In placental tissues of PE patients, miR-199a-5p exhibited a negatively correlation with VEGFA. The invasion of HTR-8/SVneo and TEV-1 cells was suppressed by miR-199a-5p through direct inhibition of VEGFA expression. In addition, PE tissues were associated with sharp reduction in the protein levels of PLGF, ATF-3 and histone deacetylase 6 (HDAC6) compared with the normal tissues. We further proved that over-expression of PLGF could also promote HTR-8/SVneo and TEV-1 cells invasion through up-regulating ATF-3 expression and down-regulating DNM3 opposite strand (DNM3os) and miR-199a-5p expression. Lastly, we also found that tubacin suppressed HTR-8/SVneo and TEV-1 cells invasion via regulation of miR-199a-5p and VEGFA expression. Conclusion: Our data demonstrated the role of miR-199a-5p in the preeclampsia, and proved that miR-199a-5p could act as a potential therapeutic target for the treatment of PE.","author":[{"dropping-particle":"","family":"Mei","given":"Zhixiong","non-dropping-particle":"","parse-names":false,"suffix":""},{"dropping-particle":"","family":"Huang","given":"Baoqin","non-dropping-particle":"","parse-names":false,"suffix":""},{"dropping-particle":"","family":"Zhang","given":"Yuan","non-dropping-particle":"","parse-names":false,"suffix":""},{"dropping-particle":"","family":"Qian","given":"Xialiu","non-dropping-particle":"","parse-names":false,"suffix":""},{"dropping-particle":"","family":"Mo","given":"Ying","non-dropping-particle":"","parse-names":false,"suffix":""},{"dropping-particle":"","family":"Deng","given":"Ni","non-dropping-particle":"","parse-names":false,"suffix":""}],"container-title":"Biomedicine and Pharmacotherapy","id":"ITEM-1","issued":{"date-parts":[["2019"]]},"page":"108805","title":"Histone deacetylase 6 negatively regulated microRNA-199a-5p induces the occurrence of preeclampsia by targeting VEGFA in vitro","type":"article-journal","volume":"114"},"uris":["http://www.mendeley.com/documents/?uuid=cd60099d-9134-3043-930c-af3c2e43aa11"]}],"mendeley":{"formattedCitation":"(Mei et al., 2019)","plainTextFormattedCitation":"(Mei et al., 2019)","previouslyFormattedCitation":"(Mei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(Mei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Transfection, Cell invasion assay, Immunofluorescence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{"citationItems":[{"id":"ITEM-1","itemData":{"DOI":"10.1016/j.preghy.2019.03.004","abstract":"MicroRNAs (miRNAs, miRs) are small regulatory non-coding RNAs that regulate gene expression by incomplete complementary attachment to the 3′UTR, 5′UTR, ORF and promoter regions of target mRNAs. We compared plasma levels of miR-210-3p and miR-517c-3p as cell-free microRNAs (cfmiRNAs) in preeclamptic (n = 20) and healthy women (n = 20). These miRs are responsible for cell growth and proliferation, placental hypoxia, immune response and apoptosis. We found higher expression levels of miR-210 and miR-517c in preeclamptic cases (+3.34 and +2.27 fold change, respectively). This is the first study that evaluates the plasma levels of miR-517c in preeclamptic cases by real time PCR (RT-PCR) technique. This study can lead to new opportunities for research about the roles of miRNAs in preeclampsia etiology or new biomarkers.","author":[{"dropping-particle":"","family":"Nejad","given":"Reza Mola Ali","non-dropping-particle":"","parse-names":false,"suffix":""},{"dropping-particle":"","family":"Saeidi","given":"Kolsoum","non-dropping-particle":"","parse-names":false,"suffix":""},{"dropping-particle":"","family":"Gharbi","given":"Sedigheh","non-dropping-particle":"","parse-names":false,"suffix":""},{"dropping-particle":"","family":"Salari","given":"Zohreh","non-dropping-particle":"","parse-names":false,"suffix":""},{"dropping-particle":"","family":"Saleh-Gohari","given":"Nasrollah","non-dropping-particle":"","parse-names":false,"suffix":""}],"container-title":"Pregnancy Hypertension","id":"ITEM-1","issued":{"date-parts":[["2019"]]},"page":"75-78","title":"Quantification of circulating miR-517c-3p and miR-210-3p levels in preeclampsia","type":"article-journal","volume":"16"},"uris":["http://www.mendeley.com/documents/?uuid=c745e402-f470-3edd-b541-e7bd2f2cdbf0"]}],"mendeley":{"formattedCitation":"(Nejad et al., 2019)","plainTextFormattedCitation":"(Nejad et al., 2019)","previouslyFormattedCitation":"(Nejad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(Nejad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miR-103</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(Pillay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Nanostring ncounter system miRNA</w:t>
            </w:r>
            <w:r w:rsidRPr="000710F5">
              <w:rPr>
                <w:rFonts w:eastAsia="Times New Roman"/>
                <w:sz w:val="18"/>
                <w:szCs w:val="18"/>
              </w:rPr>
              <w:br/>
              <w:t>assay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Nanoparticle tracking analysis,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controls (RPLP0, RPL19, B2M, GAPDH, andACTB) and spike-in miRNA (osa-miR422, osa-miR414,osa-miR254, osa-miR248 and osa-miR159a) included in the assay, which was final</w:t>
            </w:r>
            <w:r w:rsidR="001E29D7">
              <w:rPr>
                <w:rFonts w:eastAsia="Times New Roman"/>
                <w:sz w:val="18"/>
                <w:szCs w:val="18"/>
              </w:rPr>
              <w:pgNum/>
            </w:r>
            <w:r w:rsidR="001E29D7">
              <w:rPr>
                <w:rFonts w:eastAsia="Times New Roman"/>
                <w:sz w:val="18"/>
                <w:szCs w:val="18"/>
              </w:rPr>
              <w:t>ormalizat</w:t>
            </w:r>
            <w:r w:rsidRPr="000710F5">
              <w:rPr>
                <w:rFonts w:eastAsia="Times New Roman"/>
                <w:sz w:val="18"/>
                <w:szCs w:val="18"/>
              </w:rPr>
              <w:t>sed to total miRNA count</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10.1038/s41440-019-0269-8","author":[{"dropping-particle":"","family":"Sekar","given":"Durairaj","non-dropping-particle":"","parse-names":false,"suffix":""},{"dropping-particle":"","family":"Lakshmanan","given":"Ganesh","non-dropping-particle":"","parse-names":false,"suffix":""},{"dropping-particle":"","family":"Mani","given":"Panagal","non-dropping-particle":"","parse-names":false,"suffix":""},{"dropping-particle":"","family":"Biruntha","given":"M.","non-dropping-particle":"","parse-names":false,"suffix":""}],"container-title":"Hypertension Research","id":"ITEM-1","issue":"10","issued":{"date-parts":[["2019"]]},"page":"1647-1648","title":"Methylation-dependent circulating microRNA 510 in preeclampsia patients","type":"article-journal","volume":"42"},"uris":["http://www.mendeley.com/documents/?uuid=2a6f3eff-f339-344d-8552-21ffca13e2b6"]}],"mendeley":{"formattedCitation":"(Sekar et al., 2019)","plainTextFormattedCitation":"(Sekar et al., 2019)","previouslyFormattedCitation":"(Sekar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(Sekar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{"citationItems":[{"id":"ITEM-1","itemData":{"DOI":"10.1016/j.cbi.2018.10.012","abstract":"MicroRNAs (miRNAs) are emerging as important regulators in the pathogenesis of pre-eclampsia (PE). Recent evidence has reported that miR-454 plays an important role in regulating cell proliferation and invasion. The decreased proliferation and invasion of trophoblast cells contribute to the pathogenesis of PE. However, whether miR-454 is involved in the regulation of trophoblast cell proliferation and invasion remains unknown. In this study, we aimed to investigate the potential role and underlying mechanism of miR-454 in regulating trophoblast cell proliferation and invasion in vitro. We found that miR-454 expression was significantly decreased in placental tissues from PE patients compared to controls. Transfection of miR-454 mimics promoted the proliferation, reduced the apoptosis, and increased invasion of trophoblast cells, while transfection of miR-454 inhibitor showed opposite effects. Bioinformatics analysis showed that activin receptor-like kinase 7 (ALK7) was a potential target gene of miR-454. Dual-luciferase reporter assay showed miR-454 directly targeted the 3′-untranslated region of AKL7. Further experiments showed that miR-454 negatively regulated ALK7 expression. Interestingly, transfection of miR-454 mimics significantly abrogated the inhibitory effect of Nodal on trophoblast cell proliferation and invasion. Moreover, overexpression of ALK7 markedly reversed the promotion effect of miR-454 on trophoblast cell proliferation and invasion. Overall, our results suggest that miR-454 promotes the proliferation and invasion of trophoblast cells by downregulation of ALK7. Our study suggests that miR-454 may play critical roles in the pathogenesis of PE and serve as a potential therapeutic target for treatment of PE.","author":[{"dropping-particle":"","family":"Shi","given":"Ziyun","non-dropping-particle":"","parse-names":false,"suffix":""},{"dropping-particle":"","family":"She","given":"Kaie","non-dropping-particle":"","parse-names":false,"suffix":""},{"dropping-particle":"","family":"Li","given":"Hong","non-dropping-particle":"","parse-names":false,"suffix":""},{"dropping-particle":"","family":"Yuan","given":"Xiaohua","non-dropping-particle":"","parse-names":false,"suffix":""},{"dropping-particle":"","family":"Han","given":"Xi","non-dropping-particle":"","parse-names":false,"suffix":""},{"dropping-particle":"","family":"Wang","given":"Yaqin","non-dropping-particle":"","parse-names":false,"suffix":""}],"container-title":"Chemico-Biological Interactions","id":"ITEM-1","issued":{"date-parts":[["2019"]]},"page":"8-14","title":"MicroRNA-454 contributes to sustaining the proliferation and invasion of trophoblast cells through inhibiting Nodal/ALK7 signaling in pre-eclampsia","type":"article-journal","volume":"298"},"uris":["http://www.mendeley.com/documents/?uuid=99da0355-4a98-338c-a290-a521704363a6"]}],"mendeley":{"formattedCitation":"(Shi et al., 2019)","plainTextFormattedCitation":"(Shi et al., 2019)","previouslyFormattedCitation":"(Shi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(Shi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culture and cell treatments, Cell proliferation assay, Cell apoptosis assay, Cell invasion assay,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lastRenderedPageBreak/>
              <w:fldChar w:fldCharType="begin" w:fldLock="1"/>
            </w:r>
            <w:r w:rsidR="00460963">
              <w:rPr>
                <w:rFonts w:eastAsia="Times New Roman"/>
                <w:sz w:val="18"/>
                <w:szCs w:val="18"/>
              </w:rPr>
              <w:instrText>ADDIN CSL_CITATION {"citationItems":[{"id":"ITEM-1","itemData":{"DOI":"10.1016/j.preghy.2019.05.017","abstract":"Previous studies have suggested that altered miRNA expression in the placenta is associated with preeclampsia. The aim of this study was to investigate the expression of miR-424 in placental samples of severe preeclampsia (sPE) and uncomplicated pregnancy patients. miRNA was isolated from placentas obtained from 30 sPE patients and 30 healthy women. Quantitative real-time polymerase chain reaction was used to analyze the expression of miR-424. The prediction of target genes of miR-424 was performed using miRGen database. The function of these target genes was analyzed further by DAVID and Gorilla software. The expression of miR-424 was significantly lower in patients with sPE than in healthy controls. Changed expression of miR-424 in the case of pregnancy-related hypertensive disorders might affect the Wnt signaling pathway. These factors have a strong correlation with the development of PE. Expression of miR-424 in placenta was lower in patients with sPE, suggesting its role in the pathology of sPE.","author":[{"dropping-particle":"","family":"Tang","given":"Qiuqin","non-dropping-particle":"","parse-names":false,"suffix":""},{"dropping-particle":"","family":"Gui","given":"Jing","non-dropping-particle":"","parse-names":false,"suffix":""},{"dropping-particle":"","family":"Wu","given":"Xian","non-dropping-particle":"","parse-names":false,"suffix":""},{"dropping-particle":"","family":"Wu","given":"Wei","non-dropping-particle":"","parse-names":false,"suffix":""}],"container-title":"Pregnancy Hypertension","id":"ITEM-1","issued":{"date-parts":[["2019"]]},"page":"109-112","title":"Downregulation of miR-424 in placenta is associated with severe preeclampsia","type":"article-journal","volume":"17"},"uris":["http://www.mendeley.com/documents/?uuid=a74918b1-339f-3a55-87ed-d9cc65a50aac"]}],"mendeley":{"formattedCitation":"(Tang et al., 2019)","plainTextFormattedCitation":"(Tang et al., 2019)","previouslyFormattedCitation":"(Tang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(Tang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miR-424 target predictions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{"citationItems":[{"id":"ITEM-1","itemData":{"DOI":"10.1113/JP277704","abstract":"Key points: Endocrine gland-derived vascular endothelial growth factor (EG-VEGF) is a critical factor that facilitates trophoblast invasion in placenta. Plasma miR-141 and miR-200a levels were elevated, while EG-VEGF was decreased in peripheral blood and placenta of preeclamptic patients. Furthermore, numbers of cilia in the placenta from preeclamptic women were significantly decreased. Elevated miR-141 and miR-200a inhibited the expression of EG-VEGF, downstream extracellular signal-regulated kinase (ERK)/matrix metalloproteinase 9 signalling and cilia formation, thus leading to defective trophoblast invasion. The growth of the primary cilium, which transduced ERK signalling upon EG-VEGF induction for proper trophoblast invasion, was also inhibited by miR-141 and miR-200a upregulation. Abstract: Preeclampsia is a severe gestational complication, and inadequate trophoblast invasion during placental development is an important pathoaetiology. Endocrine gland-derived vascular endothelial growth factor (EG-VEGF) is a critical factor that facilitates trophoblast invasion in placenta. By binding to the primary cilium, EG-VEGF initiates the signalling cascade for proper embryo implantation and placental development. The miR-200 family was predicted to target the EG-VEGF 5′-untranslated region, and its specific binding site was confirmed using a dual luciferase and a co-transfection assay. In the peripheral blood and placenta of preeclamptic patients, EG-VEGF showed significantly lower expression, whereas plasma miR-141 and miR-200a had higher expression compared with the controls. The biological significance of miR-141 and miR-200a was verified using an overexpression method in a trophoblast cell line (HTR-8/SVneo). Elevated miR-141 and miR-200a inhibited the expression of EG-VEGF, matrix metalloproteinase 9 (MMP9) and downstream extracellular signal-regulated kinase (ERK) signalling, thus leading to defective trophoblast invasion. Additionally, the growth of the primary cilium, which transduces ERK/MMP9 signalling upon EG-VEGF induction, was inhibited by miR-141 and miR-200a upregulation. Furthermore, the number of cilia in the human placenta of preeclamptic women was significantly decreased compared to normal placenta. In conclusion, the study uncovers the clinical correlations among the miR-200 family, EG-VEGF and the primary cilium in preeclampsia and the underlying molecular mechanisms. The results indicate that miR-141 and miR-200a directly targeted EG-…","author":[{"dropping-particle":"","family":"Wang","given":"Chia Yih","non-dropping-particle":"","parse-names":false,"suffix":""},{"dropping-particle":"","family":"Tsai","given":"Pei Yin","non-dropping-particle":"","parse-names":false,"suffix":""},{"dropping-particle":"","family":"Chen","given":"Ting Yu","non-dropping-particle":"","parse-names":false,"suffix":""},{"dropping-particle":"","family":"Tsai","given":"Hui Ling","non-dropping-particle":"","parse-names":false,"suffix":""},{"dropping-particle":"","family":"Kuo","given":"Pao Lin","non-dropping-particle":"","parse-names":false,"suffix":""},{"dropping-particle":"","family":"Su","given":"Mei Tsz","non-dropping-particle":"","parse-names":false,"suffix":""}],"container-title":"Journal of Physiology","id":"ITEM-1","issue":"12","issued":{"date-parts":[["2019"]]},"page":"3069-3083","title":"Elevated miR-200a and miR-141 inhibit endocrine gland-derived vascular endothelial growth factor expression and ciliogenesis in preeclampsia","type":"article-journal","volume":"597"},"uris":["http://www.mendeley.com/documents/?uuid=b37d9946-34ce-3cbe-8249-9cb04e31c85a"]}],"mendeley":{"formattedCitation":"(Wang et al., 2019a)","plainTextFormattedCitation":"(Wang et al., 2019a)","previouslyFormattedCitation":"(Wang et al., 2019a)"},"properties":{"noteIndex":0},"schema":"https://github.com/citation-style-language/schema/raw/master/csl-citation.json"}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2019a)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MicroRNAs prediction, Transfection experiments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{"citationItems":[{"id":"ITEM-1","itemData":{"DOI":"10.1111/jcmm.13985","abstract":"Preeclampsia (PE), a pregnancy-specific disorder, is a leading cause of perinatal maternal-fetal mortality and morbidity. Impaired cell migration and invasion of trophoblastic cells and an imbalanced systemic maternal inflammatory response have been proposed as potential mechanisms of PE pathogenesis. Comparative analysis between PE placentas and normal placentas profiled differentially expressed miRNAs, lncRNAs, and mRNAs, including miR-19a-3p (miRNA), PSG10P (lncRNA), and IL1RAP (mRNA). This study was conducted to investigate their potential roles in PE pathogenesis. The expression of miR-19a-3p, PSG10P, and IL1RAP was examined in PE and normal placentas using RT-qPCR. An in vitro experiment was performed in human trophoblast HET8/SVneo and TEV-1 cells cultured in normoxic and hypoxic conditions. MiR-19a-3p targets were identified using Targetscan, miRanda, and PicTar analysis as well as luciferase reporter assays. The mouse model of PE was conducted using sFlt-1 for in vivo tests. Lower levels of miR-19a-3p, but higher levels of PSG10P and IL1RAP were observed in PE placentas and the trophoblast cells in hypoxia. Luciferase reporter assays confirmed that PSG10P and IL1RAP were both direct targets of miR-19a-3p. Exposure to hypoxia inhibited cell viability, migration, and invasion of HET8/SVneo and TEV-1 cells. Knocking out PSG10P and IL1RAP or overexpressing miR-19a-3p rescued the inhibition caused by hypoxia. In vivo experiments showed that IL1RAP promoted the expression of caspase-3, a key apoptosis enzyme, but inhibited MMP9, which is responsible for degrading the extracellular matrix, suggesting a significant role of IL1RAP in cell proliferation, migration, and invasion. miR-19a-3p, PSG10P, and IL1RAP were all found to be involved in PE pathogenesis. With a common targeting region in their sequences, a regulatory network in the PSG10P/miR-19a-3p/IL1RAP pathway may contribute to PE pathogenesis during pregnancy.","author":[{"dropping-particle":"","family":"Wang","given":"Nan","non-dropping-particle":"","parse-names":false,"suffix":""},{"dropping-particle":"","family":"Li","given":"Ruizhen","non-dropping-particle":"","parse-names":false,"suffix":""},{"dropping-particle":"","family":"Xue","given":"Min","non-dropping-particle":"","parse-names":false,"suffix":""}],"container-title":"Journal of Cellular and Molecular Medicine","id":"ITEM-1","issue":"2","issued":{"date-parts":[["2019"]]},"page":"852-864","title":"Potential regulatory network in the PSG10P/miR-19a-3p/IL1RAP pathway is possibly involved in preeclampsia pathogenesis","type":"article-journal","volume":"23"},"uris":["http://www.mendeley.com/documents/?uuid=25af9bec-3fb0-3ad8-bcbf-82727b341640"]}],"mendeley":{"formattedCitation":"(Wang et al., 2019b)","plainTextFormattedCitation":"(Wang et al., 2019b)","previouslyFormattedCitation":"(Wang et al., 2019b)"},"properties":{"noteIndex":0},"schema":"https://github.com/citation-style-language/schema/raw/master/csl-citation.json"}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2019b)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Western blot analysis, Cell transfection, Transwell cell invasion assay, Scratch assay, RNA pull‐down assay, Immunohistochemical staining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{"citationItems":[{"id":"ITEM-1","itemData":{"DOI":"10.1002/jcp.27758","abstract":"Preeclampsia is a serious complication of pregnancy and leads to maternal hypertension and proteinuria. It remains a major health problem for mothers and babies across the world due to high maternal and fetal morbidity and mortality. Accumulated data have implicated the critical role of microRNA in preeclampsia. However, to date, the role of miR-548c-5p in preeclampsia remains vaguely understood. In this study, we first elucidate the role of miR-548c-5p and its underlying molecular mechanism in preeclampsia. Compared with healthy controls, miR-548c-5p was obviously downregulated in serum exosomes and placental mononuclear cells in patients with preeclampsia. Nonetheless, PTPRO was significantly upregulated and negatively associated with miR-548c-5p in placental mononuclear cells in patients with preeclampsia. PTPRO was a target of miR-548c-5p. PTPRO was downregulated in the miR-548c-5p-overexpressed macrophages. In addition, miR-548c-5p could inhibit the proliferation and activation of LPS-stimulated macrophages, as evidenced by decreased levels of inflammatory cytokines (IL-12 and TNF-α) and less nuclear translocation of pNF-κB in pTHP1 cells. MiR-548c-5p acts as an anti-inflammatory factor in preeclampsia. The axis of miR-548c-5p/PTPRO/NF-κB may provide novel targets for the diagnosis and treatment of preeclampsia.","author":[{"dropping-particle":"","family":"Wang","given":"Zengfang","non-dropping-particle":"","parse-names":false,"suffix":""},{"dropping-particle":"","family":"Wang","given":"Pingping","non-dropping-particle":"","parse-names":false,"suffix":""},{"dropping-particle":"","family":"Wang","given":"Zengyan","non-dropping-particle":"","parse-names":false,"suffix":""},{"dropping-particle":"","family":"Qin","given":"Zhihao","non-dropping-particle":"","parse-names":false,"suffix":""},{"dropping-particle":"","family":"Xiu","given":"Xia","non-dropping-particle":"","parse-names":false,"suffix":""},{"dropping-particle":"","family":"Xu","given":"Donghua","non-dropping-particle":"","parse-names":false,"suffix":""},{"dropping-particle":"","family":"Zhang","given":"Xiaozhen","non-dropping-particle":"","parse-names":false,"suffix":""},{"dropping-particle":"","family":"Wang","given":"Yingliang","non-dropping-particle":"","parse-names":false,"suffix":""}],"container-title":"Journal of Cellular Physiology","id":"ITEM-1","issue":"7","issued":{"date-parts":[["2019"]]},"page":"11149-11155","title":"MiRNA-548c-5p downregulates inflammatory response in preeclampsia via targeting PTPRO","type":"article-journal","volume":"234"},"uris":["http://www.mendeley.com/documents/?uuid=40ea50a6-c1fc-37a8-9461-9d65bfdc6e24"]}],"mendeley":{"formattedCitation":"(Wang et al., 2019e)","plainTextFormattedCitation":"(Wang et al., 2019e)","previouslyFormattedCitation":"(Wang et al., 2019e)"},"properties":{"noteIndex":0},"schema":"https://github.com/citation-style-language/schema/raw/master/csl-citation.json"}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2019e)</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Cells culture and transfection, Cell Counting Kit‐8 assay, Enzyme‐linked immunosorbent assay, Western blot analysis, Immunoflorescence</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miR-16a</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{"citationItems":[{"id":"ITEM-1","itemData":{"DOI":"10.1002/mrd.23154","abstract":"Successful pregnancy depends on the precise regulation of extravillous trophoblast cell invasion ability. MicroRNA-210-3p (miR-210), which is increased in the placenta of pre-eclampsia. Furthermore, miR-210 could inhibit trophoblasts invasion and might act as a serum biomarker for pre-eclampsia. Previous studies have demonstrated that miR-210 regulates HUVEC (human umbilical vein endothelial cell)-mediated angiogenesis by regulating the NOTCH1 signaling pathway. Studies by our group have previously identified that NOTCH1 plays a positive role in regulating trophoblast functions. However, the miR-210/NOTCH1 signaling pathway in the regulation of trophoblasts and pre-eclampsia has not been characterized. Therefore, this study was conducted to investigate the role of miR-210 and its relationship with NOTCH1 in trophoblasts. We first examined the expression levels of miR-210 and NOTCH1 in pre-eclamptic and normals placentas. Next, the expression and location of miR-210 and NOTCH1 in the first-trimester villi, maternal decidua, and placenta of late pregnancy were shown via in situ hybridization and immunohistochemistry. The trophoblast cell line HTR-8/SVneo was used to investigate the effects of miR-210 on the expression of NOTCH1 and cell bioactivity by upregulation and downregulation strategies. The results showed that miR-210 expression was increased, whereas NOTCH1 expression was decreased in pre-eclamptic placenta compared with controls. Upregulation of miR-210 decreased NOTCH1 expression, impaired HTR-8/SVneo proliferation, migration, invasion, and tube-like formation capabilities, and promoted apoptosis. In contrast, downregulation of miR-210 resulted in the opposite effects. These findings suggested that miR-210 might act as a contributor to trophoblast dysfunction by attenuating NOTCH1 expression.","author":[{"dropping-particle":"","family":"Wang","given":"Rongli","non-dropping-particle":"","parse-names":false,"suffix":""},{"dropping-particle":"","family":"Liu","given":"Weifang","non-dropping-particle":"","parse-names":false,"suffix":""},{"dropping-particle":"","family":"Liu","given":"Xiaoping","non-dropping-particle":"","parse-names":false,"suffix":""},{"dropping-particle":"","family":"Liu","given":"Xiaoxia","non-dropping-particle":"","parse-names":false,"suffix":""},{"dropping-particle":"","family":"Tao","given":"Hui","non-dropping-particle":"","parse-names":false,"suffix":""},{"dropping-particle":"","family":"Wu","given":"Di","non-dropping-particle":"","parse-names":false,"suffix":""},{"dropping-particle":"","family":"Zhao","given":"Yin","non-dropping-particle":"","parse-names":false,"suffix":""},{"dropping-particle":"","family":"Zou","given":"Li","non-dropping-particle":"","parse-names":false,"suffix":""}],"container-title":"Molecular Reproduction and Development","id":"ITEM-1","issue":"7","issued":{"date-parts":[["2019"]]},"page":"896-907","title":"MicroRNA-210 regulates human trophoblast cell line HTR-8/SVneo function by attenuating Notch1 expression: Implications for the role of microRNA-210 in pre-eclampsia","type":"article-journal","volume":"86"},"uris":["http://www.mendeley.com/documents/?uuid=dab04f0f-4143-3e38-aad9-bdc2703f7e0d"]}],"mendeley":{"formattedCitation":"(Wang et al., 2019c)","plainTextFormattedCitation":"(Wang et al., 2019c)","previouslyFormattedCitation":"(Wang et al., 2019c)"},"properties":{"noteIndex":0},"schema":"https://github.com/citation-style-language/schema/raw/master/csl-citation.json"}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2019c)</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Immunohistochemistry (ICH)</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 xml:space="preserve">yes (qRT-PCR, </w:t>
            </w:r>
            <w:r w:rsidRPr="000710F5">
              <w:rPr>
                <w:rFonts w:eastAsia="Times New Roman"/>
                <w:i/>
                <w:iCs/>
                <w:sz w:val="18"/>
                <w:szCs w:val="18"/>
              </w:rPr>
              <w:t xml:space="preserve">In situ </w:t>
            </w:r>
            <w:r w:rsidRPr="000710F5">
              <w:rPr>
                <w:rFonts w:eastAsia="Times New Roman"/>
                <w:sz w:val="18"/>
                <w:szCs w:val="18"/>
              </w:rPr>
              <w:t>hybridization,   Western blotting, Cell culture and in vitro transfection, Cell migration and invasion assay, Network formation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{"citationItems":[{"id":"ITEM-1","itemData":{"DOI":"10.1016/j.biopha.2019.108953","abstract":"Objective: Preeclampsia is a pregnancy-specific syndrome characterized by hypertension and proteinuria. Impaired trophoblast invasion partly modulated by abnormal MAPK1/ERK2 signaling played important roles in the pathological process of preeclampsia. The objective of this study is to investigate miR-141-5p regulate ATF2 via effecting MAPK1/ERK2 signaling to promote preeclampsia. Study design: The maternal placentae and clinical data of 30 patients with preeclampsia and 30 healthy pregnant women were collected in the Second Hospital of Shanxi Medical University from July 2015 to April 2016. Transcriptional levels of miR-141-5p in placentae were monitored using quantitative real-time reverse transcription-polymerase chain reaction. The target gene of miR-141-5p was analyzed with “TargetScanHuman Release 7.2″. To evaluate the pathways of this response, MAPK1 and ERK1/2 in placentae were detected using immunohistochemistry and Western Blot. Transfection experiment was used to verify the function of miR-141-5p regulating ATF2 to effect MAPK1/ERK2 signaling in JEG-3 cells. Results: miR-141-5p was significantly down-regulated in placentae of patients with preeclampsia, in comparison to the healthy pregnant women groups. There was no difference in MAPK1 expression between placentae of patients with preeclampsia and healthy pregnant women groups. While p-MAPK1 expression was lower in preeclampsia placentae, in comparison to the healthy pregnant women groups. Moreover, inhibition and activation experiments also validate the function of miR-141-5p in effecting p-MAPK1 level in JEG-3 cells. Bioinformatic analysis identified that ATF2 was a target gene of miR-141-5p, which was one DNA-binding protein to effect phosphatase DUSP1 transcription. DUSP1 effect MAPK1/ERK2 signaling in preeclampsia. Conclusion: miR-141-5p up-regulated transcription factor ATF2 to promote phosphatase DUSP1 expression. DUSP1 expression reduces p-MAPK1 and ERK1/2 expression to promote preeclampsia.","author":[{"dropping-particle":"","family":"Wang","given":"Yonghong","non-dropping-particle":"","parse-names":false,"suffix":""},{"dropping-particle":"","family":"Cheng","given":"Keyan","non-dropping-particle":"","parse-names":false,"suffix":""},{"dropping-particle":"","family":"Zhou","given":"Wenli","non-dropping-particle":"","parse-names":false,"suffix":""},{"dropping-particle":"","family":"Liu","given":"Huiqiang","non-dropping-particle":"","parse-names":false,"suffix":""},{"dropping-particle":"","family":"Yang","given":"Taotao","non-dropping-particle":"","parse-names":false,"suffix":""},{"dropping-particle":"","family":"Hou","given":"Peiqin","non-dropping-particle":"","parse-names":false,"suffix":""},{"dropping-particle":"","family":"Li","given":"Xiaowei","non-dropping-particle":"","parse-names":false,"suffix":""}],"container-title":"Biomedicine and Pharmacotherapy","id":"ITEM-1","issued":{"date-parts":[["2019"]]},"page":"108953","title":"miR-141-5p regulate ATF2 via effecting MAPK1/ERK2 signaling to promote preeclampsia","type":"article-journal","volume":"115"},"uris":["http://www.mendeley.com/documents/?uuid=cbd5e268-7034-3866-8c3e-b9937d62abfc"]}],"mendeley":{"formattedCitation":"(Wang et al., 2019d)","plainTextFormattedCitation":"(Wang et al., 2019d)","previouslyFormattedCitation":"(Wang et al., 2019d)"},"properties":{"noteIndex":0},"schema":"https://github.com/citation-style-language/schema/raw/master/csl-citation.json"}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(Wang et al., 2019d)</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Immunohistochemical analysis, Western blotting, Cell transfection, Predictions of miRNA targets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{"citationItems":[{"id":"ITEM-1","itemData":{"DOI":"10.1016/j.preghy.2019.01.002","abstract":"Objective: Endoglin is expressed in human placenta and plays an important role in the pathogenesis of preeclampsia. Dysregulation of microRNAs in placental tissues has been recently suggested to be involved in the pathogenesis of preeclampsia. Until now, few studies have shed light on the correlation between endoglin and microRNAs, the latter of which may regulate the expression of ENG, a gene encoding endoglin, in placenta. In this study, we aim to investigate the regulation of ENG by microRNAs. Study design: We located the microRNAs that might regulate the expression of ENG. Candidate microRNAs were tested if they had an impact on trophoblast function. Main outcome measures: We compared endoglin expression between normotensive and preeclamptic placentas by using immunohistochemistry and real-time PCR. Downregulated microRNAs in preeclamptic placenta were revealed from a literature review. A bioinformatics assay was performed to predict those that might target ENG. Real-time PCR, Western blotting and dual luciferase assay were used to verify the targeting. The effects of the microRNAs on trophoblasts were evaluated by transwell invasion assay. Results: The endoglin level was significantly higher in preeclamptic placenta than in normotensive placenta. ENG was validated as the direct target of miR-149-5p and was inversely correlated with it. MiR-149-5p promoted the invasion of trophoblast cells, and this promotion was abrogated by the overexpression of ENG. Conclusions: Our findings highlight the importance of miR-149-5p in the pathogenesis of preeclampsia and provide new insight into the development of the disease.","author":[{"dropping-particle":"","family":"Xiaobo (</w:instrText>
            </w:r>
            <w:r w:rsidR="00460963">
              <w:rPr>
                <w:rFonts w:ascii="PMingLiU" w:eastAsia="PMingLiU" w:hAnsi="PMingLiU" w:cs="PMingLiU" w:hint="eastAsia"/>
                <w:sz w:val="18"/>
                <w:szCs w:val="18"/>
              </w:rPr>
              <w:instrText>赵肖波</w:instrText>
            </w:r>
            <w:r w:rsidR="00460963">
              <w:rPr>
                <w:rFonts w:eastAsia="Times New Roman"/>
                <w:sz w:val="18"/>
                <w:szCs w:val="18"/>
              </w:rPr>
              <w:instrText>)","given":"Zhao","non-dropping-particle":"","parse-names":false,"suffix":""},{"dropping-particle":"","family":"Qizhi","given":"He","non-dropping-particle":"","parse-names":false,"suffix":""},{"dropping-particle":"","family":"Zhiping","given":"Wu","non-dropping-particle":"","parse-names":false,"suffix":""},{"dropping-particle":"","family":"Tao","given":"Duan","non-dropping-particle":"","parse-names":false,"suffix":""}],"container-title":"Pregnancy Hypertension","id":"ITEM-1","issued":{"date-parts":[["2019"]]},"page":"201-208","title":"Down-regulated miR-149-5p contributes to preeclampsia via modulating endoglin expression","type":"article-journal","volume":"15"},"uris":["http://www.mendeley.com/documents/?uuid=3309371f-9321-360a-a83e-0f3d5b421797"]}],"mendeley":{"formattedCitation":"(Xiaobo (</w:instrText>
            </w:r>
            <w:r w:rsidR="00460963">
              <w:rPr>
                <w:rFonts w:ascii="PMingLiU" w:eastAsia="PMingLiU" w:hAnsi="PMingLiU" w:cs="PMingLiU" w:hint="eastAsia"/>
                <w:sz w:val="18"/>
                <w:szCs w:val="18"/>
              </w:rPr>
              <w:instrText>赵肖波</w:instrText>
            </w:r>
            <w:r w:rsidR="00460963">
              <w:rPr>
                <w:rFonts w:eastAsia="Times New Roman"/>
                <w:sz w:val="18"/>
                <w:szCs w:val="18"/>
              </w:rPr>
              <w:instrText>) et al., 2019)","plainTextFormattedCitation":"(Xiaobo (</w:instrText>
            </w:r>
            <w:r w:rsidR="00460963">
              <w:rPr>
                <w:rFonts w:ascii="PMingLiU" w:eastAsia="PMingLiU" w:hAnsi="PMingLiU" w:cs="PMingLiU" w:hint="eastAsia"/>
                <w:sz w:val="18"/>
                <w:szCs w:val="18"/>
              </w:rPr>
              <w:instrText>赵肖波</w:instrText>
            </w:r>
            <w:r w:rsidR="00460963">
              <w:rPr>
                <w:rFonts w:eastAsia="Times New Roman"/>
                <w:sz w:val="18"/>
                <w:szCs w:val="18"/>
              </w:rPr>
              <w:instrText>) et al., 2019)","previouslyFormattedCitation":"(Xiaobo (</w:instrText>
            </w:r>
            <w:r w:rsidR="00460963">
              <w:rPr>
                <w:rFonts w:ascii="PMingLiU" w:eastAsia="PMingLiU" w:hAnsi="PMingLiU" w:cs="PMingLiU" w:hint="eastAsia"/>
                <w:sz w:val="18"/>
                <w:szCs w:val="18"/>
              </w:rPr>
              <w:instrText>赵肖波</w:instrText>
            </w:r>
            <w:r w:rsidR="00460963">
              <w:rPr>
                <w:rFonts w:eastAsia="Times New Roman"/>
                <w:sz w:val="18"/>
                <w:szCs w:val="18"/>
              </w:rPr>
              <w:instrText>)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(Xiaobo (</w:t>
            </w:r>
            <w:r w:rsidR="00D0073D" w:rsidRPr="00D0073D">
              <w:rPr>
                <w:rFonts w:ascii="PMingLiU" w:eastAsia="PMingLiU" w:hAnsi="PMingLiU" w:cs="PMingLiU" w:hint="eastAsia"/>
                <w:noProof/>
                <w:sz w:val="18"/>
                <w:szCs w:val="18"/>
              </w:rPr>
              <w:t>赵肖波</w:t>
            </w:r>
            <w:r w:rsidR="00D0073D" w:rsidRPr="00D0073D">
              <w:rPr>
                <w:rFonts w:eastAsia="Times New Roman"/>
                <w:noProof/>
                <w:sz w:val="18"/>
                <w:szCs w:val="18"/>
              </w:rPr>
              <w:t>)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target predictions of target genes, Transfection experiments,Immunohistochemistry, Sequences and constructs, Western blotting, Transwell invasion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{"citationItems":[{"id":"ITEM-1","itemData":{"DOI":"10.3892/mmr.2019.10574","abstract":"Preeclampsia (PE) is a serious pregnancy-specific pathologic complication, and represents a primary cause of mother and fetus mortality. Abnormally expressed microRNA s (miRNA s) serve important regulatory roles in the development of PE. At present, the pathogenesis and molecular mechanism of PE remain unclear. The aim of the present study was to investigate the potential functions of miRNA (miR)-320a in the human extravillous trophoblast cell line HTR- 8/SVneo and to identify the molecular mechanisms underlying miR- 320a function. Reverse transcription-quantitative PCR was used in the present study to detect the levels of miR- 320a in the placentas of 57 pregnant patients with PE and 57 healthy pregnant patients. The effects of miR- 320a overexpression on the proliferation and invasion of HTR- 8/SVneo cells were determined using MTT and Transwell invasion assays. Western blot analysis and dual luciferase reporter assay were used to identify the genes targeted by miR- 320a. The present results suggested that miR- 320a expression level was decreased in placentas of patients with PE and the expression level of miR- 320a was found to be associated with the pathogenesis of PE (P&lt;0.05). Overexpression of miR- 320a using miR- 320a mimics significantly inhibited cell proliferation and invasion in HTR- 8/SVneo cells in vitro (P&lt;0.05). Furthermore, interleukin (IL)-4 was identified to be a direct target gene of miR- 320a. miR- 320a could repress IL- 4 expression by binding to its 3' untranslated region (P&lt;0.05). Mechanistic studies suggested that IL- 4 was a functional target gene of miR- 320a, and miR- 320a upregulation inhibited the proliferation and invasion of HTR- 8/SVneo cells by directly targeting IL- 4 (P&lt;0.05). Collectively, to the best of our knowledge, the present study is the first to suggest that miR-320a may be a downregulated miRNA during PE, and IL- 4 may act as a functional target gene of miR- 320a. The present study suggested that miR- 320a upregulation was involved in the development of PE by inhibiting the proliferation and invasion of trophoblast cells by targeting IL- 4, indicating that the miR- 320a/IL- 4 pathway may represent a novel therapeutic target for PE treatment.","author":[{"dropping-particle":"","family":"Xie","given":"Ning","non-dropping-particle":"","parse-names":false,"suffix":""},{"dropping-particle":"","family":"Jia","given":"Zhi","non-dropping-particle":"","parse-names":false,"suffix":""},{"dropping-particle":"","family":"Li","given":"Li","non-dropping-particle":"","parse-names":false,"suffix":""}],"container-title":"Molecular Medicine Reports","id":"ITEM-1","issue":"4","issued":{"date-parts":[["2019"]]},"page":"3256-3264","title":"MIR-320a upregulation contributes to the development of Preeclampsia by inhibiting the growth and invasion of trophoblast cells by targeting interleukin 4","type":"article-journal","volume":"20"},"uris":["http://www.mendeley.com/documents/?uuid=38906bd0-fdd2-3a07-b93d-f4e201a604ca"]}],"mendeley":{"formattedCitation":"(Xie et al., 2019)","plainTextFormattedCitation":"(Xie et al., 2019)","previouslyFormattedCitation":"(Xie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(Xie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Biochemical testing, Transfection, Target gene prediction, MTT assa, Transwe</w:t>
            </w:r>
            <w:r w:rsidR="001E29D7">
              <w:rPr>
                <w:rFonts w:eastAsia="Times New Roman"/>
                <w:sz w:val="18"/>
                <w:szCs w:val="18"/>
              </w:rPr>
              <w:pgNum/>
            </w:r>
            <w:r w:rsidR="001E29D7">
              <w:rPr>
                <w:rFonts w:eastAsia="Times New Roman"/>
                <w:sz w:val="18"/>
                <w:szCs w:val="18"/>
              </w:rPr>
              <w:t>ormaliz</w:t>
            </w:r>
            <w:r w:rsidRPr="000710F5">
              <w:rPr>
                <w:rFonts w:eastAsia="Times New Roman"/>
                <w:sz w:val="18"/>
                <w:szCs w:val="18"/>
              </w:rPr>
              <w:t>ion assay,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49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{"citationItems":[{"id":"ITEM-1","itemData":{"DOI":"10.1042/BSR20181631","abstract":"Trophoblastic dysfunction, such as insufficient migration and invasion, is well-known to be correlated with preeclampsia (PE). Recently, microRNAs (miRNAs) have been implicated in diverse biological processes and human diseases, including PE. However, the expression and functions of miRNAs in the progression of PE, especially in the regulation of trophoblast cell migration and invasion remain largely unclear. Here, we compared the miRNAs expression profiles of PE patients with healthy controls using microarray assay and chose a significant increased miRNA-miR-34a-5p for further investigation. Overexpression of miR-34a-5p dramatically reduced migration and invasion in trophoblast HTR-8/SVneo cells, whereas enhanced by its inhibitor. Luciferase activity assay showed that miR-34a-5p directly target Smad family member 4 (Smad4), which is associated with cancer cell invasiveness and metastasis. We also found that Smad4 was down-regulated in PE patients, and an inverse relationship between Smad4 and miR-34a-5p expression levels was observed in placental tissues from PE patients. Further study showed that knockdown of Smad4 effectively attenuated the promoting effects of miR-34a-5p inhibition on the migration and invasion of HTR-8/SVneo cells. Taken together, these findings suggest that inhibition of miR-34a-5p improves invasion and migration of trophoblast cells by directly targetting Smad4, which indicated the potential of miR-34a-5p as a therapeutic target against PE.","author":[{"dropping-particle":"","family":"Xue","given":"Fang","non-dropping-particle":"","parse-names":false,"suffix":""},{"dropping-particle":"","family":"Yang","given":"Jing","non-dropping-particle":"","parse-names":false,"suffix":""},{"dropping-particle":"","family":"Li","given":"Qirong","non-dropping-particle":"","parse-names":false,"suffix":""},{"dropping-particle":"","family":"Zhou","given":"Haibin","non-dropping-particle":"","parse-names":false,"suffix":""}],"container-title":"Bioscience Reports","id":"ITEM-1","issue":"2","issued":{"date-parts":[["2019"]]},"page":"BSR20181631","title":"Down-regulation of microRNA-34a-5p promotes trophoblast cell migration and invasion via targetting Smad4","type":"article-journal","volume":"39"},"uris":["http://www.mendeley.com/documents/?uuid=661d06d1-8de4-3e8c-8ce4-78087f8e6b8c"]}],"mendeley":{"formattedCitation":"(Xue et al., 2019)","plainTextFormattedCitation":"(Xue et al., 2019)","previouslyFormattedCitation":"(Xue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(Xue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Cell transfection, Invasion and migration assay,Immunofluorescence,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same</w:t>
            </w: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{"citationItems":[{"id":"ITEM-1","itemData":{"DOI":"10.1590/1414-431X20197546","abstract":"Preeclampsia is a major reason of morbidity and mortality in pregnant women and perinatal fetus. Hence, it is of prime importance that diagnostic markers are defined to predict chances of preeclampsia in pregnant women. It has been previously shown that microRNA (miRNA)-376c expression is decreased in the placenta of preeclampsia patients at term. Even though this decrease was not mimicked in the placenta at the pre-term stage, miR-376c expression was decreased in the plasma of these patients as early as the second trimester. Plasma and placenta specimens were obtained from pregnant women having unifetal gestation undergoing perinatal care between January 2014 and December 2016 (n=49). Early trimester placentas were collected from patients undergoing terminated pregnancies through dilation and curettage procedure. Our results showed that in addition to miR-376c, miR-441 levels were decreased in the placenta of preeclampsia patients, and this decrease occurred both at pre-term and at term. This decrease is also mimicked in the plasma levels at both early and late weeks of pregnancy, highlighting that miR-441 levels can serve as a diagnostic marker of risk of preeclampsia in pregnant women. Overexpression of the miR-441, as well as miR-376c, promoted cell viability, migration, and invasion in the human immortalized cytotrophoblast cell line HTR8/ SVneo, indicating that their decrease in pregnant women would result in anomalous apoptosis and functional imbalance resulting in premature abortion and other complications. MiR-441 level can thus potentially serve as diagnostic marker of preeclampsia in pregnant women.","author":[{"dropping-particle":"","family":"Yang","given":"Hui Li","non-dropping-particle":"","parse-names":false,"suffix":""},{"dropping-particle":"","family":"Zhang","given":"Hong Zhi","non-dropping-particle":"","parse-names":false,"suffix":""},{"dropping-particle":"","family":"Meng","given":"Fan Rong","non-dropping-particle":"","parse-names":false,"suffix":""},{"dropping-particle":"","family":"Han","given":"Shu Yi","non-dropping-particle":"","parse-names":false,"suffix":""},{"dropping-particle":"","family":"Zhang","given":"Miao","non-dropping-particle":"","parse-names":false,"suffix":""}],"container-title":"Brazilian Journal of Medical and Biological Research","id":"ITEM-1","issue":"4","issued":{"date-parts":[["2019"]]},"page":"e7546","title":"Differential expression of microRNA-411 and 376c is associated with hypertension in pregnancy","type":"article-journal","volume":"52"},"uris":["http://www.mendeley.com/documents/?uuid=f076a5a1-7108-3069-9c7a-bd8d17f88b69"]}],"mendeley":{"formattedCitation":"(Yang et al., 2019a)","plainTextFormattedCitation":"(Yang et al., 2019a)","previouslyFormattedCitation":"(Yang et al., 2019a)"},"properties":{"noteIndex":0},"schema":"https://github.com/citation-style-language/schema/raw/master/csl-citation.json"}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et al., 2019a)</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{"citationItems":[{"id":"ITEM-1","itemData":{"DOI":"10.3892/mmr.2019.10372","abstract":"miR-342-3p expression was increased in the placentas of women with preeclampsia (PE) according to previous examinations; the mechanism Underlying the devel¬ opment and progression of PE requires further investigation. The present study aimed to explore the mechanism and functionality of microRNA (miR)-342-3p in trophoblastic cells. The expression of miR-342-3p and platelet-derived growth factor receptor a (P D G F R A) in the placentas of 30 patients with PE and 30 normal controls was detected. In addition, HTR8/SVneo cells were transfected with miR-342-3p mimics, small interfering RNA (siR)-PDGFRA or their corresponding negative controls; then the prolifera¬ tion, migration, invasion and the distribution of the cell cycle of these cells were analyzed. Additionally, a dual-luciferase reporter assay was performed. According to these analyses, the expression of miR-342-3p was significantly increased, while that of PDGFRA was significantly lower in the PE group compared with the normal group. Transfection with miR-342-3p mimics led to a significant decrease in cell proliferation, migration and invasion, and also affected the cell cycle. Furthermore, miR-342-3p mimics reduced the expression of PDGFRA; miR-342-3p overexpression also reduced the mRNA and protein levels of BcL-2 and caspase-3. In addition, transfection of siR-PDGFRA exhib¬ ited similar effects to those of miR-342-3p mimics. Finally, PDGFRA was reported to be a direct target of miR-342-3p. In conclusion, miR-342-3p was proposed to inhibit the proliferation, migration, invasion and G1/S phase transition of HTR8/SVneo cells by suppressing PDGFRA. Our findings suggest that miR-342-3p may be a novel clinical indicator or prognostic marker for PE.","author":[{"dropping-particle":"","family":"Yang","given":"Xiuhua","non-dropping-particle":"","parse-names":false,"suffix":""},{"dropping-particle":"","family":"Guo","given":"Feng","non-dropping-particle":"","parse-names":false,"suffix":""}],"container-title":"Molecular Medicine Reports","id":"ITEM-1","issue":"2","issued":{"date-parts":[["2019"]]},"page":"1772-1780","title":"MiR-342-3p suppresses cell migration and invasion in preeclampsia by targeting platelet-derived growth factor receptor α","type":"article-journal","volume":"20"},"uris":["http://www.mendeley.com/documents/?uuid=ee198dea-c7a5-3d8f-adf3-c9c7f765c91c"]}],"mendeley":{"formattedCitation":"(Yang and Guo, 2019)","plainTextFormattedCitation":"(Yang and Guo, 2019)","previouslyFormattedCitation":"(Yang and Guo,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and Guo,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transfection, Knockdown of PDGFRA, Western blotting, Cell cicle assay,Cell apoptosis,Wound healing and transwell assays, Transwell invasion and migration assay, miRNA target prediction</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{"citationItems":[{"id":"ITEM-1","itemData":{"DOI":"10.1016/j.gene.2018.10.015","abstract":"Background: Preeclampsia (PE) is a pregnancy complication that is characterized by higher blood pressure, together with higher protein quantity presence in the urine, which occurs after 20 weeks of gestation leading to severity of adverse maternal and fetal consequences. Some special microRNAs (miRNAs) expressed in placentas may be related to the occurrence of PE. Researchers have found that the expression of miR-431 in PE placentas was increased if compared with normal placentas; however, the effect and mechanism of miR-431 in PE are still unknown. Methods: In this study, we compared the expression levels of miR-431 and its putative target gene Zinc finger E-box-binding homeobox 1 (ZEB1) in 30 PE placentas and 30 normal placenta tissues. The effects of miR-431 and ZEB1 were verified by CCK-8 assay, transwell migration and invasion assay, cell cycle distribution assay and apoptosis assay in HTR-8/SVneo cells transfected with miR-431 mimic, siR-ZEB1 and their negative controls. Results: Results revealed that miR-431 was markedly added, while the mRNA and protein expressions of ZEB1 were decreased in PE placentas. The functional tests showed over-expression of miR-431 suppressed ZEB1 expression and decreased the migration and invasive capacity of trophoblast cells. MiR-431 overexpression induced apoptosis of HTR-8/SVneo cells, but it had no significant effect on cell proliferation and the distribution of cell cycle. In addition, siR-ZEB1 simulated the roles of miR-431 mimic. We found that miR-431 mimic and siR-ZEB1 reduced the epithelial–mesenchymal transition (EMT) with added E-cadherin expression and reduced vimentin expression in the cell line. Conclusions: In conclusion, we found that miR-431 inhibited the migration and invasion of trophoblastic cells by targeting ZEB1, which might give rise to the onset of PE.","author":[{"dropping-particle":"","family":"Yang","given":"Xiuhua","non-dropping-particle":"","parse-names":false,"suffix":""},{"dropping-particle":"","family":"Meng","given":"Tao","non-dropping-particle":"","parse-names":false,"suffix":""}],"container-title":"Gene","id":"ITEM-1","issued":{"date-parts":[["2019"]]},"page":"225-232","title":"MicroRNA-431 affects trophoblast migration and invasion by targeting ZEB1 in preeclampsia","type":"article-journal","volume":"683"},"uris":["http://www.mendeley.com/documents/?uuid=9d357145-cbef-3aa0-989d-da4459ca2bde"]}],"mendeley":{"formattedCitation":"(Yang and Meng, 2019)","plainTextFormattedCitation":"(Yang and Meng, 2019)","previouslyFormattedCitation":"(Yang and Meng,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and Meng,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CCK-8 assay, transwell migration and invasion assay, cell cycle distribution assay and apoptosis assay in HTR-</w:t>
            </w:r>
            <w:r w:rsidR="001E29D7" w:rsidRPr="000710F5">
              <w:rPr>
                <w:rFonts w:eastAsia="Times New Roman"/>
                <w:sz w:val="18"/>
                <w:szCs w:val="18"/>
              </w:rPr>
              <w:t>8</w:t>
            </w:r>
            <w:r w:rsidRPr="000710F5">
              <w:rPr>
                <w:rFonts w:eastAsia="Times New Roman"/>
                <w:sz w:val="18"/>
                <w:szCs w:val="18"/>
              </w:rPr>
              <w:t>/S</w:t>
            </w:r>
            <w:r w:rsidR="00E75C2B" w:rsidRPr="000710F5">
              <w:rPr>
                <w:rFonts w:eastAsia="Times New Roman"/>
                <w:sz w:val="18"/>
                <w:szCs w:val="18"/>
              </w:rPr>
              <w:t>v</w:t>
            </w:r>
            <w:r w:rsidRPr="000710F5">
              <w:rPr>
                <w:rFonts w:eastAsia="Times New Roman"/>
                <w:sz w:val="18"/>
                <w:szCs w:val="18"/>
              </w:rPr>
              <w:t>neo cells transfected with miR-431 mimic, siR-ZEB1</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73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{"citationItems":[{"id":"ITEM-1","itemData":{"DOI":"10.1016/j.biopha.2018.10.009","abstract":"Preeclampsia (PE) is a common obstetrical disorder characterized by hypertension and proteinuria. The aberrant expression of miR-221-3p in placental tissues has been implicated in the pathogenesis of PE. This study examined the role of miR-221-3p in trophoblast growth, invasion and migration, and explored the underlying mechanisms. Our results showed that miR-221-3p was down-regulated in placental tissues from PE patients compared to heathy controls as measured by quantitative real-time PCR assay. CCK-8 assay, Transwell invasion assay and wound healing assay showed that miR-221-3p overexpression promoted trophoblast (HTR-8/SVneo cells) growth, invasion and migration, and knockdown of miR-221-3p exerted the opposite effects. Flow cytometry experiments further demonstrated that miR-221-3p overexpression inhibited apoptosis, increased cell population at S phase, and decreased cell population at G 0 /G 1 phase of HTR-8/SVneo cells; while miR-221-3p knockdown exerted the opposite effects. Bioinformatics prediction and luciferase reporter assay showed that miR-221-3p targeted the 3′ untranslated region of thrombospondin 2 (THBS2), and qRT-PCR and western blot assays revealed that miR-221-3p negatively regulated the expression of THBS2 in HTR-8/SVneo cells. Furthermore, overexpression of THBS2 attenuated the in vitro effects of miR-221-3p overexpression on cell growth, invasion and migration of HTR-8/SVneo cells. The clinical sample analysis showed that the mRNA expression levels of THBS2 was significantly increased in placental tissues from PE patients and was negatively correlated with expression levels of miR-221-3p. In summary, our results demonstrated that miR-221-3p was down-regulated in PE, and the in vitro functional assays revealed that miR-221-3p promoted trophoblast growth, invasion and migration partly via targeting THBS2.","author":[{"dropping-particle":"","family":"Yang","given":"Yang","non-dropping-particle":"","parse-names":false,"suffix":""},{"dropping-particle":"","family":"Li","given":"Huirong","non-dropping-particle":"","parse-names":false,"suffix":""},{"dropping-particle":"","family":"Ma","given":"Yuan","non-dropping-particle":"","parse-names":false,"suffix":""},{"dropping-particle":"","family":"Zhu","given":"Xiaoming","non-dropping-particle":"","parse-names":false,"suffix":""},{"dropping-particle":"","family":"Zhang","given":"Shaohua","non-dropping-particle":"","parse-names":false,"suffix":""},{"dropping-particle":"","family":"Li","given":"Jing","non-dropping-particle":"","parse-names":false,"suffix":""}],"container-title":"Biomedicine and Pharmacotherapy","id":"ITEM-1","issued":{"date-parts":[["2019"]]},"page":"127-134","title":"MiR-221-3p is down-regulated in preeclampsia and affects trophoblast growth, invasion and migration partly via targeting thrombospondin 2","type":"article-journal","volume":"109"},"uris":["http://www.mendeley.com/documents/?uuid=12fde0ae-df27-3848-ad30-14ba57357e9b"]}],"mendeley":{"formattedCitation":"(Yang et al., 2019b)","plainTextFormattedCitation":"(Yang et al., 2019b)","previouslyFormattedCitation":"(Yang et al., 2019b)"},"properties":{"noteIndex":0},"schema":"https://github.com/citation-style-language/schema/raw/master/csl-citation.json"}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et al., 2019b)</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Cell transfection, CCK-8 assay, Transwell invasion assay, Wound healing assay, Cell apoptosis and cell cycle analysis, Western blotting</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972"/>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{"citationItems":[{"id":"ITEM-1","itemData":{"DOI":"10.1002/jcb.27583","abstract":"Pre-eclampsia (PE) is a pregnancy-specific disease characterized by the occurrence of hypertension and proteinuria after two weeks of gestation. Long noncoding RNAs (lncRNAs) are emerging as key regulators in PE development. This study aims to investigate the role of lncRNA, small nucleolar RNA host gene 5 (SNHG5), in the pathogenesis of PE. The expression of SNHG5 was significantly downregulated in placental tissues from patients with severe PE compared normal controls. Overexpression of SNHG5 promoted trophoblast (HTR-8/SVneo) cell proliferation, invasion, and migration, and flow cytometry results showed that SNHG5 overexpression inhibited apoptosis and caused a decrease of cell population at the G 0 /G 1 phase and an increase of cell population at the S phase, while knockdown of SNHG5 had the opposite effects. The interaction between SNHG5 and miR-26a-5p was predicted by bioinformatics analysis and confirmed by luciferase reporter assay and RNA immunoprecipitation, and miR-26a-5p was negatively regulated by SNHG5; miR-26a-5p expression was upregulated in PE placental tissues and was inversely correlated with SNHG5 expression. Furthermore, miR-26a-5p was predicted to target the 3′ untranslated region of N-cadherin, which was confirmed by luciferase reporter assay, and miR-26a-5p overexpression suppressed N-cadherin expression in HTR-8/SVneo cells. N-cadherin mRNA expression was downregulated in PE placental tissues and was positively correlated with SNHG5 expression. Both overexpression of miR-26a-5p and knockdown of N-cadherin suppressed HTR-8/SVneo cell invasion and migration, and also attenuated the effects of SNHG5 on the cellular functions of HTR-8/SVneo cells. In conclusion, our study suggested that SNHG5 promotes trophoblast cell proliferation, invasion, and migration at least partly via regulating the miR-26a-5p/N-cadherin axis.","author":[{"dropping-particle":"","family":"Yang","given":"Yang","non-dropping-particle":"","parse-names":false,"suffix":""},{"dropping-particle":"","family":"Xi","given":"Lan","non-dropping-particle":"","parse-names":false,"suffix":""},{"dropping-particle":"","family":"Ma","given":"Yuan","non-dropping-particle":"","parse-names":false,"suffix":""},{"dropping-particle":"","family":"Zhu","given":"Xiaoming","non-dropping-particle":"","parse-names":false,"suffix":""},{"dropping-particle":"","family":"Chen","given":"Rui","non-dropping-particle":"","parse-names":false,"suffix":""},{"dropping-particle":"","family":"Luan","given":"Lixia","non-dropping-particle":"","parse-names":false,"suffix":""},{"dropping-particle":"","family":"Yan","given":"Jiajia","non-dropping-particle":"","parse-names":false,"suffix":""},{"dropping-particle":"","family":"An","given":"Ruifang","non-dropping-particle":"","parse-names":false,"suffix":""}],"container-title":"Journal of Cellular Biochemistry","id":"ITEM-1","issue":"3","issued":{"date-parts":[["2019"]]},"page":"3173-3184","title":"The lncRNA small nucleolar RNA host gene 5 regulates trophoblast cell proliferation, invasion, and migration via modulating miR-26a-5p/N-cadherin axis","type":"article-journal","volume":"120"},"uris":["http://www.mendeley.com/documents/?uuid=d85c7647-9284-3eb2-bc9c-074525916c42"]}],"mendeley":{"formattedCitation":"(Yang et al., 2019c)","plainTextFormattedCitation":"(Yang et al., 2019c)","previouslyFormattedCitation":"(Yang et al., 2019c)"},"properties":{"noteIndex":0},"schema":"https://github.com/citation-style-language/schema/raw/master/csl-citation.json"}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(Yang et al., 2019c)</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Plasmids, miRNAs, small interfering RNAs, and transfections, Western blot assay, Cell Counting Kit‐8 assay, Colony formation assay, Transwell invasion and migration assay, RNA immunoprecipitation assay</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{"citationItems":[{"id":"ITEM-1","itemData":{"DOI":"10.1016/j.preghy.2019.05.010","abstract":"Backgrounds and objectives: Preeclampsia (PE) is one of the leading causes of maternal and neonatal morbidity and mortality. Preeclampsia is associated with aberrant expression of several MicroRNAs which function as gene regulators. The present study aims to determine the expression of MicroRNA-210 and MicroRNA-155 in Preeclampsia, and to detect the association of MicroRNA-210 and MicroRNA-155 levels with the severity of Preeclampsia. Methods: The study was carried out on thirty PE pregnant women as the Preeclampsia group compared to twenty healthy pregnant women who served as the control group. The patients were chosen at labor wards from Ain Shams Maternity Hospital during the period from June to December 2016. Preeclampsia group was then subdivided into mild Preeclampsia and severe Preeclampsia subgroups according to the levels of arterial blood pressure with the presence of thrombocytopenia, impairment in liver function, progressive renal insufficiency, pulmonary edema and cerebral or visual disturbance. MicroRNA-210 and MicroRNA-155 were estimated by a quantitative real time polymerase chain reaction (qRT-PCR). Results of this study showed that the levels of MicroRNA-210 and MicroRNA-155 detected in the Preeclampsia group are significantly higher than in the control group. Although MicroRNA-210 levels showed high significant increase in severe PE compared to mild PE cases, there were no significant differences in MicroRNA-155 levels between the two PE subgroups detected. Conclusions: MicroRNA-210 may be the noncoding RNA at the molecular level in which the increase in its level accompanies the progression of PE; and is closely associated with the severity of Preeclampsia.","author":[{"dropping-particle":"","family":"Youssef","given":"Hanan Mohamed Gabr","non-dropping-particle":"","parse-names":false,"suffix":""},{"dropping-particle":"","family":"Marei","given":"Elham Sayed","non-dropping-particle":"","parse-names":false,"suffix":""}],"container-title":"Pregnancy Hypertension","id":"ITEM-1","issued":{"date-parts":[["2019"]]},"page":"49-53","title":"Association of MicroRNA-210 and MicroRNA-155 with severity of preeclampsia","type":"article-journal","volume":"17"},"uris":["http://www.mendeley.com/documents/?uuid=ff17ee97-4fb5-3ad7-ab04-5451c2c470f8"]}],"mendeley":{"formattedCitation":"(Youssef and Marei, 2019)","plainTextFormattedCitation":"(Youssef and Marei, 2019)","previouslyFormattedCitation":"(Youssef and Marei,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(Youssef and Marei,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qRT-PCR</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247AFE" w:rsidRPr="000459A8" w:rsidTr="00130F93">
        <w:trPr>
          <w:trHeight w:val="288"/>
          <w:jc w:val="center"/>
        </w:trPr>
        <w:tc>
          <w:tcPr>
            <w:tcW w:w="1052" w:type="dxa"/>
            <w:shd w:val="clear" w:color="auto" w:fill="auto"/>
            <w:vAlign w:val="center"/>
            <w:hideMark/>
          </w:tcPr>
          <w:p w:rsidR="00247AFE" w:rsidRPr="000710F5" w:rsidRDefault="00E33D6E" w:rsidP="009B2A14">
            <w:pPr>
              <w:spacing w:after="0"/>
              <w:jc w:val="center"/>
              <w:rPr>
                <w:rFonts w:eastAsia="Times New Roman"/>
                <w:sz w:val="18"/>
                <w:szCs w:val="18"/>
              </w:rPr>
            </w:pPr>
            <w:r>
              <w:rPr>
                <w:rFonts w:eastAsia="Times New Roman"/>
                <w:sz w:val="18"/>
                <w:szCs w:val="18"/>
              </w:rPr>
              <w:fldChar w:fldCharType="begin" w:fldLock="1"/>
            </w:r>
            <w:r w:rsidR="00460963">
              <w:rPr>
                <w:rFonts w:eastAsia="Times New Roman"/>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rFonts w:eastAsia="Times New Roman"/>
                <w:sz w:val="18"/>
                <w:szCs w:val="18"/>
              </w:rPr>
              <w:fldChar w:fldCharType="separate"/>
            </w:r>
            <w:r w:rsidR="00D0073D" w:rsidRPr="00D0073D">
              <w:rPr>
                <w:rFonts w:eastAsia="Times New Roman"/>
                <w:noProof/>
                <w:sz w:val="18"/>
                <w:szCs w:val="18"/>
              </w:rPr>
              <w:t>(Zhong et al., 2019)</w:t>
            </w:r>
            <w:r>
              <w:rPr>
                <w:rFonts w:eastAsia="Times New Roman"/>
                <w:sz w:val="18"/>
                <w:szCs w:val="18"/>
              </w:rPr>
              <w:fldChar w:fldCharType="end"/>
            </w:r>
          </w:p>
        </w:tc>
        <w:tc>
          <w:tcPr>
            <w:tcW w:w="310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miRNA microarray</w:t>
            </w:r>
          </w:p>
        </w:tc>
        <w:tc>
          <w:tcPr>
            <w:tcW w:w="4280" w:type="dxa"/>
            <w:shd w:val="clear" w:color="auto" w:fill="auto"/>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yes (qRT-PCR, Function analysis of miRNAs)</w:t>
            </w:r>
          </w:p>
        </w:tc>
        <w:tc>
          <w:tcPr>
            <w:tcW w:w="1099" w:type="dxa"/>
            <w:shd w:val="clear" w:color="auto" w:fill="auto"/>
            <w:vAlign w:val="center"/>
            <w:hideMark/>
          </w:tcPr>
          <w:p w:rsidR="00247AFE" w:rsidRPr="000710F5" w:rsidRDefault="00247AFE" w:rsidP="009B2A14">
            <w:pPr>
              <w:spacing w:after="0"/>
              <w:jc w:val="center"/>
              <w:rPr>
                <w:rFonts w:eastAsia="Times New Roman"/>
                <w:sz w:val="18"/>
                <w:szCs w:val="18"/>
              </w:rPr>
            </w:pPr>
          </w:p>
        </w:tc>
        <w:tc>
          <w:tcPr>
            <w:tcW w:w="1836" w:type="dxa"/>
            <w:shd w:val="clear" w:color="auto" w:fill="auto"/>
            <w:noWrap/>
            <w:vAlign w:val="center"/>
            <w:hideMark/>
          </w:tcPr>
          <w:p w:rsidR="00247AFE" w:rsidRPr="000710F5" w:rsidRDefault="00247AFE" w:rsidP="009B2A14">
            <w:pPr>
              <w:spacing w:after="0"/>
              <w:jc w:val="center"/>
              <w:rPr>
                <w:rFonts w:eastAsia="Times New Roman"/>
                <w:sz w:val="18"/>
                <w:szCs w:val="18"/>
              </w:rPr>
            </w:pPr>
            <w:r w:rsidRPr="000710F5">
              <w:rPr>
                <w:rFonts w:eastAsia="Times New Roman"/>
                <w:sz w:val="18"/>
                <w:szCs w:val="18"/>
              </w:rPr>
              <w:t>U6</w:t>
            </w:r>
          </w:p>
        </w:tc>
      </w:tr>
      <w:tr w:rsidR="001D7AE5" w:rsidRPr="000459A8" w:rsidTr="00130F93">
        <w:trPr>
          <w:trHeight w:val="288"/>
          <w:jc w:val="center"/>
        </w:trPr>
        <w:tc>
          <w:tcPr>
            <w:tcW w:w="1052" w:type="dxa"/>
            <w:shd w:val="clear" w:color="auto" w:fill="auto"/>
            <w:vAlign w:val="center"/>
            <w:hideMark/>
          </w:tcPr>
          <w:p w:rsidR="001D7AE5" w:rsidRDefault="001D7AE5" w:rsidP="009B2A14">
            <w:pPr>
              <w:spacing w:after="0"/>
              <w:jc w:val="center"/>
              <w:rPr>
                <w:rFonts w:eastAsia="Times New Roman"/>
                <w:sz w:val="18"/>
                <w:szCs w:val="18"/>
              </w:rPr>
            </w:pPr>
            <w:r>
              <w:rPr>
                <w:rFonts w:eastAsia="Times New Roman"/>
                <w:sz w:val="18"/>
                <w:szCs w:val="18"/>
              </w:rPr>
              <w:t>Ayoub, 2019</w:t>
            </w:r>
          </w:p>
        </w:tc>
        <w:tc>
          <w:tcPr>
            <w:tcW w:w="3100" w:type="dxa"/>
            <w:shd w:val="clear" w:color="auto" w:fill="auto"/>
            <w:vAlign w:val="center"/>
            <w:hideMark/>
          </w:tcPr>
          <w:p w:rsidR="001D7AE5" w:rsidRPr="000710F5" w:rsidRDefault="001D7AE5" w:rsidP="009B2A14">
            <w:pPr>
              <w:spacing w:after="0"/>
              <w:jc w:val="center"/>
              <w:rPr>
                <w:rFonts w:eastAsia="Times New Roman"/>
                <w:sz w:val="18"/>
                <w:szCs w:val="18"/>
              </w:rPr>
            </w:pPr>
            <w:r>
              <w:rPr>
                <w:rFonts w:eastAsia="Times New Roman"/>
                <w:sz w:val="18"/>
                <w:szCs w:val="18"/>
              </w:rPr>
              <w:t>RT-PCR</w:t>
            </w:r>
          </w:p>
        </w:tc>
        <w:tc>
          <w:tcPr>
            <w:tcW w:w="4280" w:type="dxa"/>
            <w:shd w:val="clear" w:color="auto" w:fill="auto"/>
            <w:vAlign w:val="center"/>
            <w:hideMark/>
          </w:tcPr>
          <w:p w:rsidR="001D7AE5" w:rsidRPr="000710F5" w:rsidRDefault="001D7AE5"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1D7AE5" w:rsidRPr="000710F5" w:rsidRDefault="001D7AE5" w:rsidP="009B2A14">
            <w:pPr>
              <w:spacing w:after="0"/>
              <w:jc w:val="center"/>
              <w:rPr>
                <w:rFonts w:eastAsia="Times New Roman"/>
                <w:sz w:val="18"/>
                <w:szCs w:val="18"/>
              </w:rPr>
            </w:pPr>
          </w:p>
        </w:tc>
        <w:tc>
          <w:tcPr>
            <w:tcW w:w="1836" w:type="dxa"/>
            <w:shd w:val="clear" w:color="auto" w:fill="auto"/>
            <w:noWrap/>
            <w:vAlign w:val="center"/>
            <w:hideMark/>
          </w:tcPr>
          <w:p w:rsidR="001D7AE5" w:rsidRPr="001D7AE5" w:rsidRDefault="00E33D6E" w:rsidP="009B2A14">
            <w:pPr>
              <w:spacing w:after="0"/>
              <w:jc w:val="center"/>
              <w:rPr>
                <w:rFonts w:eastAsia="Times New Roman"/>
                <w:sz w:val="16"/>
                <w:szCs w:val="16"/>
              </w:rPr>
            </w:pPr>
            <w:r w:rsidRPr="00E33D6E">
              <w:rPr>
                <w:rFonts w:cs="Times New Roman"/>
                <w:sz w:val="16"/>
                <w:szCs w:val="16"/>
                <w:lang w:val="en-GB"/>
              </w:rPr>
              <w:t xml:space="preserve">MiRNA </w:t>
            </w:r>
            <w:r w:rsidRPr="00E33D6E">
              <w:rPr>
                <w:rFonts w:cs="Times New Roman"/>
                <w:i/>
                <w:iCs/>
                <w:sz w:val="16"/>
                <w:szCs w:val="16"/>
                <w:lang w:val="en-GB"/>
              </w:rPr>
              <w:t>SNORD68</w:t>
            </w:r>
          </w:p>
        </w:tc>
      </w:tr>
      <w:tr w:rsidR="00882EE9" w:rsidRPr="000459A8" w:rsidTr="00130F93">
        <w:trPr>
          <w:trHeight w:val="288"/>
          <w:jc w:val="center"/>
        </w:trPr>
        <w:tc>
          <w:tcPr>
            <w:tcW w:w="1052" w:type="dxa"/>
            <w:shd w:val="clear" w:color="auto" w:fill="auto"/>
            <w:vAlign w:val="center"/>
            <w:hideMark/>
          </w:tcPr>
          <w:p w:rsidR="00882EE9" w:rsidRDefault="00882EE9" w:rsidP="009B2A14">
            <w:pPr>
              <w:spacing w:after="0"/>
              <w:jc w:val="center"/>
              <w:rPr>
                <w:rFonts w:eastAsia="Times New Roman"/>
                <w:sz w:val="18"/>
                <w:szCs w:val="18"/>
              </w:rPr>
            </w:pPr>
            <w:r>
              <w:rPr>
                <w:rFonts w:eastAsia="Times New Roman"/>
                <w:sz w:val="18"/>
                <w:szCs w:val="18"/>
              </w:rPr>
              <w:t>Cao, 2019</w:t>
            </w:r>
          </w:p>
        </w:tc>
        <w:tc>
          <w:tcPr>
            <w:tcW w:w="3100" w:type="dxa"/>
            <w:shd w:val="clear" w:color="auto" w:fill="auto"/>
            <w:vAlign w:val="center"/>
            <w:hideMark/>
          </w:tcPr>
          <w:p w:rsidR="00882EE9" w:rsidRDefault="0055088B" w:rsidP="009B2A14">
            <w:pPr>
              <w:spacing w:after="0"/>
              <w:jc w:val="center"/>
              <w:rPr>
                <w:rFonts w:eastAsia="Times New Roman"/>
                <w:sz w:val="18"/>
                <w:szCs w:val="18"/>
              </w:rPr>
            </w:pPr>
            <w:r>
              <w:rPr>
                <w:rFonts w:eastAsia="Times New Roman"/>
                <w:sz w:val="18"/>
                <w:szCs w:val="18"/>
              </w:rPr>
              <w:t>q</w:t>
            </w:r>
            <w:r w:rsidR="00882EE9">
              <w:rPr>
                <w:rFonts w:eastAsia="Times New Roman"/>
                <w:sz w:val="18"/>
                <w:szCs w:val="18"/>
              </w:rPr>
              <w:t>RT-PCR</w:t>
            </w:r>
            <w:r>
              <w:rPr>
                <w:rFonts w:eastAsia="Times New Roman"/>
                <w:sz w:val="18"/>
                <w:szCs w:val="18"/>
              </w:rPr>
              <w:t xml:space="preserve"> (Tiangen, Beijing, China detection kit)</w:t>
            </w:r>
          </w:p>
        </w:tc>
        <w:tc>
          <w:tcPr>
            <w:tcW w:w="4280" w:type="dxa"/>
            <w:shd w:val="clear" w:color="auto" w:fill="auto"/>
            <w:vAlign w:val="center"/>
            <w:hideMark/>
          </w:tcPr>
          <w:p w:rsidR="00882EE9" w:rsidRDefault="00882EE9"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882EE9" w:rsidRPr="000710F5" w:rsidRDefault="00882EE9" w:rsidP="009B2A14">
            <w:pPr>
              <w:spacing w:after="0"/>
              <w:jc w:val="center"/>
              <w:rPr>
                <w:rFonts w:eastAsia="Times New Roman"/>
                <w:sz w:val="18"/>
                <w:szCs w:val="18"/>
              </w:rPr>
            </w:pPr>
          </w:p>
        </w:tc>
        <w:tc>
          <w:tcPr>
            <w:tcW w:w="1836" w:type="dxa"/>
            <w:shd w:val="clear" w:color="auto" w:fill="auto"/>
            <w:noWrap/>
            <w:vAlign w:val="center"/>
            <w:hideMark/>
          </w:tcPr>
          <w:p w:rsidR="00882EE9" w:rsidRPr="00935F62" w:rsidRDefault="00882EE9" w:rsidP="009B2A14">
            <w:pPr>
              <w:spacing w:after="0"/>
              <w:jc w:val="center"/>
              <w:rPr>
                <w:rFonts w:cs="Times New Roman"/>
                <w:sz w:val="16"/>
                <w:szCs w:val="16"/>
                <w:lang w:val="en-GB"/>
              </w:rPr>
            </w:pPr>
            <w:r>
              <w:rPr>
                <w:rFonts w:cs="Times New Roman"/>
                <w:sz w:val="16"/>
                <w:szCs w:val="16"/>
                <w:lang w:val="en-GB"/>
              </w:rPr>
              <w:t>U6</w:t>
            </w:r>
          </w:p>
        </w:tc>
      </w:tr>
      <w:tr w:rsidR="00D35516" w:rsidRPr="000459A8" w:rsidTr="00130F93">
        <w:trPr>
          <w:trHeight w:val="288"/>
          <w:jc w:val="center"/>
        </w:trPr>
        <w:tc>
          <w:tcPr>
            <w:tcW w:w="1052" w:type="dxa"/>
            <w:shd w:val="clear" w:color="auto" w:fill="auto"/>
            <w:vAlign w:val="center"/>
            <w:hideMark/>
          </w:tcPr>
          <w:p w:rsidR="00D35516" w:rsidRDefault="00D35516" w:rsidP="009B2A14">
            <w:pPr>
              <w:spacing w:after="0"/>
              <w:jc w:val="center"/>
              <w:rPr>
                <w:rFonts w:eastAsia="Times New Roman"/>
                <w:sz w:val="18"/>
                <w:szCs w:val="18"/>
              </w:rPr>
            </w:pPr>
            <w:r>
              <w:rPr>
                <w:rFonts w:eastAsia="Times New Roman"/>
                <w:sz w:val="18"/>
                <w:szCs w:val="18"/>
              </w:rPr>
              <w:t>Demirer, 2019</w:t>
            </w:r>
          </w:p>
        </w:tc>
        <w:tc>
          <w:tcPr>
            <w:tcW w:w="3100" w:type="dxa"/>
            <w:shd w:val="clear" w:color="auto" w:fill="auto"/>
            <w:vAlign w:val="center"/>
            <w:hideMark/>
          </w:tcPr>
          <w:p w:rsidR="00D35516" w:rsidRDefault="00D35516" w:rsidP="009B2A14">
            <w:pPr>
              <w:spacing w:after="0"/>
              <w:jc w:val="center"/>
              <w:rPr>
                <w:rFonts w:eastAsia="Times New Roman"/>
                <w:sz w:val="18"/>
                <w:szCs w:val="18"/>
              </w:rPr>
            </w:pPr>
            <w:r>
              <w:rPr>
                <w:rFonts w:eastAsia="Times New Roman"/>
                <w:sz w:val="18"/>
                <w:szCs w:val="18"/>
              </w:rPr>
              <w:t>RT-PCR (miScript Primer Assa</w:t>
            </w:r>
            <w:r w:rsidR="001E29D7">
              <w:rPr>
                <w:rFonts w:eastAsia="Times New Roman"/>
                <w:sz w:val="18"/>
                <w:szCs w:val="18"/>
              </w:rPr>
              <w:t>–</w:t>
            </w:r>
            <w:r>
              <w:rPr>
                <w:rFonts w:eastAsia="Times New Roman"/>
                <w:sz w:val="18"/>
                <w:szCs w:val="18"/>
              </w:rPr>
              <w:t xml:space="preserve">s </w:t>
            </w:r>
            <w:r w:rsidR="00E75C2B">
              <w:rPr>
                <w:rFonts w:eastAsia="Times New Roman"/>
                <w:sz w:val="18"/>
                <w:szCs w:val="18"/>
              </w:rPr>
              <w:t>–</w:t>
            </w:r>
            <w:r>
              <w:rPr>
                <w:rFonts w:eastAsia="Times New Roman"/>
                <w:sz w:val="18"/>
                <w:szCs w:val="18"/>
              </w:rPr>
              <w:t xml:space="preserve"> Qiagen, Valencia, CA, USA)</w:t>
            </w:r>
          </w:p>
        </w:tc>
        <w:tc>
          <w:tcPr>
            <w:tcW w:w="4280" w:type="dxa"/>
            <w:shd w:val="clear" w:color="auto" w:fill="auto"/>
            <w:vAlign w:val="center"/>
            <w:hideMark/>
          </w:tcPr>
          <w:p w:rsidR="00D35516" w:rsidRDefault="00D35516" w:rsidP="009B2A14">
            <w:pPr>
              <w:spacing w:after="0"/>
              <w:jc w:val="center"/>
              <w:rPr>
                <w:rFonts w:eastAsia="Times New Roman"/>
                <w:sz w:val="18"/>
                <w:szCs w:val="18"/>
              </w:rPr>
            </w:pPr>
            <w:r>
              <w:rPr>
                <w:rFonts w:eastAsia="Times New Roman"/>
                <w:sz w:val="18"/>
                <w:szCs w:val="18"/>
              </w:rPr>
              <w:t>Not reported</w:t>
            </w:r>
          </w:p>
        </w:tc>
        <w:tc>
          <w:tcPr>
            <w:tcW w:w="1099" w:type="dxa"/>
            <w:shd w:val="clear" w:color="auto" w:fill="auto"/>
            <w:vAlign w:val="center"/>
            <w:hideMark/>
          </w:tcPr>
          <w:p w:rsidR="00D35516" w:rsidRPr="000710F5" w:rsidRDefault="00D35516" w:rsidP="009B2A14">
            <w:pPr>
              <w:spacing w:after="0"/>
              <w:jc w:val="center"/>
              <w:rPr>
                <w:rFonts w:eastAsia="Times New Roman"/>
                <w:sz w:val="18"/>
                <w:szCs w:val="18"/>
              </w:rPr>
            </w:pPr>
          </w:p>
        </w:tc>
        <w:tc>
          <w:tcPr>
            <w:tcW w:w="1836" w:type="dxa"/>
            <w:shd w:val="clear" w:color="auto" w:fill="auto"/>
            <w:noWrap/>
            <w:vAlign w:val="center"/>
            <w:hideMark/>
          </w:tcPr>
          <w:p w:rsidR="00D35516" w:rsidRDefault="00D35516" w:rsidP="009B2A14">
            <w:pPr>
              <w:spacing w:after="0"/>
              <w:jc w:val="center"/>
              <w:rPr>
                <w:rFonts w:cs="Times New Roman"/>
                <w:sz w:val="16"/>
                <w:szCs w:val="16"/>
                <w:lang w:val="en-GB"/>
              </w:rPr>
            </w:pPr>
            <w:r>
              <w:rPr>
                <w:rFonts w:cs="Times New Roman"/>
                <w:sz w:val="16"/>
                <w:szCs w:val="16"/>
                <w:lang w:val="en-GB"/>
              </w:rPr>
              <w:t>U6</w:t>
            </w:r>
          </w:p>
        </w:tc>
      </w:tr>
      <w:tr w:rsidR="00FE3807" w:rsidRPr="000459A8" w:rsidTr="00130F93">
        <w:trPr>
          <w:trHeight w:val="288"/>
          <w:jc w:val="center"/>
        </w:trPr>
        <w:tc>
          <w:tcPr>
            <w:tcW w:w="1052" w:type="dxa"/>
            <w:shd w:val="clear" w:color="auto" w:fill="auto"/>
            <w:vAlign w:val="center"/>
            <w:hideMark/>
          </w:tcPr>
          <w:p w:rsidR="00FE3807" w:rsidRDefault="00FE3807" w:rsidP="009B2A14">
            <w:pPr>
              <w:spacing w:after="0"/>
              <w:jc w:val="center"/>
              <w:rPr>
                <w:rFonts w:eastAsia="Times New Roman"/>
                <w:sz w:val="18"/>
                <w:szCs w:val="18"/>
              </w:rPr>
            </w:pPr>
            <w:r>
              <w:rPr>
                <w:rFonts w:eastAsia="Times New Roman"/>
                <w:sz w:val="18"/>
                <w:szCs w:val="18"/>
              </w:rPr>
              <w:t>Dong, 2019</w:t>
            </w:r>
          </w:p>
        </w:tc>
        <w:tc>
          <w:tcPr>
            <w:tcW w:w="3100" w:type="dxa"/>
            <w:shd w:val="clear" w:color="auto" w:fill="auto"/>
            <w:vAlign w:val="center"/>
            <w:hideMark/>
          </w:tcPr>
          <w:p w:rsidR="00FE3807" w:rsidRDefault="00FE3807" w:rsidP="009B2A14">
            <w:pPr>
              <w:spacing w:after="0"/>
              <w:jc w:val="center"/>
              <w:rPr>
                <w:rFonts w:eastAsia="Times New Roman"/>
                <w:sz w:val="18"/>
                <w:szCs w:val="18"/>
              </w:rPr>
            </w:pPr>
            <w:r>
              <w:rPr>
                <w:rFonts w:eastAsia="Times New Roman"/>
                <w:sz w:val="18"/>
                <w:szCs w:val="18"/>
              </w:rPr>
              <w:t>qRT-PCR (TB Green</w:t>
            </w:r>
            <w:r>
              <w:rPr>
                <w:rFonts w:eastAsia="Times New Roman"/>
                <w:sz w:val="18"/>
                <w:szCs w:val="18"/>
                <w:vertAlign w:val="superscript"/>
              </w:rPr>
              <w:t>TM</w:t>
            </w:r>
            <w:r>
              <w:rPr>
                <w:rFonts w:eastAsia="Times New Roman"/>
                <w:sz w:val="18"/>
                <w:szCs w:val="18"/>
              </w:rPr>
              <w:t xml:space="preserve"> Premix Ex </w:t>
            </w:r>
            <w:r>
              <w:rPr>
                <w:rFonts w:eastAsia="Times New Roman"/>
                <w:sz w:val="18"/>
                <w:szCs w:val="18"/>
              </w:rPr>
              <w:lastRenderedPageBreak/>
              <w:t>Taq</w:t>
            </w:r>
            <w:r>
              <w:rPr>
                <w:rFonts w:eastAsia="Times New Roman"/>
                <w:sz w:val="18"/>
                <w:szCs w:val="18"/>
                <w:vertAlign w:val="superscript"/>
              </w:rPr>
              <w:t>TM</w:t>
            </w:r>
            <w:r>
              <w:rPr>
                <w:rFonts w:eastAsia="Times New Roman"/>
                <w:sz w:val="18"/>
                <w:szCs w:val="18"/>
              </w:rPr>
              <w:t xml:space="preserve"> K</w:t>
            </w:r>
            <w:r w:rsidR="001E29D7">
              <w:rPr>
                <w:rFonts w:eastAsia="Times New Roman"/>
                <w:sz w:val="18"/>
                <w:szCs w:val="18"/>
              </w:rPr>
              <w:t>–</w:t>
            </w:r>
            <w:r>
              <w:rPr>
                <w:rFonts w:eastAsia="Times New Roman"/>
                <w:sz w:val="18"/>
                <w:szCs w:val="18"/>
              </w:rPr>
              <w:t xml:space="preserve">t </w:t>
            </w:r>
            <w:r w:rsidR="00E75C2B">
              <w:rPr>
                <w:rFonts w:eastAsia="Times New Roman"/>
                <w:sz w:val="18"/>
                <w:szCs w:val="18"/>
              </w:rPr>
              <w:t>–</w:t>
            </w:r>
            <w:r>
              <w:rPr>
                <w:rFonts w:eastAsia="Times New Roman"/>
                <w:sz w:val="18"/>
                <w:szCs w:val="18"/>
              </w:rPr>
              <w:t xml:space="preserve"> Takara, Japan)</w:t>
            </w:r>
          </w:p>
        </w:tc>
        <w:tc>
          <w:tcPr>
            <w:tcW w:w="4280" w:type="dxa"/>
            <w:shd w:val="clear" w:color="auto" w:fill="auto"/>
            <w:vAlign w:val="center"/>
            <w:hideMark/>
          </w:tcPr>
          <w:p w:rsidR="00FE3807" w:rsidRDefault="00FE3807" w:rsidP="009B2A14">
            <w:pPr>
              <w:spacing w:after="0"/>
              <w:jc w:val="center"/>
              <w:rPr>
                <w:rFonts w:eastAsia="Times New Roman"/>
                <w:sz w:val="18"/>
                <w:szCs w:val="18"/>
              </w:rPr>
            </w:pPr>
            <w:r>
              <w:rPr>
                <w:rFonts w:eastAsia="Times New Roman"/>
                <w:sz w:val="18"/>
                <w:szCs w:val="18"/>
              </w:rPr>
              <w:lastRenderedPageBreak/>
              <w:t>Not reported</w:t>
            </w:r>
          </w:p>
        </w:tc>
        <w:tc>
          <w:tcPr>
            <w:tcW w:w="1099" w:type="dxa"/>
            <w:shd w:val="clear" w:color="auto" w:fill="auto"/>
            <w:vAlign w:val="center"/>
            <w:hideMark/>
          </w:tcPr>
          <w:p w:rsidR="00FE3807" w:rsidRPr="000710F5" w:rsidRDefault="00FE3807" w:rsidP="009B2A14">
            <w:pPr>
              <w:spacing w:after="0"/>
              <w:jc w:val="center"/>
              <w:rPr>
                <w:rFonts w:eastAsia="Times New Roman"/>
                <w:sz w:val="18"/>
                <w:szCs w:val="18"/>
              </w:rPr>
            </w:pPr>
          </w:p>
        </w:tc>
        <w:tc>
          <w:tcPr>
            <w:tcW w:w="1836" w:type="dxa"/>
            <w:shd w:val="clear" w:color="auto" w:fill="auto"/>
            <w:noWrap/>
            <w:vAlign w:val="center"/>
            <w:hideMark/>
          </w:tcPr>
          <w:p w:rsidR="00FE3807" w:rsidRDefault="00FE3807" w:rsidP="009B2A14">
            <w:pPr>
              <w:spacing w:after="0"/>
              <w:jc w:val="center"/>
              <w:rPr>
                <w:rFonts w:cs="Times New Roman"/>
                <w:sz w:val="16"/>
                <w:szCs w:val="16"/>
                <w:lang w:val="en-GB"/>
              </w:rPr>
            </w:pPr>
            <w:r>
              <w:rPr>
                <w:rFonts w:cs="Times New Roman"/>
                <w:sz w:val="16"/>
                <w:szCs w:val="16"/>
                <w:lang w:val="en-GB"/>
              </w:rPr>
              <w:t>U6</w:t>
            </w:r>
          </w:p>
        </w:tc>
      </w:tr>
      <w:tr w:rsidR="001C5787" w:rsidRPr="000459A8" w:rsidTr="00130F93">
        <w:trPr>
          <w:trHeight w:val="288"/>
          <w:jc w:val="center"/>
        </w:trPr>
        <w:tc>
          <w:tcPr>
            <w:tcW w:w="1052" w:type="dxa"/>
            <w:shd w:val="clear" w:color="auto" w:fill="auto"/>
            <w:vAlign w:val="center"/>
            <w:hideMark/>
          </w:tcPr>
          <w:p w:rsidR="001C5787" w:rsidRDefault="001C5787" w:rsidP="009B2A14">
            <w:pPr>
              <w:spacing w:after="0"/>
              <w:jc w:val="center"/>
              <w:rPr>
                <w:rFonts w:eastAsia="Times New Roman"/>
                <w:sz w:val="18"/>
                <w:szCs w:val="18"/>
              </w:rPr>
            </w:pPr>
            <w:r>
              <w:rPr>
                <w:rFonts w:eastAsia="Times New Roman"/>
                <w:sz w:val="18"/>
                <w:szCs w:val="18"/>
              </w:rPr>
              <w:lastRenderedPageBreak/>
              <w:t>Lip, 2019</w:t>
            </w:r>
          </w:p>
        </w:tc>
        <w:tc>
          <w:tcPr>
            <w:tcW w:w="3100" w:type="dxa"/>
            <w:shd w:val="clear" w:color="auto" w:fill="auto"/>
            <w:vAlign w:val="center"/>
            <w:hideMark/>
          </w:tcPr>
          <w:p w:rsidR="001C5787" w:rsidRDefault="001C5787" w:rsidP="009B2A14">
            <w:pPr>
              <w:spacing w:after="0"/>
              <w:jc w:val="center"/>
              <w:rPr>
                <w:rFonts w:eastAsia="Times New Roman"/>
                <w:sz w:val="18"/>
                <w:szCs w:val="18"/>
              </w:rPr>
            </w:pPr>
            <w:r>
              <w:rPr>
                <w:rFonts w:eastAsia="Times New Roman"/>
                <w:sz w:val="18"/>
                <w:szCs w:val="18"/>
              </w:rPr>
              <w:t>MicroRNA array</w:t>
            </w:r>
          </w:p>
        </w:tc>
        <w:tc>
          <w:tcPr>
            <w:tcW w:w="4280" w:type="dxa"/>
            <w:shd w:val="clear" w:color="auto" w:fill="auto"/>
            <w:vAlign w:val="center"/>
            <w:hideMark/>
          </w:tcPr>
          <w:p w:rsidR="00000000" w:rsidRDefault="001C5787">
            <w:pPr>
              <w:autoSpaceDE w:val="0"/>
              <w:autoSpaceDN w:val="0"/>
              <w:adjustRightInd w:val="0"/>
              <w:spacing w:before="0" w:after="0"/>
              <w:jc w:val="center"/>
              <w:rPr>
                <w:rFonts w:eastAsia="Times New Roman" w:cs="Times New Roman"/>
                <w:sz w:val="18"/>
                <w:szCs w:val="18"/>
              </w:rPr>
            </w:pPr>
            <w:r w:rsidRPr="001C5787">
              <w:rPr>
                <w:rFonts w:eastAsia="Times New Roman" w:cs="Times New Roman"/>
                <w:sz w:val="18"/>
                <w:szCs w:val="18"/>
              </w:rPr>
              <w:t>qRT-PCR (</w:t>
            </w:r>
            <w:r w:rsidR="00E33D6E" w:rsidRPr="00E33D6E">
              <w:rPr>
                <w:rFonts w:cs="Times New Roman"/>
                <w:sz w:val="18"/>
                <w:szCs w:val="18"/>
                <w:lang w:val="en-GB"/>
              </w:rPr>
              <w:t>StepOnePlus™ Real-Time PCR System machi</w:t>
            </w:r>
            <w:r w:rsidR="001E29D7">
              <w:rPr>
                <w:rFonts w:cs="Times New Roman"/>
                <w:sz w:val="18"/>
                <w:szCs w:val="18"/>
                <w:lang w:val="en-GB"/>
              </w:rPr>
              <w:t>–</w:t>
            </w:r>
            <w:r w:rsidR="00E33D6E" w:rsidRPr="00E33D6E">
              <w:rPr>
                <w:rFonts w:cs="Times New Roman"/>
                <w:sz w:val="18"/>
                <w:szCs w:val="18"/>
                <w:lang w:val="en-GB"/>
              </w:rPr>
              <w:t xml:space="preserve">e </w:t>
            </w:r>
            <w:r w:rsidR="00E75C2B">
              <w:rPr>
                <w:rFonts w:cs="Times New Roman"/>
                <w:sz w:val="18"/>
                <w:szCs w:val="18"/>
                <w:lang w:val="en-GB"/>
              </w:rPr>
              <w:t>–</w:t>
            </w:r>
            <w:r w:rsidR="00E33D6E" w:rsidRPr="00E33D6E">
              <w:rPr>
                <w:rFonts w:cs="Times New Roman"/>
                <w:sz w:val="18"/>
                <w:szCs w:val="18"/>
                <w:lang w:val="en-GB"/>
              </w:rPr>
              <w:t xml:space="preserve"> Applied Biosystems</w:t>
            </w:r>
            <w:r w:rsidRPr="001C5787">
              <w:rPr>
                <w:rFonts w:eastAsia="Times New Roman" w:cs="Times New Roman"/>
                <w:sz w:val="18"/>
                <w:szCs w:val="18"/>
              </w:rPr>
              <w:t>)</w:t>
            </w:r>
          </w:p>
        </w:tc>
        <w:tc>
          <w:tcPr>
            <w:tcW w:w="1099" w:type="dxa"/>
            <w:shd w:val="clear" w:color="auto" w:fill="auto"/>
            <w:vAlign w:val="center"/>
            <w:hideMark/>
          </w:tcPr>
          <w:p w:rsidR="001C5787" w:rsidRPr="000710F5" w:rsidRDefault="000E16B6" w:rsidP="009B2A14">
            <w:pPr>
              <w:spacing w:after="0"/>
              <w:jc w:val="center"/>
              <w:rPr>
                <w:rFonts w:eastAsia="Times New Roman"/>
                <w:sz w:val="18"/>
                <w:szCs w:val="18"/>
              </w:rPr>
            </w:pPr>
            <w:r>
              <w:rPr>
                <w:rFonts w:eastAsia="Times New Roman"/>
                <w:sz w:val="18"/>
                <w:szCs w:val="18"/>
              </w:rPr>
              <w:t>same</w:t>
            </w:r>
          </w:p>
        </w:tc>
        <w:tc>
          <w:tcPr>
            <w:tcW w:w="1836" w:type="dxa"/>
            <w:shd w:val="clear" w:color="auto" w:fill="auto"/>
            <w:noWrap/>
            <w:vAlign w:val="center"/>
            <w:hideMark/>
          </w:tcPr>
          <w:p w:rsidR="001C5787" w:rsidRPr="001C5787" w:rsidRDefault="00E33D6E" w:rsidP="009B2A14">
            <w:pPr>
              <w:spacing w:after="0"/>
              <w:jc w:val="center"/>
              <w:rPr>
                <w:rFonts w:cs="Times New Roman"/>
                <w:sz w:val="18"/>
                <w:szCs w:val="18"/>
                <w:lang w:val="en-GB"/>
              </w:rPr>
            </w:pPr>
            <w:r w:rsidRPr="00E33D6E">
              <w:rPr>
                <w:rFonts w:cs="Times New Roman"/>
                <w:sz w:val="18"/>
                <w:szCs w:val="18"/>
                <w:lang w:val="en-GB"/>
              </w:rPr>
              <w:t>hsa-miR-191-5p</w:t>
            </w:r>
          </w:p>
        </w:tc>
      </w:tr>
      <w:tr w:rsidR="00067BAB" w:rsidRPr="000459A8" w:rsidTr="00130F93">
        <w:trPr>
          <w:trHeight w:val="288"/>
          <w:jc w:val="center"/>
        </w:trPr>
        <w:tc>
          <w:tcPr>
            <w:tcW w:w="1052" w:type="dxa"/>
            <w:shd w:val="clear" w:color="auto" w:fill="auto"/>
            <w:vAlign w:val="center"/>
            <w:hideMark/>
          </w:tcPr>
          <w:p w:rsidR="00067BAB" w:rsidRDefault="00067BAB" w:rsidP="009B2A14">
            <w:pPr>
              <w:spacing w:after="0"/>
              <w:jc w:val="center"/>
              <w:rPr>
                <w:rFonts w:eastAsia="Times New Roman"/>
                <w:sz w:val="18"/>
                <w:szCs w:val="18"/>
              </w:rPr>
            </w:pPr>
            <w:r>
              <w:rPr>
                <w:rFonts w:eastAsia="Times New Roman"/>
                <w:sz w:val="18"/>
                <w:szCs w:val="18"/>
              </w:rPr>
              <w:t>Lv, 2019</w:t>
            </w:r>
          </w:p>
        </w:tc>
        <w:tc>
          <w:tcPr>
            <w:tcW w:w="3100" w:type="dxa"/>
            <w:shd w:val="clear" w:color="auto" w:fill="auto"/>
            <w:vAlign w:val="center"/>
            <w:hideMark/>
          </w:tcPr>
          <w:p w:rsidR="00067BAB" w:rsidRDefault="00067BAB" w:rsidP="009B2A14">
            <w:pPr>
              <w:spacing w:after="0"/>
              <w:jc w:val="center"/>
              <w:rPr>
                <w:rFonts w:eastAsia="Times New Roman"/>
                <w:sz w:val="18"/>
                <w:szCs w:val="18"/>
              </w:rPr>
            </w:pPr>
            <w:r>
              <w:rPr>
                <w:rFonts w:eastAsia="Times New Roman"/>
                <w:sz w:val="18"/>
                <w:szCs w:val="18"/>
              </w:rPr>
              <w:t>qRT-PCR with SYBR Green (Life Tech)</w:t>
            </w:r>
          </w:p>
        </w:tc>
        <w:tc>
          <w:tcPr>
            <w:tcW w:w="4280" w:type="dxa"/>
            <w:shd w:val="clear" w:color="auto" w:fill="auto"/>
            <w:vAlign w:val="center"/>
            <w:hideMark/>
          </w:tcPr>
          <w:p w:rsidR="00067BAB" w:rsidRPr="001C5787" w:rsidRDefault="00067BAB"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067BAB" w:rsidRPr="000710F5" w:rsidRDefault="00067BAB" w:rsidP="009B2A14">
            <w:pPr>
              <w:spacing w:after="0"/>
              <w:jc w:val="center"/>
              <w:rPr>
                <w:rFonts w:eastAsia="Times New Roman"/>
                <w:sz w:val="18"/>
                <w:szCs w:val="18"/>
              </w:rPr>
            </w:pPr>
          </w:p>
        </w:tc>
        <w:tc>
          <w:tcPr>
            <w:tcW w:w="1836" w:type="dxa"/>
            <w:shd w:val="clear" w:color="auto" w:fill="auto"/>
            <w:noWrap/>
            <w:vAlign w:val="center"/>
            <w:hideMark/>
          </w:tcPr>
          <w:p w:rsidR="00067BAB" w:rsidRPr="001C5787" w:rsidRDefault="00067BAB" w:rsidP="009B2A14">
            <w:pPr>
              <w:spacing w:after="0"/>
              <w:jc w:val="center"/>
              <w:rPr>
                <w:rFonts w:cs="Times New Roman"/>
                <w:sz w:val="18"/>
                <w:szCs w:val="18"/>
                <w:lang w:val="en-GB"/>
              </w:rPr>
            </w:pPr>
            <w:r>
              <w:rPr>
                <w:rFonts w:cs="Times New Roman"/>
                <w:sz w:val="18"/>
                <w:szCs w:val="18"/>
                <w:lang w:val="en-GB"/>
              </w:rPr>
              <w:t>U6</w:t>
            </w:r>
          </w:p>
        </w:tc>
      </w:tr>
      <w:tr w:rsidR="00274CD5" w:rsidRPr="000459A8" w:rsidTr="00130F93">
        <w:trPr>
          <w:trHeight w:val="288"/>
          <w:jc w:val="center"/>
        </w:trPr>
        <w:tc>
          <w:tcPr>
            <w:tcW w:w="1052" w:type="dxa"/>
            <w:shd w:val="clear" w:color="auto" w:fill="auto"/>
            <w:vAlign w:val="center"/>
            <w:hideMark/>
          </w:tcPr>
          <w:p w:rsidR="00274CD5" w:rsidRDefault="00274CD5" w:rsidP="009B2A14">
            <w:pPr>
              <w:spacing w:after="0"/>
              <w:jc w:val="center"/>
              <w:rPr>
                <w:rFonts w:eastAsia="Times New Roman"/>
                <w:sz w:val="18"/>
                <w:szCs w:val="18"/>
              </w:rPr>
            </w:pPr>
            <w:r>
              <w:rPr>
                <w:rFonts w:eastAsia="Times New Roman"/>
                <w:sz w:val="18"/>
                <w:szCs w:val="18"/>
              </w:rPr>
              <w:t>Qian, 2019</w:t>
            </w:r>
          </w:p>
        </w:tc>
        <w:tc>
          <w:tcPr>
            <w:tcW w:w="3100" w:type="dxa"/>
            <w:shd w:val="clear" w:color="auto" w:fill="auto"/>
            <w:vAlign w:val="center"/>
            <w:hideMark/>
          </w:tcPr>
          <w:p w:rsidR="00274CD5" w:rsidRDefault="00274CD5" w:rsidP="009B2A14">
            <w:pPr>
              <w:spacing w:after="0"/>
              <w:jc w:val="center"/>
              <w:rPr>
                <w:rFonts w:eastAsia="Times New Roman"/>
                <w:sz w:val="18"/>
                <w:szCs w:val="18"/>
              </w:rPr>
            </w:pPr>
            <w:r>
              <w:rPr>
                <w:rFonts w:eastAsia="Times New Roman"/>
                <w:sz w:val="18"/>
                <w:szCs w:val="18"/>
              </w:rPr>
              <w:t>qRT-PCR with SYBR Green</w:t>
            </w:r>
          </w:p>
        </w:tc>
        <w:tc>
          <w:tcPr>
            <w:tcW w:w="4280" w:type="dxa"/>
            <w:shd w:val="clear" w:color="auto" w:fill="auto"/>
            <w:vAlign w:val="center"/>
            <w:hideMark/>
          </w:tcPr>
          <w:p w:rsidR="00274CD5" w:rsidRDefault="00274CD5"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274CD5" w:rsidRPr="000710F5" w:rsidRDefault="00274CD5" w:rsidP="009B2A14">
            <w:pPr>
              <w:spacing w:after="0"/>
              <w:jc w:val="center"/>
              <w:rPr>
                <w:rFonts w:eastAsia="Times New Roman"/>
                <w:sz w:val="18"/>
                <w:szCs w:val="18"/>
              </w:rPr>
            </w:pPr>
          </w:p>
        </w:tc>
        <w:tc>
          <w:tcPr>
            <w:tcW w:w="1836" w:type="dxa"/>
            <w:shd w:val="clear" w:color="auto" w:fill="auto"/>
            <w:noWrap/>
            <w:vAlign w:val="center"/>
            <w:hideMark/>
          </w:tcPr>
          <w:p w:rsidR="00274CD5" w:rsidRDefault="00274CD5" w:rsidP="009B2A14">
            <w:pPr>
              <w:spacing w:after="0"/>
              <w:jc w:val="center"/>
              <w:rPr>
                <w:rFonts w:cs="Times New Roman"/>
                <w:sz w:val="18"/>
                <w:szCs w:val="18"/>
                <w:lang w:val="en-GB"/>
              </w:rPr>
            </w:pPr>
            <w:r>
              <w:rPr>
                <w:rFonts w:cs="Times New Roman"/>
                <w:sz w:val="18"/>
                <w:szCs w:val="18"/>
                <w:lang w:val="en-GB"/>
              </w:rPr>
              <w:t>U6</w:t>
            </w:r>
          </w:p>
        </w:tc>
      </w:tr>
      <w:tr w:rsidR="00E4150A" w:rsidRPr="000459A8" w:rsidTr="00130F93">
        <w:trPr>
          <w:trHeight w:val="288"/>
          <w:jc w:val="center"/>
        </w:trPr>
        <w:tc>
          <w:tcPr>
            <w:tcW w:w="1052" w:type="dxa"/>
            <w:shd w:val="clear" w:color="auto" w:fill="auto"/>
            <w:vAlign w:val="center"/>
            <w:hideMark/>
          </w:tcPr>
          <w:p w:rsidR="00E4150A" w:rsidRDefault="00E4150A" w:rsidP="009B2A14">
            <w:pPr>
              <w:spacing w:after="0"/>
              <w:jc w:val="center"/>
              <w:rPr>
                <w:rFonts w:eastAsia="Times New Roman"/>
                <w:sz w:val="18"/>
                <w:szCs w:val="18"/>
              </w:rPr>
            </w:pPr>
            <w:r>
              <w:rPr>
                <w:rFonts w:eastAsia="Times New Roman"/>
                <w:sz w:val="18"/>
                <w:szCs w:val="18"/>
              </w:rPr>
              <w:t>Xu, 2019</w:t>
            </w:r>
          </w:p>
        </w:tc>
        <w:tc>
          <w:tcPr>
            <w:tcW w:w="3100" w:type="dxa"/>
            <w:shd w:val="clear" w:color="auto" w:fill="auto"/>
            <w:vAlign w:val="center"/>
            <w:hideMark/>
          </w:tcPr>
          <w:p w:rsidR="00000000" w:rsidRDefault="00E4150A">
            <w:pPr>
              <w:autoSpaceDE w:val="0"/>
              <w:autoSpaceDN w:val="0"/>
              <w:adjustRightInd w:val="0"/>
              <w:spacing w:before="0" w:after="0"/>
              <w:jc w:val="center"/>
              <w:rPr>
                <w:rFonts w:eastAsia="Lato-Regular" w:cs="Times New Roman"/>
                <w:sz w:val="16"/>
                <w:szCs w:val="16"/>
                <w:lang w:val="en-GB"/>
              </w:rPr>
            </w:pPr>
            <w:r w:rsidRPr="00E4150A">
              <w:rPr>
                <w:rFonts w:eastAsia="Times New Roman" w:cs="Times New Roman"/>
                <w:sz w:val="18"/>
                <w:szCs w:val="18"/>
              </w:rPr>
              <w:t>In situ hybridizatio</w:t>
            </w:r>
            <w:r w:rsidR="001E29D7">
              <w:rPr>
                <w:rFonts w:eastAsia="Times New Roman" w:cs="Times New Roman"/>
                <w:sz w:val="18"/>
                <w:szCs w:val="18"/>
              </w:rPr>
              <w:pgNum/>
            </w:r>
            <w:r w:rsidR="001E29D7">
              <w:rPr>
                <w:rFonts w:eastAsia="Times New Roman" w:cs="Times New Roman"/>
                <w:sz w:val="18"/>
                <w:szCs w:val="18"/>
              </w:rPr>
              <w:t>ormali</w:t>
            </w:r>
            <w:r w:rsidR="00E33D6E" w:rsidRPr="00E33D6E">
              <w:rPr>
                <w:rFonts w:eastAsia="Lato-Regular" w:cs="Times New Roman"/>
                <w:sz w:val="16"/>
                <w:szCs w:val="16"/>
                <w:lang w:val="en-GB"/>
              </w:rPr>
              <w:t>URY LNA hybridizatioeenptimization Kit (FFPE)</w:t>
            </w:r>
            <w:r>
              <w:rPr>
                <w:rFonts w:eastAsia="Lato-Regular" w:cs="Times New Roman"/>
                <w:sz w:val="16"/>
                <w:szCs w:val="16"/>
                <w:lang w:val="en-GB"/>
              </w:rPr>
              <w:t xml:space="preserve"> </w:t>
            </w:r>
            <w:r w:rsidR="00E33D6E" w:rsidRPr="00E33D6E">
              <w:rPr>
                <w:rFonts w:eastAsia="Lato-Regular" w:cs="Times New Roman"/>
                <w:sz w:val="16"/>
                <w:szCs w:val="16"/>
                <w:lang w:val="en-GB"/>
              </w:rPr>
              <w:t>from Exiqon</w:t>
            </w:r>
            <w:r w:rsidRPr="00E4150A">
              <w:rPr>
                <w:rFonts w:eastAsia="Times New Roman" w:cs="Times New Roman"/>
                <w:sz w:val="18"/>
                <w:szCs w:val="18"/>
              </w:rPr>
              <w:t>)</w:t>
            </w:r>
          </w:p>
        </w:tc>
        <w:tc>
          <w:tcPr>
            <w:tcW w:w="4280" w:type="dxa"/>
            <w:shd w:val="clear" w:color="auto" w:fill="auto"/>
            <w:vAlign w:val="center"/>
            <w:hideMark/>
          </w:tcPr>
          <w:p w:rsidR="00E4150A" w:rsidRDefault="00E4150A"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E4150A" w:rsidRPr="000710F5" w:rsidRDefault="00E4150A" w:rsidP="009B2A14">
            <w:pPr>
              <w:spacing w:after="0"/>
              <w:jc w:val="center"/>
              <w:rPr>
                <w:rFonts w:eastAsia="Times New Roman"/>
                <w:sz w:val="18"/>
                <w:szCs w:val="18"/>
              </w:rPr>
            </w:pPr>
          </w:p>
        </w:tc>
        <w:tc>
          <w:tcPr>
            <w:tcW w:w="1836" w:type="dxa"/>
            <w:shd w:val="clear" w:color="auto" w:fill="auto"/>
            <w:noWrap/>
            <w:vAlign w:val="center"/>
            <w:hideMark/>
          </w:tcPr>
          <w:p w:rsidR="00E4150A" w:rsidRDefault="00E4150A" w:rsidP="009B2A14">
            <w:pPr>
              <w:spacing w:after="0"/>
              <w:jc w:val="center"/>
              <w:rPr>
                <w:rFonts w:cs="Times New Roman"/>
                <w:sz w:val="18"/>
                <w:szCs w:val="18"/>
                <w:lang w:val="en-GB"/>
              </w:rPr>
            </w:pPr>
            <w:r>
              <w:rPr>
                <w:rFonts w:cs="Times New Roman"/>
                <w:sz w:val="18"/>
                <w:szCs w:val="18"/>
                <w:lang w:val="en-GB"/>
              </w:rPr>
              <w:t>NA</w:t>
            </w:r>
          </w:p>
        </w:tc>
      </w:tr>
      <w:tr w:rsidR="000E16B6" w:rsidRPr="000459A8" w:rsidTr="00130F93">
        <w:trPr>
          <w:trHeight w:val="288"/>
          <w:jc w:val="center"/>
        </w:trPr>
        <w:tc>
          <w:tcPr>
            <w:tcW w:w="1052" w:type="dxa"/>
            <w:shd w:val="clear" w:color="auto" w:fill="auto"/>
            <w:vAlign w:val="center"/>
            <w:hideMark/>
          </w:tcPr>
          <w:p w:rsidR="000E16B6" w:rsidRDefault="000E16B6" w:rsidP="009B2A14">
            <w:pPr>
              <w:spacing w:after="0"/>
              <w:jc w:val="center"/>
              <w:rPr>
                <w:rFonts w:eastAsia="Times New Roman"/>
                <w:sz w:val="18"/>
                <w:szCs w:val="18"/>
              </w:rPr>
            </w:pPr>
            <w:r>
              <w:rPr>
                <w:rFonts w:eastAsia="Times New Roman"/>
                <w:sz w:val="18"/>
                <w:szCs w:val="18"/>
              </w:rPr>
              <w:t>Yang, 2019</w:t>
            </w:r>
          </w:p>
        </w:tc>
        <w:tc>
          <w:tcPr>
            <w:tcW w:w="3100" w:type="dxa"/>
            <w:shd w:val="clear" w:color="auto" w:fill="auto"/>
            <w:vAlign w:val="center"/>
            <w:hideMark/>
          </w:tcPr>
          <w:p w:rsidR="000E16B6" w:rsidRPr="00E4150A" w:rsidRDefault="000E16B6" w:rsidP="00E4150A">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qRT-PCR</w:t>
            </w:r>
          </w:p>
        </w:tc>
        <w:tc>
          <w:tcPr>
            <w:tcW w:w="4280" w:type="dxa"/>
            <w:shd w:val="clear" w:color="auto" w:fill="auto"/>
            <w:vAlign w:val="center"/>
            <w:hideMark/>
          </w:tcPr>
          <w:p w:rsidR="000E16B6" w:rsidRDefault="000E16B6"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0E16B6" w:rsidRPr="000710F5" w:rsidRDefault="000E16B6" w:rsidP="009B2A14">
            <w:pPr>
              <w:spacing w:after="0"/>
              <w:jc w:val="center"/>
              <w:rPr>
                <w:rFonts w:eastAsia="Times New Roman"/>
                <w:sz w:val="18"/>
                <w:szCs w:val="18"/>
              </w:rPr>
            </w:pPr>
          </w:p>
        </w:tc>
        <w:tc>
          <w:tcPr>
            <w:tcW w:w="1836" w:type="dxa"/>
            <w:shd w:val="clear" w:color="auto" w:fill="auto"/>
            <w:noWrap/>
            <w:vAlign w:val="center"/>
            <w:hideMark/>
          </w:tcPr>
          <w:p w:rsidR="000E16B6" w:rsidRDefault="000E16B6" w:rsidP="009B2A14">
            <w:pPr>
              <w:spacing w:after="0"/>
              <w:jc w:val="center"/>
              <w:rPr>
                <w:rFonts w:cs="Times New Roman"/>
                <w:sz w:val="18"/>
                <w:szCs w:val="18"/>
                <w:lang w:val="en-GB"/>
              </w:rPr>
            </w:pPr>
            <w:r>
              <w:rPr>
                <w:rFonts w:cs="Times New Roman"/>
                <w:sz w:val="18"/>
                <w:szCs w:val="18"/>
                <w:lang w:val="en-GB"/>
              </w:rPr>
              <w:t>U6</w:t>
            </w:r>
          </w:p>
        </w:tc>
      </w:tr>
      <w:tr w:rsidR="00C5724C" w:rsidRPr="000459A8" w:rsidTr="00130F93">
        <w:trPr>
          <w:trHeight w:val="288"/>
          <w:jc w:val="center"/>
        </w:trPr>
        <w:tc>
          <w:tcPr>
            <w:tcW w:w="1052" w:type="dxa"/>
            <w:shd w:val="clear" w:color="auto" w:fill="auto"/>
            <w:vAlign w:val="center"/>
            <w:hideMark/>
          </w:tcPr>
          <w:p w:rsidR="00C5724C" w:rsidRDefault="00C5724C" w:rsidP="009B2A14">
            <w:pPr>
              <w:spacing w:after="0"/>
              <w:jc w:val="center"/>
              <w:rPr>
                <w:rFonts w:eastAsia="Times New Roman"/>
                <w:sz w:val="18"/>
                <w:szCs w:val="18"/>
              </w:rPr>
            </w:pPr>
            <w:r>
              <w:rPr>
                <w:rFonts w:eastAsia="Times New Roman"/>
                <w:sz w:val="18"/>
                <w:szCs w:val="18"/>
              </w:rPr>
              <w:t>Yuan, 2019</w:t>
            </w:r>
          </w:p>
        </w:tc>
        <w:tc>
          <w:tcPr>
            <w:tcW w:w="3100" w:type="dxa"/>
            <w:shd w:val="clear" w:color="auto" w:fill="auto"/>
            <w:vAlign w:val="center"/>
            <w:hideMark/>
          </w:tcPr>
          <w:p w:rsidR="00000000" w:rsidRDefault="00C5724C">
            <w:pPr>
              <w:autoSpaceDE w:val="0"/>
              <w:autoSpaceDN w:val="0"/>
              <w:adjustRightInd w:val="0"/>
              <w:spacing w:before="0" w:after="0"/>
              <w:jc w:val="center"/>
              <w:rPr>
                <w:rFonts w:cs="Times New Roman"/>
                <w:sz w:val="18"/>
                <w:szCs w:val="18"/>
                <w:lang w:val="en-GB"/>
              </w:rPr>
            </w:pPr>
            <w:r>
              <w:rPr>
                <w:rFonts w:cs="Times New Roman"/>
                <w:sz w:val="18"/>
                <w:szCs w:val="18"/>
                <w:lang w:val="en-GB"/>
              </w:rPr>
              <w:t>q</w:t>
            </w:r>
            <w:r w:rsidR="00E33D6E" w:rsidRPr="00E33D6E">
              <w:rPr>
                <w:rFonts w:cs="Times New Roman"/>
                <w:sz w:val="18"/>
                <w:szCs w:val="18"/>
                <w:lang w:val="en-GB"/>
              </w:rPr>
              <w:t>RT</w:t>
            </w:r>
            <w:r>
              <w:rPr>
                <w:rFonts w:eastAsia="AdvOT8608a8d1+20" w:cs="Times New Roman"/>
                <w:sz w:val="18"/>
                <w:szCs w:val="18"/>
                <w:lang w:val="en-GB"/>
              </w:rPr>
              <w:t>-</w:t>
            </w:r>
            <w:r>
              <w:rPr>
                <w:rFonts w:cs="Times New Roman"/>
                <w:sz w:val="18"/>
                <w:szCs w:val="18"/>
                <w:lang w:val="en-GB"/>
              </w:rPr>
              <w:t>PCR</w:t>
            </w:r>
            <w:r w:rsidR="00E33D6E" w:rsidRPr="00E33D6E">
              <w:rPr>
                <w:rFonts w:cs="Times New Roman"/>
                <w:sz w:val="18"/>
                <w:szCs w:val="18"/>
                <w:lang w:val="en-GB"/>
              </w:rPr>
              <w:t xml:space="preserve"> reaction in a ABI 7500</w:t>
            </w:r>
          </w:p>
          <w:p w:rsidR="00000000" w:rsidRDefault="00E33D6E">
            <w:pPr>
              <w:autoSpaceDE w:val="0"/>
              <w:autoSpaceDN w:val="0"/>
              <w:adjustRightInd w:val="0"/>
              <w:spacing w:before="0" w:after="0"/>
              <w:jc w:val="center"/>
              <w:rPr>
                <w:rFonts w:cs="Times New Roman"/>
                <w:sz w:val="18"/>
                <w:szCs w:val="18"/>
                <w:lang w:val="en-GB"/>
              </w:rPr>
            </w:pPr>
            <w:r w:rsidRPr="00E33D6E">
              <w:rPr>
                <w:rFonts w:cs="Times New Roman"/>
                <w:sz w:val="18"/>
                <w:szCs w:val="18"/>
                <w:lang w:val="en-GB"/>
              </w:rPr>
              <w:t>RT</w:t>
            </w:r>
            <w:r w:rsidR="00C5724C">
              <w:rPr>
                <w:rFonts w:eastAsia="AdvOT8608a8d1+20" w:cs="Times New Roman"/>
                <w:sz w:val="18"/>
                <w:szCs w:val="18"/>
                <w:lang w:val="en-GB"/>
              </w:rPr>
              <w:t>-</w:t>
            </w:r>
            <w:r w:rsidRPr="00E33D6E">
              <w:rPr>
                <w:rFonts w:cs="Times New Roman"/>
                <w:sz w:val="18"/>
                <w:szCs w:val="18"/>
                <w:lang w:val="en-GB"/>
              </w:rPr>
              <w:t>qPCR instrument using SYBR premix Ex Taq</w:t>
            </w:r>
            <w:r w:rsidRPr="00E33D6E">
              <w:rPr>
                <w:rFonts w:cs="Times New Roman"/>
                <w:sz w:val="18"/>
                <w:szCs w:val="18"/>
                <w:vertAlign w:val="superscript"/>
                <w:lang w:val="en-GB"/>
              </w:rPr>
              <w:t>TM</w:t>
            </w:r>
            <w:r w:rsidRPr="00E33D6E">
              <w:rPr>
                <w:rFonts w:cs="Times New Roman"/>
                <w:sz w:val="18"/>
                <w:szCs w:val="18"/>
                <w:lang w:val="en-GB"/>
              </w:rPr>
              <w:t xml:space="preserve"> </w:t>
            </w:r>
            <w:r w:rsidR="00C5724C">
              <w:rPr>
                <w:rFonts w:cs="Times New Roman"/>
                <w:sz w:val="18"/>
                <w:szCs w:val="18"/>
                <w:lang w:val="en-GB"/>
              </w:rPr>
              <w:t>II</w:t>
            </w:r>
            <w:r w:rsidRPr="00E33D6E">
              <w:rPr>
                <w:rFonts w:eastAsia="AdvTT2876772e+21" w:cs="Times New Roman"/>
                <w:sz w:val="18"/>
                <w:szCs w:val="18"/>
                <w:lang w:val="en-GB"/>
              </w:rPr>
              <w:t xml:space="preserve"> </w:t>
            </w:r>
            <w:r w:rsidRPr="00E33D6E">
              <w:rPr>
                <w:rFonts w:cs="Times New Roman"/>
                <w:sz w:val="18"/>
                <w:szCs w:val="18"/>
                <w:lang w:val="en-GB"/>
              </w:rPr>
              <w:t>PCR Kit</w:t>
            </w:r>
          </w:p>
          <w:p w:rsidR="00C5724C" w:rsidRDefault="00E33D6E" w:rsidP="005E2350">
            <w:pPr>
              <w:autoSpaceDE w:val="0"/>
              <w:autoSpaceDN w:val="0"/>
              <w:adjustRightInd w:val="0"/>
              <w:spacing w:before="0" w:after="0"/>
              <w:jc w:val="center"/>
              <w:rPr>
                <w:rFonts w:eastAsia="Times New Roman" w:cs="Times New Roman"/>
                <w:sz w:val="18"/>
                <w:szCs w:val="18"/>
              </w:rPr>
            </w:pPr>
            <w:r w:rsidRPr="00E33D6E">
              <w:rPr>
                <w:rFonts w:cs="Times New Roman"/>
                <w:sz w:val="18"/>
                <w:szCs w:val="18"/>
                <w:lang w:val="en-GB"/>
              </w:rPr>
              <w:t>(TaKaRa, Dalian, Liaoning, China)</w:t>
            </w:r>
          </w:p>
        </w:tc>
        <w:tc>
          <w:tcPr>
            <w:tcW w:w="4280" w:type="dxa"/>
            <w:shd w:val="clear" w:color="auto" w:fill="auto"/>
            <w:vAlign w:val="center"/>
            <w:hideMark/>
          </w:tcPr>
          <w:p w:rsidR="00C5724C" w:rsidRDefault="00BC0C8E"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C5724C" w:rsidRPr="000710F5" w:rsidRDefault="00C5724C" w:rsidP="009B2A14">
            <w:pPr>
              <w:spacing w:after="0"/>
              <w:jc w:val="center"/>
              <w:rPr>
                <w:rFonts w:eastAsia="Times New Roman"/>
                <w:sz w:val="18"/>
                <w:szCs w:val="18"/>
              </w:rPr>
            </w:pPr>
          </w:p>
        </w:tc>
        <w:tc>
          <w:tcPr>
            <w:tcW w:w="1836" w:type="dxa"/>
            <w:shd w:val="clear" w:color="auto" w:fill="auto"/>
            <w:noWrap/>
            <w:vAlign w:val="center"/>
            <w:hideMark/>
          </w:tcPr>
          <w:p w:rsidR="00C5724C" w:rsidRDefault="00BC0C8E" w:rsidP="009B2A14">
            <w:pPr>
              <w:spacing w:after="0"/>
              <w:jc w:val="center"/>
              <w:rPr>
                <w:rFonts w:cs="Times New Roman"/>
                <w:sz w:val="18"/>
                <w:szCs w:val="18"/>
                <w:lang w:val="en-GB"/>
              </w:rPr>
            </w:pPr>
            <w:r>
              <w:rPr>
                <w:rFonts w:cs="Times New Roman"/>
                <w:sz w:val="18"/>
                <w:szCs w:val="18"/>
                <w:lang w:val="en-GB"/>
              </w:rPr>
              <w:t>U6</w:t>
            </w:r>
          </w:p>
        </w:tc>
      </w:tr>
      <w:tr w:rsidR="005E2350" w:rsidRPr="000459A8" w:rsidTr="00130F93">
        <w:trPr>
          <w:trHeight w:val="288"/>
          <w:jc w:val="center"/>
        </w:trPr>
        <w:tc>
          <w:tcPr>
            <w:tcW w:w="1052" w:type="dxa"/>
            <w:shd w:val="clear" w:color="auto" w:fill="auto"/>
            <w:vAlign w:val="center"/>
            <w:hideMark/>
          </w:tcPr>
          <w:p w:rsidR="005E2350" w:rsidRDefault="005E2350" w:rsidP="009B2A14">
            <w:pPr>
              <w:spacing w:after="0"/>
              <w:jc w:val="center"/>
              <w:rPr>
                <w:rFonts w:eastAsia="Times New Roman"/>
                <w:sz w:val="18"/>
                <w:szCs w:val="18"/>
              </w:rPr>
            </w:pPr>
            <w:r>
              <w:rPr>
                <w:rFonts w:eastAsia="Times New Roman"/>
                <w:sz w:val="18"/>
                <w:szCs w:val="18"/>
              </w:rPr>
              <w:t>Zhang, 2019</w:t>
            </w:r>
          </w:p>
        </w:tc>
        <w:tc>
          <w:tcPr>
            <w:tcW w:w="3100" w:type="dxa"/>
            <w:shd w:val="clear" w:color="auto" w:fill="auto"/>
            <w:vAlign w:val="center"/>
            <w:hideMark/>
          </w:tcPr>
          <w:p w:rsidR="00000000" w:rsidRDefault="005E2350">
            <w:pPr>
              <w:autoSpaceDE w:val="0"/>
              <w:autoSpaceDN w:val="0"/>
              <w:adjustRightInd w:val="0"/>
              <w:spacing w:before="0" w:after="0"/>
              <w:jc w:val="center"/>
              <w:rPr>
                <w:rFonts w:cs="Times New Roman"/>
                <w:sz w:val="18"/>
                <w:szCs w:val="18"/>
                <w:lang w:val="en-GB"/>
              </w:rPr>
            </w:pPr>
            <w:r>
              <w:rPr>
                <w:rFonts w:cs="Times New Roman"/>
                <w:sz w:val="18"/>
                <w:szCs w:val="18"/>
                <w:lang w:val="en-GB"/>
              </w:rPr>
              <w:t>qRT-PCR</w:t>
            </w:r>
          </w:p>
        </w:tc>
        <w:tc>
          <w:tcPr>
            <w:tcW w:w="4280" w:type="dxa"/>
            <w:shd w:val="clear" w:color="auto" w:fill="auto"/>
            <w:vAlign w:val="center"/>
            <w:hideMark/>
          </w:tcPr>
          <w:p w:rsidR="005E2350" w:rsidRDefault="005E2350"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5E2350" w:rsidRPr="000710F5" w:rsidRDefault="005E2350" w:rsidP="009B2A14">
            <w:pPr>
              <w:spacing w:after="0"/>
              <w:jc w:val="center"/>
              <w:rPr>
                <w:rFonts w:eastAsia="Times New Roman"/>
                <w:sz w:val="18"/>
                <w:szCs w:val="18"/>
              </w:rPr>
            </w:pPr>
          </w:p>
        </w:tc>
        <w:tc>
          <w:tcPr>
            <w:tcW w:w="1836" w:type="dxa"/>
            <w:shd w:val="clear" w:color="auto" w:fill="auto"/>
            <w:noWrap/>
            <w:vAlign w:val="center"/>
            <w:hideMark/>
          </w:tcPr>
          <w:p w:rsidR="005E2350" w:rsidRDefault="005E2350" w:rsidP="009B2A14">
            <w:pPr>
              <w:spacing w:after="0"/>
              <w:jc w:val="center"/>
              <w:rPr>
                <w:rFonts w:cs="Times New Roman"/>
                <w:sz w:val="18"/>
                <w:szCs w:val="18"/>
                <w:lang w:val="en-GB"/>
              </w:rPr>
            </w:pPr>
            <w:r>
              <w:rPr>
                <w:rFonts w:cs="Times New Roman"/>
                <w:sz w:val="18"/>
                <w:szCs w:val="18"/>
                <w:lang w:val="en-GB"/>
              </w:rPr>
              <w:t>GAPDH</w:t>
            </w:r>
          </w:p>
        </w:tc>
      </w:tr>
      <w:tr w:rsidR="00FA3FCF" w:rsidRPr="000459A8" w:rsidTr="00130F93">
        <w:trPr>
          <w:trHeight w:val="288"/>
          <w:jc w:val="center"/>
        </w:trPr>
        <w:tc>
          <w:tcPr>
            <w:tcW w:w="1052" w:type="dxa"/>
            <w:shd w:val="clear" w:color="auto" w:fill="auto"/>
            <w:vAlign w:val="center"/>
            <w:hideMark/>
          </w:tcPr>
          <w:p w:rsidR="00FA3FCF" w:rsidRDefault="00FA3FCF" w:rsidP="009B2A14">
            <w:pPr>
              <w:spacing w:after="0"/>
              <w:jc w:val="center"/>
              <w:rPr>
                <w:rFonts w:eastAsia="Times New Roman"/>
                <w:sz w:val="18"/>
                <w:szCs w:val="18"/>
              </w:rPr>
            </w:pPr>
            <w:r>
              <w:rPr>
                <w:rFonts w:eastAsia="Times New Roman"/>
                <w:sz w:val="18"/>
                <w:szCs w:val="18"/>
              </w:rPr>
              <w:t>Akgor, 2020</w:t>
            </w:r>
          </w:p>
        </w:tc>
        <w:tc>
          <w:tcPr>
            <w:tcW w:w="3100" w:type="dxa"/>
            <w:shd w:val="clear" w:color="auto" w:fill="auto"/>
            <w:vAlign w:val="center"/>
            <w:hideMark/>
          </w:tcPr>
          <w:p w:rsidR="00FA3FCF" w:rsidRPr="00FA3FCF" w:rsidRDefault="00FA3FCF">
            <w:pPr>
              <w:autoSpaceDE w:val="0"/>
              <w:autoSpaceDN w:val="0"/>
              <w:adjustRightInd w:val="0"/>
              <w:spacing w:before="0" w:after="0"/>
              <w:jc w:val="center"/>
              <w:rPr>
                <w:rFonts w:cs="Times New Roman"/>
                <w:sz w:val="18"/>
                <w:szCs w:val="18"/>
                <w:lang w:val="en-GB"/>
              </w:rPr>
            </w:pPr>
            <w:r w:rsidRPr="00FA3FCF">
              <w:rPr>
                <w:rFonts w:cs="Times New Roman"/>
                <w:sz w:val="18"/>
                <w:szCs w:val="18"/>
                <w:lang w:val="en-GB"/>
              </w:rPr>
              <w:t xml:space="preserve">qRT-PCR </w:t>
            </w:r>
            <w:r w:rsidR="00E33D6E" w:rsidRPr="00E33D6E">
              <w:rPr>
                <w:rFonts w:cs="Times New Roman"/>
                <w:sz w:val="18"/>
                <w:szCs w:val="18"/>
              </w:rPr>
              <w:t>high-throughput BioMark Real-Time PCR system</w:t>
            </w:r>
          </w:p>
        </w:tc>
        <w:tc>
          <w:tcPr>
            <w:tcW w:w="4280" w:type="dxa"/>
            <w:shd w:val="clear" w:color="auto" w:fill="auto"/>
            <w:vAlign w:val="center"/>
            <w:hideMark/>
          </w:tcPr>
          <w:p w:rsidR="00FA3FCF" w:rsidRDefault="00FA3FCF"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FA3FCF" w:rsidRPr="000710F5" w:rsidRDefault="00FA3FCF" w:rsidP="009B2A14">
            <w:pPr>
              <w:spacing w:after="0"/>
              <w:jc w:val="center"/>
              <w:rPr>
                <w:rFonts w:eastAsia="Times New Roman"/>
                <w:sz w:val="18"/>
                <w:szCs w:val="18"/>
              </w:rPr>
            </w:pPr>
          </w:p>
        </w:tc>
        <w:tc>
          <w:tcPr>
            <w:tcW w:w="1836" w:type="dxa"/>
            <w:shd w:val="clear" w:color="auto" w:fill="auto"/>
            <w:noWrap/>
            <w:vAlign w:val="center"/>
            <w:hideMark/>
          </w:tcPr>
          <w:p w:rsidR="00FA3FCF" w:rsidRPr="00FA3FCF" w:rsidRDefault="00E33D6E" w:rsidP="009B2A14">
            <w:pPr>
              <w:spacing w:after="0"/>
              <w:jc w:val="center"/>
              <w:rPr>
                <w:rFonts w:cs="Times New Roman"/>
                <w:sz w:val="18"/>
                <w:szCs w:val="18"/>
                <w:lang w:val="en-GB"/>
              </w:rPr>
            </w:pPr>
            <w:r w:rsidRPr="00E33D6E">
              <w:rPr>
                <w:rFonts w:cs="Times New Roman"/>
                <w:sz w:val="18"/>
                <w:szCs w:val="18"/>
              </w:rPr>
              <w:t>global me</w:t>
            </w:r>
            <w:r w:rsidR="001E29D7">
              <w:rPr>
                <w:rFonts w:cs="Times New Roman"/>
                <w:sz w:val="18"/>
                <w:szCs w:val="18"/>
              </w:rPr>
              <w:pgNum/>
            </w:r>
            <w:r w:rsidR="001E29D7">
              <w:rPr>
                <w:rFonts w:cs="Times New Roman"/>
                <w:sz w:val="18"/>
                <w:szCs w:val="18"/>
              </w:rPr>
              <w:t>ormalization</w:t>
            </w:r>
            <w:r w:rsidRPr="00E33D6E">
              <w:rPr>
                <w:rFonts w:cs="Times New Roman"/>
                <w:sz w:val="18"/>
                <w:szCs w:val="18"/>
              </w:rPr>
              <w:t>ion method</w:t>
            </w:r>
          </w:p>
        </w:tc>
      </w:tr>
      <w:tr w:rsidR="001E29D7" w:rsidRPr="000459A8" w:rsidTr="00130F93">
        <w:trPr>
          <w:trHeight w:val="463"/>
          <w:jc w:val="center"/>
        </w:trPr>
        <w:tc>
          <w:tcPr>
            <w:tcW w:w="1052" w:type="dxa"/>
            <w:shd w:val="clear" w:color="auto" w:fill="auto"/>
            <w:vAlign w:val="center"/>
            <w:hideMark/>
          </w:tcPr>
          <w:p w:rsidR="001E29D7" w:rsidRDefault="001E29D7" w:rsidP="009B2A14">
            <w:pPr>
              <w:spacing w:after="0"/>
              <w:jc w:val="center"/>
              <w:rPr>
                <w:rFonts w:eastAsia="Times New Roman"/>
                <w:sz w:val="18"/>
                <w:szCs w:val="18"/>
              </w:rPr>
            </w:pPr>
            <w:r>
              <w:rPr>
                <w:rFonts w:eastAsia="Times New Roman"/>
                <w:sz w:val="18"/>
                <w:szCs w:val="18"/>
              </w:rPr>
              <w:t>Devor, 2020</w:t>
            </w:r>
          </w:p>
        </w:tc>
        <w:tc>
          <w:tcPr>
            <w:tcW w:w="3100" w:type="dxa"/>
            <w:shd w:val="clear" w:color="auto" w:fill="auto"/>
            <w:vAlign w:val="center"/>
            <w:hideMark/>
          </w:tcPr>
          <w:p w:rsidR="001E29D7" w:rsidRPr="00FA3FCF" w:rsidRDefault="00E33D6E" w:rsidP="001E29D7">
            <w:pPr>
              <w:autoSpaceDE w:val="0"/>
              <w:autoSpaceDN w:val="0"/>
              <w:adjustRightInd w:val="0"/>
              <w:spacing w:before="0" w:after="0"/>
              <w:jc w:val="center"/>
              <w:rPr>
                <w:rFonts w:cs="Times New Roman"/>
                <w:sz w:val="18"/>
                <w:szCs w:val="18"/>
                <w:lang w:val="en-GB"/>
              </w:rPr>
            </w:pPr>
            <w:r w:rsidRPr="00E33D6E">
              <w:rPr>
                <w:rFonts w:cs="Times New Roman"/>
                <w:sz w:val="18"/>
                <w:szCs w:val="18"/>
              </w:rPr>
              <w:t>A-set</w:t>
            </w:r>
            <w:r w:rsidR="001E29D7">
              <w:rPr>
                <w:rFonts w:cs="Times New Roman"/>
                <w:sz w:val="18"/>
                <w:szCs w:val="18"/>
              </w:rPr>
              <w:t xml:space="preserve"> </w:t>
            </w:r>
            <w:r w:rsidRPr="00E33D6E">
              <w:rPr>
                <w:rFonts w:cs="Times New Roman"/>
                <w:sz w:val="18"/>
                <w:szCs w:val="18"/>
              </w:rPr>
              <w:t>TaqMan Low Density microRNA Arrays (TaqMan low</w:t>
            </w:r>
            <w:r w:rsidR="001E29D7">
              <w:rPr>
                <w:rFonts w:cs="Times New Roman"/>
                <w:sz w:val="18"/>
                <w:szCs w:val="18"/>
              </w:rPr>
              <w:t xml:space="preserve"> </w:t>
            </w:r>
            <w:r w:rsidRPr="00E33D6E">
              <w:rPr>
                <w:rFonts w:cs="Times New Roman"/>
                <w:sz w:val="18"/>
                <w:szCs w:val="18"/>
              </w:rPr>
              <w:t>density array (TLDA), Life Technologies)</w:t>
            </w:r>
          </w:p>
        </w:tc>
        <w:tc>
          <w:tcPr>
            <w:tcW w:w="4280" w:type="dxa"/>
            <w:shd w:val="clear" w:color="auto" w:fill="auto"/>
            <w:vAlign w:val="center"/>
            <w:hideMark/>
          </w:tcPr>
          <w:p w:rsidR="001E29D7" w:rsidRDefault="001E29D7"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1E29D7" w:rsidRPr="000710F5" w:rsidRDefault="001E29D7" w:rsidP="009B2A14">
            <w:pPr>
              <w:spacing w:after="0"/>
              <w:jc w:val="center"/>
              <w:rPr>
                <w:rFonts w:eastAsia="Times New Roman"/>
                <w:sz w:val="18"/>
                <w:szCs w:val="18"/>
              </w:rPr>
            </w:pPr>
          </w:p>
        </w:tc>
        <w:tc>
          <w:tcPr>
            <w:tcW w:w="1836" w:type="dxa"/>
            <w:shd w:val="clear" w:color="auto" w:fill="auto"/>
            <w:noWrap/>
            <w:vAlign w:val="center"/>
            <w:hideMark/>
          </w:tcPr>
          <w:p w:rsidR="001E29D7" w:rsidRPr="00FA3FCF" w:rsidRDefault="001E29D7" w:rsidP="009B2A14">
            <w:pPr>
              <w:spacing w:after="0"/>
              <w:jc w:val="center"/>
              <w:rPr>
                <w:rFonts w:cs="Times New Roman"/>
                <w:sz w:val="18"/>
                <w:szCs w:val="18"/>
              </w:rPr>
            </w:pPr>
            <w:r>
              <w:rPr>
                <w:rFonts w:cs="Times New Roman"/>
                <w:sz w:val="18"/>
                <w:szCs w:val="18"/>
              </w:rPr>
              <w:t>RNU48</w:t>
            </w:r>
          </w:p>
        </w:tc>
      </w:tr>
      <w:tr w:rsidR="000704D9" w:rsidRPr="000459A8" w:rsidTr="00130F93">
        <w:trPr>
          <w:trHeight w:val="463"/>
          <w:jc w:val="center"/>
        </w:trPr>
        <w:tc>
          <w:tcPr>
            <w:tcW w:w="1052" w:type="dxa"/>
            <w:shd w:val="clear" w:color="auto" w:fill="auto"/>
            <w:vAlign w:val="center"/>
            <w:hideMark/>
          </w:tcPr>
          <w:p w:rsidR="000704D9" w:rsidRDefault="000704D9" w:rsidP="009B2A14">
            <w:pPr>
              <w:spacing w:after="0"/>
              <w:jc w:val="center"/>
              <w:rPr>
                <w:rFonts w:eastAsia="Times New Roman"/>
                <w:sz w:val="18"/>
                <w:szCs w:val="18"/>
              </w:rPr>
            </w:pPr>
            <w:r>
              <w:rPr>
                <w:rFonts w:eastAsia="Times New Roman"/>
                <w:sz w:val="18"/>
                <w:szCs w:val="18"/>
              </w:rPr>
              <w:t>Dong, 2020</w:t>
            </w:r>
          </w:p>
        </w:tc>
        <w:tc>
          <w:tcPr>
            <w:tcW w:w="3100" w:type="dxa"/>
            <w:shd w:val="clear" w:color="auto" w:fill="auto"/>
            <w:vAlign w:val="center"/>
            <w:hideMark/>
          </w:tcPr>
          <w:p w:rsidR="000704D9" w:rsidRPr="000704D9" w:rsidRDefault="00E33D6E" w:rsidP="001E29D7">
            <w:pPr>
              <w:autoSpaceDE w:val="0"/>
              <w:autoSpaceDN w:val="0"/>
              <w:adjustRightInd w:val="0"/>
              <w:spacing w:before="0" w:after="0"/>
              <w:jc w:val="center"/>
              <w:rPr>
                <w:rFonts w:cs="Times New Roman"/>
                <w:sz w:val="18"/>
                <w:szCs w:val="18"/>
              </w:rPr>
            </w:pPr>
            <w:r w:rsidRPr="00E33D6E">
              <w:rPr>
                <w:rFonts w:cs="Times"/>
                <w:color w:val="000000"/>
                <w:sz w:val="18"/>
                <w:szCs w:val="18"/>
              </w:rPr>
              <w:t>miRNA</w:t>
            </w:r>
            <w:r w:rsidRPr="00E33D6E">
              <w:rPr>
                <w:rFonts w:cs="Times"/>
                <w:color w:val="000000"/>
                <w:sz w:val="18"/>
                <w:szCs w:val="18"/>
              </w:rPr>
              <w:noBreakHyphen/>
              <w:t>specific TaqMan miRNA assay kit (Applied Biosystems; Thermo Fisher Scientific, Inc.).</w:t>
            </w:r>
          </w:p>
        </w:tc>
        <w:tc>
          <w:tcPr>
            <w:tcW w:w="4280" w:type="dxa"/>
            <w:shd w:val="clear" w:color="auto" w:fill="auto"/>
            <w:vAlign w:val="center"/>
            <w:hideMark/>
          </w:tcPr>
          <w:p w:rsidR="000704D9" w:rsidRPr="000704D9" w:rsidRDefault="000704D9" w:rsidP="001C5787">
            <w:pPr>
              <w:autoSpaceDE w:val="0"/>
              <w:autoSpaceDN w:val="0"/>
              <w:adjustRightInd w:val="0"/>
              <w:spacing w:before="0" w:after="0"/>
              <w:jc w:val="center"/>
              <w:rPr>
                <w:rFonts w:eastAsia="Times New Roman" w:cs="Times New Roman"/>
                <w:sz w:val="18"/>
                <w:szCs w:val="18"/>
              </w:rPr>
            </w:pPr>
            <w:r w:rsidRPr="000704D9">
              <w:rPr>
                <w:rFonts w:eastAsia="Times New Roman" w:cs="Times New Roman"/>
                <w:sz w:val="18"/>
                <w:szCs w:val="18"/>
              </w:rPr>
              <w:t>qRT-PCR (</w:t>
            </w:r>
            <w:r w:rsidR="00E33D6E" w:rsidRPr="00E33D6E">
              <w:rPr>
                <w:rFonts w:cs="Times"/>
                <w:color w:val="000000"/>
                <w:sz w:val="18"/>
                <w:szCs w:val="18"/>
              </w:rPr>
              <w:t>FastStart Univepreeclampsial SYBR Green Master (Applied Biosystems; Thermo Fisher Scientific, Inc.)</w:t>
            </w:r>
            <w:r w:rsidRPr="000704D9">
              <w:rPr>
                <w:rFonts w:eastAsia="Times New Roman" w:cs="Times New Roman"/>
                <w:sz w:val="18"/>
                <w:szCs w:val="18"/>
              </w:rPr>
              <w:t>)</w:t>
            </w:r>
          </w:p>
        </w:tc>
        <w:tc>
          <w:tcPr>
            <w:tcW w:w="1099" w:type="dxa"/>
            <w:shd w:val="clear" w:color="auto" w:fill="auto"/>
            <w:vAlign w:val="center"/>
            <w:hideMark/>
          </w:tcPr>
          <w:p w:rsidR="000704D9" w:rsidRPr="000710F5" w:rsidRDefault="000704D9" w:rsidP="009B2A14">
            <w:pPr>
              <w:spacing w:after="0"/>
              <w:jc w:val="center"/>
              <w:rPr>
                <w:rFonts w:eastAsia="Times New Roman"/>
                <w:sz w:val="18"/>
                <w:szCs w:val="18"/>
              </w:rPr>
            </w:pPr>
            <w:r>
              <w:rPr>
                <w:rFonts w:eastAsia="Times New Roman"/>
                <w:sz w:val="18"/>
                <w:szCs w:val="18"/>
              </w:rPr>
              <w:t>same</w:t>
            </w:r>
          </w:p>
        </w:tc>
        <w:tc>
          <w:tcPr>
            <w:tcW w:w="1836" w:type="dxa"/>
            <w:shd w:val="clear" w:color="auto" w:fill="auto"/>
            <w:noWrap/>
            <w:vAlign w:val="center"/>
            <w:hideMark/>
          </w:tcPr>
          <w:p w:rsidR="000704D9" w:rsidRDefault="000704D9" w:rsidP="009B2A14">
            <w:pPr>
              <w:spacing w:after="0"/>
              <w:jc w:val="center"/>
              <w:rPr>
                <w:rFonts w:cs="Times New Roman"/>
                <w:sz w:val="18"/>
                <w:szCs w:val="18"/>
              </w:rPr>
            </w:pPr>
            <w:r>
              <w:rPr>
                <w:rFonts w:cs="Times New Roman"/>
                <w:sz w:val="18"/>
                <w:szCs w:val="18"/>
              </w:rPr>
              <w:t>U6</w:t>
            </w:r>
          </w:p>
        </w:tc>
      </w:tr>
      <w:tr w:rsidR="000C140E" w:rsidRPr="000459A8" w:rsidTr="00130F93">
        <w:trPr>
          <w:trHeight w:val="463"/>
          <w:jc w:val="center"/>
        </w:trPr>
        <w:tc>
          <w:tcPr>
            <w:tcW w:w="1052" w:type="dxa"/>
            <w:shd w:val="clear" w:color="auto" w:fill="auto"/>
            <w:vAlign w:val="center"/>
            <w:hideMark/>
          </w:tcPr>
          <w:p w:rsidR="000C140E" w:rsidRDefault="000C140E" w:rsidP="009B2A14">
            <w:pPr>
              <w:spacing w:after="0"/>
              <w:jc w:val="center"/>
              <w:rPr>
                <w:rFonts w:eastAsia="Times New Roman"/>
                <w:sz w:val="18"/>
                <w:szCs w:val="18"/>
              </w:rPr>
            </w:pPr>
            <w:r>
              <w:rPr>
                <w:rFonts w:eastAsia="Times New Roman"/>
                <w:sz w:val="18"/>
                <w:szCs w:val="18"/>
              </w:rPr>
              <w:t>Fan, 2020</w:t>
            </w:r>
          </w:p>
        </w:tc>
        <w:tc>
          <w:tcPr>
            <w:tcW w:w="3100" w:type="dxa"/>
            <w:shd w:val="clear" w:color="auto" w:fill="auto"/>
            <w:vAlign w:val="center"/>
            <w:hideMark/>
          </w:tcPr>
          <w:p w:rsidR="000C140E" w:rsidRPr="000704D9" w:rsidRDefault="000C140E" w:rsidP="009964E8">
            <w:pPr>
              <w:autoSpaceDE w:val="0"/>
              <w:autoSpaceDN w:val="0"/>
              <w:adjustRightInd w:val="0"/>
              <w:spacing w:before="0" w:after="0"/>
              <w:jc w:val="center"/>
              <w:rPr>
                <w:rFonts w:cs="Times"/>
                <w:color w:val="000000"/>
                <w:sz w:val="18"/>
                <w:szCs w:val="18"/>
              </w:rPr>
            </w:pPr>
            <w:r w:rsidRPr="000C140E">
              <w:rPr>
                <w:rFonts w:cs="Times New Roman"/>
                <w:color w:val="000000"/>
                <w:sz w:val="18"/>
                <w:szCs w:val="18"/>
              </w:rPr>
              <w:t>qRT-PCR (</w:t>
            </w:r>
            <w:r w:rsidR="00E33D6E" w:rsidRPr="00E33D6E">
              <w:rPr>
                <w:rFonts w:eastAsia="CharisSIL" w:cs="Times New Roman"/>
                <w:sz w:val="18"/>
                <w:szCs w:val="18"/>
              </w:rPr>
              <w:t>SYBR</w:t>
            </w:r>
            <w:r>
              <w:rPr>
                <w:rFonts w:eastAsia="CharisSIL" w:cs="Times New Roman"/>
                <w:sz w:val="18"/>
                <w:szCs w:val="18"/>
              </w:rPr>
              <w:t xml:space="preserve"> </w:t>
            </w:r>
            <w:r w:rsidR="00E33D6E" w:rsidRPr="00E33D6E">
              <w:rPr>
                <w:rFonts w:eastAsia="CharisSIL" w:cs="Times New Roman"/>
                <w:sz w:val="18"/>
                <w:szCs w:val="18"/>
              </w:rPr>
              <w:t>Green plus kit (Roche, Basel, Switzerland)</w:t>
            </w:r>
            <w:r w:rsidRPr="000C140E">
              <w:rPr>
                <w:rFonts w:cs="Times New Roman"/>
                <w:color w:val="000000"/>
                <w:sz w:val="18"/>
                <w:szCs w:val="18"/>
              </w:rPr>
              <w:t>)</w:t>
            </w:r>
          </w:p>
        </w:tc>
        <w:tc>
          <w:tcPr>
            <w:tcW w:w="4280" w:type="dxa"/>
            <w:shd w:val="clear" w:color="auto" w:fill="auto"/>
            <w:vAlign w:val="center"/>
            <w:hideMark/>
          </w:tcPr>
          <w:p w:rsidR="000C140E" w:rsidRPr="000704D9" w:rsidRDefault="000C140E"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0C140E" w:rsidRDefault="000C140E" w:rsidP="009B2A14">
            <w:pPr>
              <w:spacing w:after="0"/>
              <w:jc w:val="center"/>
              <w:rPr>
                <w:rFonts w:eastAsia="Times New Roman"/>
                <w:sz w:val="18"/>
                <w:szCs w:val="18"/>
              </w:rPr>
            </w:pPr>
          </w:p>
        </w:tc>
        <w:tc>
          <w:tcPr>
            <w:tcW w:w="1836" w:type="dxa"/>
            <w:shd w:val="clear" w:color="auto" w:fill="auto"/>
            <w:noWrap/>
            <w:vAlign w:val="center"/>
            <w:hideMark/>
          </w:tcPr>
          <w:p w:rsidR="000C140E" w:rsidRDefault="000C140E" w:rsidP="009B2A14">
            <w:pPr>
              <w:spacing w:after="0"/>
              <w:jc w:val="center"/>
              <w:rPr>
                <w:rFonts w:cs="Times New Roman"/>
                <w:sz w:val="18"/>
                <w:szCs w:val="18"/>
              </w:rPr>
            </w:pPr>
            <w:r>
              <w:rPr>
                <w:rFonts w:cs="Times New Roman"/>
                <w:sz w:val="18"/>
                <w:szCs w:val="18"/>
              </w:rPr>
              <w:t>U6</w:t>
            </w:r>
          </w:p>
        </w:tc>
      </w:tr>
      <w:tr w:rsidR="009964E8" w:rsidRPr="000459A8" w:rsidTr="00130F93">
        <w:trPr>
          <w:trHeight w:val="463"/>
          <w:jc w:val="center"/>
        </w:trPr>
        <w:tc>
          <w:tcPr>
            <w:tcW w:w="1052" w:type="dxa"/>
            <w:shd w:val="clear" w:color="auto" w:fill="auto"/>
            <w:vAlign w:val="center"/>
            <w:hideMark/>
          </w:tcPr>
          <w:p w:rsidR="009964E8" w:rsidRDefault="009964E8" w:rsidP="009B2A14">
            <w:pPr>
              <w:spacing w:after="0"/>
              <w:jc w:val="center"/>
              <w:rPr>
                <w:rFonts w:eastAsia="Times New Roman"/>
                <w:sz w:val="18"/>
                <w:szCs w:val="18"/>
              </w:rPr>
            </w:pPr>
            <w:r>
              <w:rPr>
                <w:rFonts w:eastAsia="Times New Roman"/>
                <w:sz w:val="18"/>
                <w:szCs w:val="18"/>
              </w:rPr>
              <w:t>Gong, 2020</w:t>
            </w:r>
          </w:p>
        </w:tc>
        <w:tc>
          <w:tcPr>
            <w:tcW w:w="3100" w:type="dxa"/>
            <w:shd w:val="clear" w:color="auto" w:fill="auto"/>
            <w:vAlign w:val="center"/>
            <w:hideMark/>
          </w:tcPr>
          <w:p w:rsidR="00000000" w:rsidRDefault="009964E8">
            <w:pPr>
              <w:autoSpaceDE w:val="0"/>
              <w:autoSpaceDN w:val="0"/>
              <w:adjustRightInd w:val="0"/>
              <w:spacing w:before="0" w:after="0"/>
              <w:jc w:val="center"/>
              <w:rPr>
                <w:rFonts w:cs="Times New Roman"/>
                <w:color w:val="000000"/>
                <w:sz w:val="18"/>
                <w:szCs w:val="18"/>
              </w:rPr>
            </w:pPr>
            <w:r>
              <w:rPr>
                <w:rFonts w:cs="Times New Roman"/>
                <w:color w:val="000000"/>
                <w:sz w:val="18"/>
                <w:szCs w:val="18"/>
              </w:rPr>
              <w:t>qRT-PCR</w:t>
            </w:r>
          </w:p>
        </w:tc>
        <w:tc>
          <w:tcPr>
            <w:tcW w:w="4280" w:type="dxa"/>
            <w:shd w:val="clear" w:color="auto" w:fill="auto"/>
            <w:vAlign w:val="center"/>
            <w:hideMark/>
          </w:tcPr>
          <w:p w:rsidR="009964E8" w:rsidRDefault="009964E8"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9964E8" w:rsidRDefault="009964E8" w:rsidP="009B2A14">
            <w:pPr>
              <w:spacing w:after="0"/>
              <w:jc w:val="center"/>
              <w:rPr>
                <w:rFonts w:eastAsia="Times New Roman"/>
                <w:sz w:val="18"/>
                <w:szCs w:val="18"/>
              </w:rPr>
            </w:pPr>
          </w:p>
        </w:tc>
        <w:tc>
          <w:tcPr>
            <w:tcW w:w="1836" w:type="dxa"/>
            <w:shd w:val="clear" w:color="auto" w:fill="auto"/>
            <w:noWrap/>
            <w:vAlign w:val="center"/>
            <w:hideMark/>
          </w:tcPr>
          <w:p w:rsidR="009964E8" w:rsidRDefault="009964E8" w:rsidP="009B2A14">
            <w:pPr>
              <w:spacing w:after="0"/>
              <w:jc w:val="center"/>
              <w:rPr>
                <w:rFonts w:cs="Times New Roman"/>
                <w:sz w:val="18"/>
                <w:szCs w:val="18"/>
              </w:rPr>
            </w:pPr>
            <w:r>
              <w:rPr>
                <w:rFonts w:cs="Times New Roman"/>
                <w:sz w:val="18"/>
                <w:szCs w:val="18"/>
              </w:rPr>
              <w:t>U6</w:t>
            </w:r>
          </w:p>
        </w:tc>
      </w:tr>
      <w:tr w:rsidR="007B7A42" w:rsidRPr="000459A8" w:rsidTr="00130F93">
        <w:trPr>
          <w:trHeight w:val="463"/>
          <w:jc w:val="center"/>
        </w:trPr>
        <w:tc>
          <w:tcPr>
            <w:tcW w:w="1052" w:type="dxa"/>
            <w:shd w:val="clear" w:color="auto" w:fill="auto"/>
            <w:vAlign w:val="center"/>
            <w:hideMark/>
          </w:tcPr>
          <w:p w:rsidR="007B7A42" w:rsidRDefault="007B7A42" w:rsidP="009B2A14">
            <w:pPr>
              <w:spacing w:after="0"/>
              <w:jc w:val="center"/>
              <w:rPr>
                <w:rFonts w:eastAsia="Times New Roman"/>
                <w:sz w:val="18"/>
                <w:szCs w:val="18"/>
              </w:rPr>
            </w:pPr>
            <w:r>
              <w:rPr>
                <w:rFonts w:eastAsia="Times New Roman"/>
                <w:sz w:val="18"/>
                <w:szCs w:val="18"/>
              </w:rPr>
              <w:t>Han, 2020</w:t>
            </w:r>
          </w:p>
        </w:tc>
        <w:tc>
          <w:tcPr>
            <w:tcW w:w="3100" w:type="dxa"/>
            <w:shd w:val="clear" w:color="auto" w:fill="auto"/>
            <w:vAlign w:val="center"/>
            <w:hideMark/>
          </w:tcPr>
          <w:p w:rsidR="007B7A42" w:rsidRDefault="007B7A42" w:rsidP="009964E8">
            <w:pPr>
              <w:autoSpaceDE w:val="0"/>
              <w:autoSpaceDN w:val="0"/>
              <w:adjustRightInd w:val="0"/>
              <w:spacing w:before="0" w:after="0"/>
              <w:jc w:val="center"/>
              <w:rPr>
                <w:rFonts w:cs="Times New Roman"/>
                <w:color w:val="000000"/>
                <w:sz w:val="18"/>
                <w:szCs w:val="18"/>
              </w:rPr>
            </w:pPr>
            <w:r>
              <w:rPr>
                <w:rFonts w:eastAsia="Times New Roman"/>
                <w:sz w:val="18"/>
                <w:szCs w:val="18"/>
              </w:rPr>
              <w:t>qRT-PCR</w:t>
            </w:r>
          </w:p>
        </w:tc>
        <w:tc>
          <w:tcPr>
            <w:tcW w:w="4280" w:type="dxa"/>
            <w:shd w:val="clear" w:color="auto" w:fill="auto"/>
            <w:vAlign w:val="center"/>
            <w:hideMark/>
          </w:tcPr>
          <w:p w:rsidR="007B7A42" w:rsidRDefault="007B7A42"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7B7A42" w:rsidRDefault="007B7A42" w:rsidP="009B2A14">
            <w:pPr>
              <w:spacing w:after="0"/>
              <w:jc w:val="center"/>
              <w:rPr>
                <w:rFonts w:eastAsia="Times New Roman"/>
                <w:sz w:val="18"/>
                <w:szCs w:val="18"/>
              </w:rPr>
            </w:pPr>
          </w:p>
        </w:tc>
        <w:tc>
          <w:tcPr>
            <w:tcW w:w="1836" w:type="dxa"/>
            <w:shd w:val="clear" w:color="auto" w:fill="auto"/>
            <w:noWrap/>
            <w:vAlign w:val="center"/>
            <w:hideMark/>
          </w:tcPr>
          <w:p w:rsidR="007B7A42" w:rsidRDefault="007B7A42" w:rsidP="009B2A14">
            <w:pPr>
              <w:spacing w:after="0"/>
              <w:jc w:val="center"/>
              <w:rPr>
                <w:rFonts w:cs="Times New Roman"/>
                <w:sz w:val="18"/>
                <w:szCs w:val="18"/>
              </w:rPr>
            </w:pPr>
            <w:r>
              <w:rPr>
                <w:rFonts w:cs="Times New Roman"/>
                <w:sz w:val="18"/>
                <w:szCs w:val="18"/>
              </w:rPr>
              <w:t>Not reported</w:t>
            </w:r>
          </w:p>
        </w:tc>
      </w:tr>
      <w:tr w:rsidR="008E504E" w:rsidRPr="000459A8" w:rsidTr="00130F93">
        <w:trPr>
          <w:trHeight w:val="463"/>
          <w:jc w:val="center"/>
        </w:trPr>
        <w:tc>
          <w:tcPr>
            <w:tcW w:w="1052" w:type="dxa"/>
            <w:shd w:val="clear" w:color="auto" w:fill="auto"/>
            <w:vAlign w:val="center"/>
            <w:hideMark/>
          </w:tcPr>
          <w:p w:rsidR="008E504E" w:rsidRDefault="008E504E" w:rsidP="009B2A14">
            <w:pPr>
              <w:spacing w:after="0"/>
              <w:jc w:val="center"/>
              <w:rPr>
                <w:rFonts w:eastAsia="Times New Roman"/>
                <w:sz w:val="18"/>
                <w:szCs w:val="18"/>
              </w:rPr>
            </w:pPr>
            <w:r>
              <w:rPr>
                <w:rFonts w:eastAsia="Times New Roman"/>
                <w:sz w:val="18"/>
                <w:szCs w:val="18"/>
              </w:rPr>
              <w:t>Huang, 2020</w:t>
            </w:r>
          </w:p>
        </w:tc>
        <w:tc>
          <w:tcPr>
            <w:tcW w:w="3100" w:type="dxa"/>
            <w:shd w:val="clear" w:color="auto" w:fill="auto"/>
            <w:vAlign w:val="center"/>
            <w:hideMark/>
          </w:tcPr>
          <w:p w:rsidR="008E504E" w:rsidRDefault="008E504E" w:rsidP="009964E8">
            <w:pPr>
              <w:autoSpaceDE w:val="0"/>
              <w:autoSpaceDN w:val="0"/>
              <w:adjustRightInd w:val="0"/>
              <w:spacing w:before="0" w:after="0"/>
              <w:jc w:val="center"/>
              <w:rPr>
                <w:rFonts w:eastAsia="Times New Roman"/>
                <w:sz w:val="18"/>
                <w:szCs w:val="18"/>
              </w:rPr>
            </w:pPr>
            <w:r>
              <w:rPr>
                <w:rFonts w:eastAsia="Times New Roman"/>
                <w:sz w:val="18"/>
                <w:szCs w:val="18"/>
              </w:rPr>
              <w:t>qRT-PCR (</w:t>
            </w:r>
            <w:r>
              <w:rPr>
                <w:sz w:val="16"/>
                <w:szCs w:val="16"/>
              </w:rPr>
              <w:t>YBR-Green Master mix (Life Technologies, Carlsbad, CA, USA)</w:t>
            </w:r>
            <w:r>
              <w:rPr>
                <w:rFonts w:eastAsia="Times New Roman"/>
                <w:sz w:val="18"/>
                <w:szCs w:val="18"/>
              </w:rPr>
              <w:t>)</w:t>
            </w:r>
          </w:p>
        </w:tc>
        <w:tc>
          <w:tcPr>
            <w:tcW w:w="4280" w:type="dxa"/>
            <w:shd w:val="clear" w:color="auto" w:fill="auto"/>
            <w:vAlign w:val="center"/>
            <w:hideMark/>
          </w:tcPr>
          <w:p w:rsidR="008E504E" w:rsidRDefault="008E504E"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8E504E" w:rsidRDefault="008E504E" w:rsidP="009B2A14">
            <w:pPr>
              <w:spacing w:after="0"/>
              <w:jc w:val="center"/>
              <w:rPr>
                <w:rFonts w:eastAsia="Times New Roman"/>
                <w:sz w:val="18"/>
                <w:szCs w:val="18"/>
              </w:rPr>
            </w:pPr>
          </w:p>
        </w:tc>
        <w:tc>
          <w:tcPr>
            <w:tcW w:w="1836" w:type="dxa"/>
            <w:shd w:val="clear" w:color="auto" w:fill="auto"/>
            <w:noWrap/>
            <w:vAlign w:val="center"/>
            <w:hideMark/>
          </w:tcPr>
          <w:p w:rsidR="008E504E" w:rsidRDefault="008E504E" w:rsidP="009B2A14">
            <w:pPr>
              <w:spacing w:after="0"/>
              <w:jc w:val="center"/>
              <w:rPr>
                <w:rFonts w:cs="Times New Roman"/>
                <w:sz w:val="18"/>
                <w:szCs w:val="18"/>
              </w:rPr>
            </w:pPr>
            <w:r>
              <w:rPr>
                <w:rFonts w:cs="Times New Roman"/>
                <w:sz w:val="18"/>
                <w:szCs w:val="18"/>
              </w:rPr>
              <w:t>U6</w:t>
            </w:r>
          </w:p>
        </w:tc>
      </w:tr>
      <w:tr w:rsidR="00EB0633" w:rsidRPr="000459A8" w:rsidTr="00130F93">
        <w:trPr>
          <w:trHeight w:val="463"/>
          <w:jc w:val="center"/>
        </w:trPr>
        <w:tc>
          <w:tcPr>
            <w:tcW w:w="1052" w:type="dxa"/>
            <w:shd w:val="clear" w:color="auto" w:fill="auto"/>
            <w:vAlign w:val="center"/>
            <w:hideMark/>
          </w:tcPr>
          <w:p w:rsidR="00EB0633" w:rsidRDefault="00EB0633" w:rsidP="009B2A14">
            <w:pPr>
              <w:spacing w:after="0"/>
              <w:jc w:val="center"/>
              <w:rPr>
                <w:rFonts w:eastAsia="Times New Roman"/>
                <w:sz w:val="18"/>
                <w:szCs w:val="18"/>
              </w:rPr>
            </w:pPr>
            <w:r>
              <w:rPr>
                <w:rFonts w:eastAsia="Times New Roman"/>
                <w:sz w:val="18"/>
                <w:szCs w:val="18"/>
              </w:rPr>
              <w:t>Jelena, 2020</w:t>
            </w:r>
          </w:p>
        </w:tc>
        <w:tc>
          <w:tcPr>
            <w:tcW w:w="3100" w:type="dxa"/>
            <w:shd w:val="clear" w:color="auto" w:fill="auto"/>
            <w:vAlign w:val="center"/>
            <w:hideMark/>
          </w:tcPr>
          <w:p w:rsidR="00000000" w:rsidRDefault="00E33D6E">
            <w:pPr>
              <w:autoSpaceDE w:val="0"/>
              <w:autoSpaceDN w:val="0"/>
              <w:adjustRightInd w:val="0"/>
              <w:spacing w:before="0" w:after="0"/>
              <w:jc w:val="center"/>
              <w:rPr>
                <w:rFonts w:eastAsia="CharisSIL" w:cs="Times New Roman"/>
                <w:sz w:val="16"/>
                <w:szCs w:val="16"/>
              </w:rPr>
            </w:pPr>
            <w:r w:rsidRPr="00E33D6E">
              <w:rPr>
                <w:rFonts w:eastAsia="CharisSIL" w:cs="Times New Roman"/>
                <w:sz w:val="16"/>
                <w:szCs w:val="16"/>
              </w:rPr>
              <w:t>Taq-Man miRNA Reverse Transcription</w:t>
            </w:r>
          </w:p>
          <w:p w:rsidR="00EB0633" w:rsidRDefault="00E33D6E" w:rsidP="00EB0633">
            <w:pPr>
              <w:autoSpaceDE w:val="0"/>
              <w:autoSpaceDN w:val="0"/>
              <w:adjustRightInd w:val="0"/>
              <w:spacing w:before="0" w:after="0"/>
              <w:jc w:val="center"/>
              <w:rPr>
                <w:rFonts w:eastAsia="Times New Roman"/>
                <w:sz w:val="18"/>
                <w:szCs w:val="18"/>
              </w:rPr>
            </w:pPr>
            <w:r w:rsidRPr="00E33D6E">
              <w:rPr>
                <w:rFonts w:eastAsia="CharisSIL" w:cs="Times New Roman"/>
                <w:sz w:val="16"/>
                <w:szCs w:val="16"/>
              </w:rPr>
              <w:t>Kit (Cat. Number: 4366596) and specific TaqMan MicroRNA</w:t>
            </w:r>
            <w:r w:rsidR="00EB0633">
              <w:rPr>
                <w:rFonts w:eastAsia="CharisSIL" w:cs="Times New Roman"/>
                <w:sz w:val="16"/>
                <w:szCs w:val="16"/>
              </w:rPr>
              <w:t xml:space="preserve"> </w:t>
            </w:r>
            <w:r w:rsidRPr="00E33D6E">
              <w:rPr>
                <w:rFonts w:eastAsia="CharisSIL" w:cs="Times New Roman"/>
                <w:sz w:val="16"/>
                <w:szCs w:val="16"/>
              </w:rPr>
              <w:t>Assays</w:t>
            </w:r>
          </w:p>
        </w:tc>
        <w:tc>
          <w:tcPr>
            <w:tcW w:w="4280" w:type="dxa"/>
            <w:shd w:val="clear" w:color="auto" w:fill="auto"/>
            <w:vAlign w:val="center"/>
            <w:hideMark/>
          </w:tcPr>
          <w:p w:rsidR="00EB0633" w:rsidRDefault="00EB0633"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ddPCR</w:t>
            </w:r>
          </w:p>
        </w:tc>
        <w:tc>
          <w:tcPr>
            <w:tcW w:w="1099" w:type="dxa"/>
            <w:shd w:val="clear" w:color="auto" w:fill="auto"/>
            <w:vAlign w:val="center"/>
            <w:hideMark/>
          </w:tcPr>
          <w:p w:rsidR="00EB0633" w:rsidRDefault="00EB0633" w:rsidP="009B2A14">
            <w:pPr>
              <w:spacing w:after="0"/>
              <w:jc w:val="center"/>
              <w:rPr>
                <w:rFonts w:eastAsia="Times New Roman"/>
                <w:sz w:val="18"/>
                <w:szCs w:val="18"/>
              </w:rPr>
            </w:pPr>
            <w:r>
              <w:rPr>
                <w:rFonts w:eastAsia="Times New Roman"/>
                <w:sz w:val="18"/>
                <w:szCs w:val="18"/>
              </w:rPr>
              <w:t>same</w:t>
            </w:r>
          </w:p>
        </w:tc>
        <w:tc>
          <w:tcPr>
            <w:tcW w:w="1836" w:type="dxa"/>
            <w:shd w:val="clear" w:color="auto" w:fill="auto"/>
            <w:noWrap/>
            <w:vAlign w:val="center"/>
            <w:hideMark/>
          </w:tcPr>
          <w:p w:rsidR="00EB0633" w:rsidRDefault="00EB0633" w:rsidP="009B2A14">
            <w:pPr>
              <w:spacing w:after="0"/>
              <w:jc w:val="center"/>
              <w:rPr>
                <w:rFonts w:cs="Times New Roman"/>
                <w:sz w:val="18"/>
                <w:szCs w:val="18"/>
              </w:rPr>
            </w:pPr>
            <w:r>
              <w:rPr>
                <w:rFonts w:cs="Times New Roman"/>
                <w:sz w:val="18"/>
                <w:szCs w:val="18"/>
              </w:rPr>
              <w:t>/</w:t>
            </w:r>
          </w:p>
        </w:tc>
      </w:tr>
      <w:tr w:rsidR="00E57CF6" w:rsidRPr="000459A8" w:rsidTr="00130F93">
        <w:trPr>
          <w:trHeight w:val="463"/>
          <w:jc w:val="center"/>
        </w:trPr>
        <w:tc>
          <w:tcPr>
            <w:tcW w:w="1052" w:type="dxa"/>
            <w:shd w:val="clear" w:color="auto" w:fill="auto"/>
            <w:vAlign w:val="center"/>
            <w:hideMark/>
          </w:tcPr>
          <w:p w:rsidR="00E57CF6" w:rsidRDefault="00E57CF6" w:rsidP="009B2A14">
            <w:pPr>
              <w:spacing w:after="0"/>
              <w:jc w:val="center"/>
              <w:rPr>
                <w:rFonts w:eastAsia="Times New Roman"/>
                <w:sz w:val="18"/>
                <w:szCs w:val="18"/>
              </w:rPr>
            </w:pPr>
            <w:r>
              <w:rPr>
                <w:rFonts w:eastAsia="Times New Roman"/>
                <w:sz w:val="18"/>
                <w:szCs w:val="18"/>
              </w:rPr>
              <w:t>Kim, 2020</w:t>
            </w:r>
          </w:p>
        </w:tc>
        <w:tc>
          <w:tcPr>
            <w:tcW w:w="3100" w:type="dxa"/>
            <w:shd w:val="clear" w:color="auto" w:fill="auto"/>
            <w:vAlign w:val="center"/>
            <w:hideMark/>
          </w:tcPr>
          <w:p w:rsidR="00E57CF6" w:rsidRPr="00EB0633" w:rsidRDefault="00E33D6E" w:rsidP="00802BFD">
            <w:pPr>
              <w:autoSpaceDE w:val="0"/>
              <w:autoSpaceDN w:val="0"/>
              <w:adjustRightInd w:val="0"/>
              <w:spacing w:before="0" w:after="0"/>
              <w:jc w:val="center"/>
              <w:rPr>
                <w:rFonts w:eastAsia="CharisSIL" w:cs="Times New Roman"/>
                <w:sz w:val="16"/>
                <w:szCs w:val="16"/>
              </w:rPr>
            </w:pPr>
            <w:r w:rsidRPr="00E33D6E">
              <w:rPr>
                <w:rFonts w:cs="Times New Roman"/>
                <w:sz w:val="18"/>
                <w:szCs w:val="18"/>
              </w:rPr>
              <w:t>qRT-PCR was performed with a miScript</w:t>
            </w:r>
            <w:r w:rsidR="00E57CF6">
              <w:rPr>
                <w:rFonts w:cs="Times New Roman"/>
                <w:sz w:val="18"/>
                <w:szCs w:val="18"/>
              </w:rPr>
              <w:t xml:space="preserve"> </w:t>
            </w:r>
            <w:r w:rsidRPr="00E33D6E">
              <w:rPr>
                <w:rFonts w:cs="Times New Roman"/>
                <w:sz w:val="18"/>
                <w:szCs w:val="18"/>
              </w:rPr>
              <w:t>SYBR Green PCR kit (#218073; Qiagen, Hilden, Germany)</w:t>
            </w:r>
          </w:p>
        </w:tc>
        <w:tc>
          <w:tcPr>
            <w:tcW w:w="4280" w:type="dxa"/>
            <w:shd w:val="clear" w:color="auto" w:fill="auto"/>
            <w:vAlign w:val="center"/>
            <w:hideMark/>
          </w:tcPr>
          <w:p w:rsidR="00E57CF6" w:rsidRDefault="00E57CF6"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E57CF6" w:rsidRDefault="00E57CF6" w:rsidP="009B2A14">
            <w:pPr>
              <w:spacing w:after="0"/>
              <w:jc w:val="center"/>
              <w:rPr>
                <w:rFonts w:eastAsia="Times New Roman"/>
                <w:sz w:val="18"/>
                <w:szCs w:val="18"/>
              </w:rPr>
            </w:pPr>
          </w:p>
        </w:tc>
        <w:tc>
          <w:tcPr>
            <w:tcW w:w="1836" w:type="dxa"/>
            <w:shd w:val="clear" w:color="auto" w:fill="auto"/>
            <w:noWrap/>
            <w:vAlign w:val="center"/>
            <w:hideMark/>
          </w:tcPr>
          <w:p w:rsidR="00E57CF6" w:rsidRDefault="00E57CF6" w:rsidP="009B2A14">
            <w:pPr>
              <w:spacing w:after="0"/>
              <w:jc w:val="center"/>
              <w:rPr>
                <w:rFonts w:cs="Times New Roman"/>
                <w:sz w:val="18"/>
                <w:szCs w:val="18"/>
              </w:rPr>
            </w:pPr>
            <w:r>
              <w:rPr>
                <w:rFonts w:cs="Times New Roman"/>
                <w:sz w:val="18"/>
                <w:szCs w:val="18"/>
              </w:rPr>
              <w:t>SNORD-95</w:t>
            </w:r>
          </w:p>
          <w:p w:rsidR="00DC31B5" w:rsidRDefault="00DC31B5" w:rsidP="009B2A14">
            <w:pPr>
              <w:spacing w:after="0"/>
              <w:jc w:val="center"/>
              <w:rPr>
                <w:rFonts w:cs="Times New Roman"/>
                <w:sz w:val="18"/>
                <w:szCs w:val="18"/>
              </w:rPr>
            </w:pPr>
            <w:r>
              <w:rPr>
                <w:rFonts w:cs="Times New Roman"/>
                <w:sz w:val="18"/>
                <w:szCs w:val="18"/>
              </w:rPr>
              <w:t>miR-1290-39</w:t>
            </w:r>
          </w:p>
        </w:tc>
      </w:tr>
      <w:tr w:rsidR="00215C78" w:rsidRPr="000459A8" w:rsidTr="00130F93">
        <w:trPr>
          <w:trHeight w:val="463"/>
          <w:jc w:val="center"/>
        </w:trPr>
        <w:tc>
          <w:tcPr>
            <w:tcW w:w="1052" w:type="dxa"/>
            <w:shd w:val="clear" w:color="auto" w:fill="auto"/>
            <w:vAlign w:val="center"/>
            <w:hideMark/>
          </w:tcPr>
          <w:p w:rsidR="00215C78" w:rsidRDefault="00215C78" w:rsidP="009B2A14">
            <w:pPr>
              <w:spacing w:after="0"/>
              <w:jc w:val="center"/>
              <w:rPr>
                <w:rFonts w:eastAsia="Times New Roman"/>
                <w:sz w:val="18"/>
                <w:szCs w:val="18"/>
              </w:rPr>
            </w:pPr>
            <w:r>
              <w:rPr>
                <w:rFonts w:eastAsia="Times New Roman"/>
                <w:sz w:val="18"/>
                <w:szCs w:val="18"/>
              </w:rPr>
              <w:t>Li</w:t>
            </w:r>
            <w:r w:rsidR="00710716">
              <w:rPr>
                <w:rFonts w:eastAsia="Times New Roman"/>
                <w:sz w:val="18"/>
                <w:szCs w:val="18"/>
              </w:rPr>
              <w:t xml:space="preserve"> W</w:t>
            </w:r>
            <w:r>
              <w:rPr>
                <w:rFonts w:eastAsia="Times New Roman"/>
                <w:sz w:val="18"/>
                <w:szCs w:val="18"/>
              </w:rPr>
              <w:t>, 2020</w:t>
            </w:r>
          </w:p>
        </w:tc>
        <w:tc>
          <w:tcPr>
            <w:tcW w:w="3100" w:type="dxa"/>
            <w:shd w:val="clear" w:color="auto" w:fill="auto"/>
            <w:vAlign w:val="center"/>
            <w:hideMark/>
          </w:tcPr>
          <w:p w:rsidR="00215C78" w:rsidRPr="00215C78" w:rsidRDefault="00E33D6E" w:rsidP="00215C78">
            <w:pPr>
              <w:autoSpaceDE w:val="0"/>
              <w:autoSpaceDN w:val="0"/>
              <w:adjustRightInd w:val="0"/>
              <w:spacing w:before="0" w:after="0"/>
              <w:jc w:val="center"/>
              <w:rPr>
                <w:rFonts w:cs="Times New Roman"/>
                <w:sz w:val="18"/>
                <w:szCs w:val="18"/>
              </w:rPr>
            </w:pPr>
            <w:r w:rsidRPr="00E33D6E">
              <w:rPr>
                <w:rFonts w:cs="Times New Roman"/>
                <w:sz w:val="18"/>
                <w:szCs w:val="18"/>
              </w:rPr>
              <w:t>SYBR Green Realtime PCR Master Mix (SinoBio,</w:t>
            </w:r>
            <w:r w:rsidR="00215C78">
              <w:rPr>
                <w:rFonts w:cs="Times New Roman"/>
                <w:sz w:val="18"/>
                <w:szCs w:val="18"/>
              </w:rPr>
              <w:t xml:space="preserve"> </w:t>
            </w:r>
            <w:r w:rsidRPr="00E33D6E">
              <w:rPr>
                <w:rFonts w:cs="Times New Roman"/>
                <w:sz w:val="18"/>
                <w:szCs w:val="18"/>
              </w:rPr>
              <w:t>Shanghai, China) on a PCR Amplifier (Suzhou Molarray Co., Ltd.,</w:t>
            </w:r>
            <w:r w:rsidR="00215C78">
              <w:rPr>
                <w:rFonts w:cs="Times New Roman"/>
                <w:sz w:val="18"/>
                <w:szCs w:val="18"/>
              </w:rPr>
              <w:t xml:space="preserve"> </w:t>
            </w:r>
            <w:r w:rsidRPr="00E33D6E">
              <w:rPr>
                <w:rFonts w:cs="Times New Roman"/>
                <w:sz w:val="18"/>
                <w:szCs w:val="18"/>
              </w:rPr>
              <w:t>China)</w:t>
            </w:r>
          </w:p>
        </w:tc>
        <w:tc>
          <w:tcPr>
            <w:tcW w:w="4280" w:type="dxa"/>
            <w:shd w:val="clear" w:color="auto" w:fill="auto"/>
            <w:vAlign w:val="center"/>
            <w:hideMark/>
          </w:tcPr>
          <w:p w:rsidR="00215C78" w:rsidRDefault="00215C78"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215C78" w:rsidRDefault="00215C78" w:rsidP="009B2A14">
            <w:pPr>
              <w:spacing w:after="0"/>
              <w:jc w:val="center"/>
              <w:rPr>
                <w:rFonts w:eastAsia="Times New Roman"/>
                <w:sz w:val="18"/>
                <w:szCs w:val="18"/>
              </w:rPr>
            </w:pPr>
          </w:p>
        </w:tc>
        <w:tc>
          <w:tcPr>
            <w:tcW w:w="1836" w:type="dxa"/>
            <w:shd w:val="clear" w:color="auto" w:fill="auto"/>
            <w:noWrap/>
            <w:vAlign w:val="center"/>
            <w:hideMark/>
          </w:tcPr>
          <w:p w:rsidR="00215C78" w:rsidRDefault="00215C78" w:rsidP="009B2A14">
            <w:pPr>
              <w:spacing w:after="0"/>
              <w:jc w:val="center"/>
              <w:rPr>
                <w:rFonts w:cs="Times New Roman"/>
                <w:sz w:val="18"/>
                <w:szCs w:val="18"/>
              </w:rPr>
            </w:pPr>
            <w:r>
              <w:rPr>
                <w:rFonts w:cs="Times New Roman"/>
                <w:sz w:val="18"/>
                <w:szCs w:val="18"/>
              </w:rPr>
              <w:t>U6</w:t>
            </w:r>
          </w:p>
        </w:tc>
      </w:tr>
      <w:tr w:rsidR="00710716" w:rsidRPr="000459A8" w:rsidTr="00130F93">
        <w:trPr>
          <w:trHeight w:val="463"/>
          <w:jc w:val="center"/>
        </w:trPr>
        <w:tc>
          <w:tcPr>
            <w:tcW w:w="1052" w:type="dxa"/>
            <w:shd w:val="clear" w:color="auto" w:fill="auto"/>
            <w:vAlign w:val="center"/>
            <w:hideMark/>
          </w:tcPr>
          <w:p w:rsidR="00710716" w:rsidRDefault="00710716" w:rsidP="009B2A14">
            <w:pPr>
              <w:spacing w:after="0"/>
              <w:jc w:val="center"/>
              <w:rPr>
                <w:rFonts w:eastAsia="Times New Roman"/>
                <w:sz w:val="18"/>
                <w:szCs w:val="18"/>
              </w:rPr>
            </w:pPr>
            <w:r>
              <w:rPr>
                <w:rFonts w:eastAsia="Times New Roman"/>
                <w:sz w:val="18"/>
                <w:szCs w:val="18"/>
              </w:rPr>
              <w:t>Li T, 2020</w:t>
            </w:r>
          </w:p>
        </w:tc>
        <w:tc>
          <w:tcPr>
            <w:tcW w:w="3100" w:type="dxa"/>
            <w:shd w:val="clear" w:color="auto" w:fill="auto"/>
            <w:vAlign w:val="center"/>
            <w:hideMark/>
          </w:tcPr>
          <w:p w:rsidR="00710716" w:rsidRPr="00215C78" w:rsidRDefault="00710716" w:rsidP="00215C78">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710716" w:rsidRDefault="00710716"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710716" w:rsidRDefault="00710716" w:rsidP="009B2A14">
            <w:pPr>
              <w:spacing w:after="0"/>
              <w:jc w:val="center"/>
              <w:rPr>
                <w:rFonts w:eastAsia="Times New Roman"/>
                <w:sz w:val="18"/>
                <w:szCs w:val="18"/>
              </w:rPr>
            </w:pPr>
          </w:p>
        </w:tc>
        <w:tc>
          <w:tcPr>
            <w:tcW w:w="1836" w:type="dxa"/>
            <w:shd w:val="clear" w:color="auto" w:fill="auto"/>
            <w:noWrap/>
            <w:vAlign w:val="center"/>
            <w:hideMark/>
          </w:tcPr>
          <w:p w:rsidR="00710716" w:rsidRDefault="00710716" w:rsidP="009B2A14">
            <w:pPr>
              <w:spacing w:after="0"/>
              <w:jc w:val="center"/>
              <w:rPr>
                <w:rFonts w:cs="Times New Roman"/>
                <w:sz w:val="18"/>
                <w:szCs w:val="18"/>
              </w:rPr>
            </w:pPr>
            <w:r>
              <w:rPr>
                <w:rFonts w:cs="Times New Roman"/>
                <w:sz w:val="18"/>
                <w:szCs w:val="18"/>
              </w:rPr>
              <w:t>U6</w:t>
            </w:r>
          </w:p>
        </w:tc>
      </w:tr>
      <w:tr w:rsidR="006419B5" w:rsidRPr="000459A8" w:rsidTr="00130F93">
        <w:trPr>
          <w:trHeight w:val="463"/>
          <w:jc w:val="center"/>
        </w:trPr>
        <w:tc>
          <w:tcPr>
            <w:tcW w:w="1052" w:type="dxa"/>
            <w:shd w:val="clear" w:color="auto" w:fill="auto"/>
            <w:vAlign w:val="center"/>
            <w:hideMark/>
          </w:tcPr>
          <w:p w:rsidR="006419B5" w:rsidRDefault="006419B5" w:rsidP="009B2A14">
            <w:pPr>
              <w:spacing w:after="0"/>
              <w:jc w:val="center"/>
              <w:rPr>
                <w:rFonts w:eastAsia="Times New Roman"/>
                <w:sz w:val="18"/>
                <w:szCs w:val="18"/>
              </w:rPr>
            </w:pPr>
            <w:r>
              <w:rPr>
                <w:rFonts w:eastAsia="Times New Roman"/>
                <w:sz w:val="18"/>
                <w:szCs w:val="18"/>
              </w:rPr>
              <w:t>Li Q, 2020</w:t>
            </w:r>
          </w:p>
        </w:tc>
        <w:tc>
          <w:tcPr>
            <w:tcW w:w="3100" w:type="dxa"/>
            <w:shd w:val="clear" w:color="auto" w:fill="auto"/>
            <w:vAlign w:val="center"/>
            <w:hideMark/>
          </w:tcPr>
          <w:p w:rsidR="00000000" w:rsidRDefault="00E33D6E">
            <w:pPr>
              <w:autoSpaceDE w:val="0"/>
              <w:autoSpaceDN w:val="0"/>
              <w:adjustRightInd w:val="0"/>
              <w:spacing w:before="0" w:after="0"/>
              <w:jc w:val="center"/>
              <w:rPr>
                <w:rFonts w:cs="Times New Roman"/>
                <w:sz w:val="18"/>
                <w:szCs w:val="18"/>
              </w:rPr>
            </w:pPr>
            <w:r w:rsidRPr="00E33D6E">
              <w:rPr>
                <w:rFonts w:cs="Times New Roman"/>
                <w:sz w:val="18"/>
                <w:szCs w:val="18"/>
              </w:rPr>
              <w:t>TB Green® Premix Ex Taq™ II kit (Takara,</w:t>
            </w:r>
            <w:r w:rsidR="006419B5">
              <w:rPr>
                <w:rFonts w:cs="Times New Roman"/>
                <w:sz w:val="18"/>
                <w:szCs w:val="18"/>
              </w:rPr>
              <w:t xml:space="preserve"> </w:t>
            </w:r>
            <w:r w:rsidRPr="00E33D6E">
              <w:rPr>
                <w:rFonts w:cs="Times New Roman"/>
                <w:sz w:val="18"/>
                <w:szCs w:val="18"/>
              </w:rPr>
              <w:t>Dalian, China) with an Applied Biosystems 7500Fast (PerkinElmer,</w:t>
            </w:r>
          </w:p>
          <w:p w:rsidR="006419B5" w:rsidRDefault="00E33D6E" w:rsidP="006419B5">
            <w:pPr>
              <w:autoSpaceDE w:val="0"/>
              <w:autoSpaceDN w:val="0"/>
              <w:adjustRightInd w:val="0"/>
              <w:spacing w:before="0" w:after="0"/>
              <w:jc w:val="center"/>
              <w:rPr>
                <w:rFonts w:cs="Times New Roman"/>
                <w:sz w:val="18"/>
                <w:szCs w:val="18"/>
              </w:rPr>
            </w:pPr>
            <w:r w:rsidRPr="00E33D6E">
              <w:rPr>
                <w:rFonts w:cs="Times New Roman"/>
                <w:sz w:val="18"/>
                <w:szCs w:val="18"/>
              </w:rPr>
              <w:t>Foster City, CA)</w:t>
            </w:r>
          </w:p>
        </w:tc>
        <w:tc>
          <w:tcPr>
            <w:tcW w:w="4280" w:type="dxa"/>
            <w:shd w:val="clear" w:color="auto" w:fill="auto"/>
            <w:vAlign w:val="center"/>
            <w:hideMark/>
          </w:tcPr>
          <w:p w:rsidR="006419B5" w:rsidRDefault="006419B5"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6419B5" w:rsidRDefault="006419B5" w:rsidP="009B2A14">
            <w:pPr>
              <w:spacing w:after="0"/>
              <w:jc w:val="center"/>
              <w:rPr>
                <w:rFonts w:eastAsia="Times New Roman"/>
                <w:sz w:val="18"/>
                <w:szCs w:val="18"/>
              </w:rPr>
            </w:pPr>
          </w:p>
        </w:tc>
        <w:tc>
          <w:tcPr>
            <w:tcW w:w="1836" w:type="dxa"/>
            <w:shd w:val="clear" w:color="auto" w:fill="auto"/>
            <w:noWrap/>
            <w:vAlign w:val="center"/>
            <w:hideMark/>
          </w:tcPr>
          <w:p w:rsidR="006419B5" w:rsidRDefault="00E270DE" w:rsidP="009B2A14">
            <w:pPr>
              <w:spacing w:after="0"/>
              <w:jc w:val="center"/>
              <w:rPr>
                <w:rFonts w:cs="Times New Roman"/>
                <w:sz w:val="18"/>
                <w:szCs w:val="18"/>
              </w:rPr>
            </w:pPr>
            <w:r>
              <w:rPr>
                <w:rFonts w:cs="Times New Roman"/>
                <w:sz w:val="18"/>
                <w:szCs w:val="18"/>
              </w:rPr>
              <w:t>U6</w:t>
            </w:r>
          </w:p>
        </w:tc>
      </w:tr>
      <w:tr w:rsidR="00B66FF5" w:rsidRPr="000459A8" w:rsidTr="00130F93">
        <w:trPr>
          <w:trHeight w:val="463"/>
          <w:jc w:val="center"/>
        </w:trPr>
        <w:tc>
          <w:tcPr>
            <w:tcW w:w="1052" w:type="dxa"/>
            <w:shd w:val="clear" w:color="auto" w:fill="auto"/>
            <w:vAlign w:val="center"/>
            <w:hideMark/>
          </w:tcPr>
          <w:p w:rsidR="00B66FF5" w:rsidRDefault="00B66FF5" w:rsidP="009B2A14">
            <w:pPr>
              <w:spacing w:after="0"/>
              <w:jc w:val="center"/>
              <w:rPr>
                <w:rFonts w:eastAsia="Times New Roman"/>
                <w:sz w:val="18"/>
                <w:szCs w:val="18"/>
              </w:rPr>
            </w:pPr>
            <w:r>
              <w:rPr>
                <w:rFonts w:eastAsia="Times New Roman"/>
                <w:sz w:val="18"/>
                <w:szCs w:val="18"/>
              </w:rPr>
              <w:t>Li H, 2020</w:t>
            </w:r>
          </w:p>
        </w:tc>
        <w:tc>
          <w:tcPr>
            <w:tcW w:w="3100" w:type="dxa"/>
            <w:shd w:val="clear" w:color="auto" w:fill="auto"/>
            <w:vAlign w:val="center"/>
            <w:hideMark/>
          </w:tcPr>
          <w:p w:rsidR="00B66FF5" w:rsidRPr="006419B5" w:rsidRDefault="00B66FF5" w:rsidP="006419B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B66FF5" w:rsidRDefault="00B66FF5" w:rsidP="001C5787">
            <w:pPr>
              <w:autoSpaceDE w:val="0"/>
              <w:autoSpaceDN w:val="0"/>
              <w:adjustRightInd w:val="0"/>
              <w:spacing w:before="0" w:after="0"/>
              <w:jc w:val="center"/>
              <w:rPr>
                <w:rFonts w:eastAsia="Times New Roman" w:cs="Times New Roman"/>
                <w:sz w:val="18"/>
                <w:szCs w:val="18"/>
              </w:rPr>
            </w:pPr>
            <w:r>
              <w:rPr>
                <w:rFonts w:eastAsia="Times New Roman" w:cs="Times New Roman"/>
                <w:sz w:val="18"/>
                <w:szCs w:val="18"/>
              </w:rPr>
              <w:t>Not reported</w:t>
            </w:r>
          </w:p>
        </w:tc>
        <w:tc>
          <w:tcPr>
            <w:tcW w:w="1099" w:type="dxa"/>
            <w:shd w:val="clear" w:color="auto" w:fill="auto"/>
            <w:vAlign w:val="center"/>
            <w:hideMark/>
          </w:tcPr>
          <w:p w:rsidR="00B66FF5" w:rsidRDefault="00B66FF5" w:rsidP="009B2A14">
            <w:pPr>
              <w:spacing w:after="0"/>
              <w:jc w:val="center"/>
              <w:rPr>
                <w:rFonts w:eastAsia="Times New Roman"/>
                <w:sz w:val="18"/>
                <w:szCs w:val="18"/>
              </w:rPr>
            </w:pPr>
          </w:p>
        </w:tc>
        <w:tc>
          <w:tcPr>
            <w:tcW w:w="1836" w:type="dxa"/>
            <w:shd w:val="clear" w:color="auto" w:fill="auto"/>
            <w:noWrap/>
            <w:vAlign w:val="center"/>
            <w:hideMark/>
          </w:tcPr>
          <w:p w:rsidR="00B66FF5" w:rsidRDefault="00B66FF5" w:rsidP="009B2A14">
            <w:pPr>
              <w:spacing w:after="0"/>
              <w:jc w:val="center"/>
              <w:rPr>
                <w:rFonts w:cs="Times New Roman"/>
                <w:sz w:val="18"/>
                <w:szCs w:val="18"/>
              </w:rPr>
            </w:pPr>
            <w:r>
              <w:rPr>
                <w:rFonts w:cs="Times New Roman"/>
                <w:sz w:val="18"/>
                <w:szCs w:val="18"/>
              </w:rPr>
              <w:t>U6</w:t>
            </w:r>
          </w:p>
        </w:tc>
      </w:tr>
      <w:tr w:rsidR="00E270DE" w:rsidRPr="000459A8" w:rsidTr="00130F93">
        <w:trPr>
          <w:trHeight w:val="463"/>
          <w:jc w:val="center"/>
        </w:trPr>
        <w:tc>
          <w:tcPr>
            <w:tcW w:w="1052" w:type="dxa"/>
            <w:shd w:val="clear" w:color="auto" w:fill="auto"/>
            <w:vAlign w:val="center"/>
            <w:hideMark/>
          </w:tcPr>
          <w:p w:rsidR="00E270DE" w:rsidRDefault="00E270DE" w:rsidP="009B2A14">
            <w:pPr>
              <w:spacing w:after="0"/>
              <w:jc w:val="center"/>
              <w:rPr>
                <w:rFonts w:eastAsia="Times New Roman"/>
                <w:sz w:val="18"/>
                <w:szCs w:val="18"/>
              </w:rPr>
            </w:pPr>
            <w:r>
              <w:rPr>
                <w:rFonts w:eastAsia="Times New Roman"/>
                <w:sz w:val="18"/>
                <w:szCs w:val="18"/>
              </w:rPr>
              <w:t>Licini, 2020</w:t>
            </w:r>
          </w:p>
        </w:tc>
        <w:tc>
          <w:tcPr>
            <w:tcW w:w="3100" w:type="dxa"/>
            <w:shd w:val="clear" w:color="auto" w:fill="auto"/>
            <w:vAlign w:val="center"/>
            <w:hideMark/>
          </w:tcPr>
          <w:p w:rsidR="00E270DE" w:rsidRPr="006E0925" w:rsidRDefault="00E33D6E" w:rsidP="006E0925">
            <w:pPr>
              <w:autoSpaceDE w:val="0"/>
              <w:autoSpaceDN w:val="0"/>
              <w:adjustRightInd w:val="0"/>
              <w:spacing w:before="0" w:after="0"/>
              <w:jc w:val="center"/>
              <w:rPr>
                <w:rFonts w:cs="Times New Roman"/>
                <w:sz w:val="18"/>
                <w:szCs w:val="18"/>
              </w:rPr>
            </w:pPr>
            <w:r w:rsidRPr="00E33D6E">
              <w:rPr>
                <w:rFonts w:cs="Times New Roman"/>
                <w:sz w:val="18"/>
                <w:szCs w:val="18"/>
              </w:rPr>
              <w:t>Total RNA Purification Kit</w:t>
            </w:r>
            <w:r w:rsidR="006E0925">
              <w:rPr>
                <w:rFonts w:cs="Times New Roman"/>
                <w:sz w:val="18"/>
                <w:szCs w:val="18"/>
              </w:rPr>
              <w:t xml:space="preserve"> </w:t>
            </w:r>
            <w:r w:rsidRPr="00E33D6E">
              <w:rPr>
                <w:rFonts w:cs="Times New Roman"/>
                <w:sz w:val="18"/>
                <w:szCs w:val="18"/>
              </w:rPr>
              <w:t>(Norgen Biotek Corp., Thorold, Canada)</w:t>
            </w:r>
          </w:p>
        </w:tc>
        <w:tc>
          <w:tcPr>
            <w:tcW w:w="4280" w:type="dxa"/>
            <w:shd w:val="clear" w:color="auto" w:fill="auto"/>
            <w:vAlign w:val="center"/>
            <w:hideMark/>
          </w:tcPr>
          <w:p w:rsidR="00E270DE" w:rsidRPr="006E0925" w:rsidRDefault="00E33D6E" w:rsidP="006E0925">
            <w:pPr>
              <w:autoSpaceDE w:val="0"/>
              <w:autoSpaceDN w:val="0"/>
              <w:adjustRightInd w:val="0"/>
              <w:spacing w:before="0" w:after="0"/>
              <w:jc w:val="center"/>
              <w:rPr>
                <w:rFonts w:eastAsia="Times New Roman" w:cs="Times New Roman"/>
                <w:sz w:val="18"/>
                <w:szCs w:val="18"/>
              </w:rPr>
            </w:pPr>
            <w:r w:rsidRPr="00E33D6E">
              <w:rPr>
                <w:rFonts w:cs="Times New Roman"/>
                <w:sz w:val="18"/>
                <w:szCs w:val="18"/>
              </w:rPr>
              <w:t>TaqMan</w:t>
            </w:r>
            <w:r w:rsidR="006E0925">
              <w:rPr>
                <w:rFonts w:cs="Times New Roman"/>
                <w:sz w:val="18"/>
                <w:szCs w:val="18"/>
              </w:rPr>
              <w:t xml:space="preserve"> </w:t>
            </w:r>
            <w:r w:rsidRPr="00E33D6E">
              <w:rPr>
                <w:rFonts w:cs="Times New Roman"/>
                <w:sz w:val="18"/>
                <w:szCs w:val="18"/>
              </w:rPr>
              <w:t>Fast Universal PCR Master Mix and probes for miR-125b, RNU48, and cel-miR-39 (all from Applied Biosystem,</w:t>
            </w:r>
            <w:r w:rsidR="006E0925">
              <w:rPr>
                <w:rFonts w:cs="Times New Roman"/>
                <w:sz w:val="18"/>
                <w:szCs w:val="18"/>
              </w:rPr>
              <w:t xml:space="preserve"> </w:t>
            </w:r>
            <w:r w:rsidRPr="00E33D6E">
              <w:rPr>
                <w:rFonts w:cs="Times New Roman"/>
                <w:sz w:val="18"/>
                <w:szCs w:val="18"/>
              </w:rPr>
              <w:t>Life Technologies)</w:t>
            </w:r>
          </w:p>
        </w:tc>
        <w:tc>
          <w:tcPr>
            <w:tcW w:w="1099" w:type="dxa"/>
            <w:shd w:val="clear" w:color="auto" w:fill="auto"/>
            <w:vAlign w:val="center"/>
            <w:hideMark/>
          </w:tcPr>
          <w:p w:rsidR="00E270DE" w:rsidRDefault="00354312" w:rsidP="009B2A14">
            <w:pPr>
              <w:spacing w:after="0"/>
              <w:jc w:val="center"/>
              <w:rPr>
                <w:rFonts w:eastAsia="Times New Roman"/>
                <w:sz w:val="18"/>
                <w:szCs w:val="18"/>
              </w:rPr>
            </w:pPr>
            <w:r>
              <w:rPr>
                <w:rFonts w:eastAsia="Times New Roman"/>
                <w:sz w:val="18"/>
                <w:szCs w:val="18"/>
              </w:rPr>
              <w:t>same</w:t>
            </w:r>
          </w:p>
        </w:tc>
        <w:tc>
          <w:tcPr>
            <w:tcW w:w="1836" w:type="dxa"/>
            <w:shd w:val="clear" w:color="auto" w:fill="auto"/>
            <w:noWrap/>
            <w:vAlign w:val="center"/>
            <w:hideMark/>
          </w:tcPr>
          <w:p w:rsidR="00E270DE" w:rsidRDefault="00E270DE" w:rsidP="009B2A14">
            <w:pPr>
              <w:spacing w:after="0"/>
              <w:jc w:val="center"/>
              <w:rPr>
                <w:rFonts w:cs="Times New Roman"/>
                <w:sz w:val="18"/>
                <w:szCs w:val="18"/>
              </w:rPr>
            </w:pPr>
            <w:r>
              <w:rPr>
                <w:rFonts w:cs="Times New Roman"/>
                <w:sz w:val="18"/>
                <w:szCs w:val="18"/>
              </w:rPr>
              <w:t>RNU-48</w:t>
            </w:r>
          </w:p>
        </w:tc>
      </w:tr>
      <w:tr w:rsidR="008E58B7" w:rsidRPr="000459A8" w:rsidTr="00130F93">
        <w:trPr>
          <w:trHeight w:val="463"/>
          <w:jc w:val="center"/>
        </w:trPr>
        <w:tc>
          <w:tcPr>
            <w:tcW w:w="1052" w:type="dxa"/>
            <w:shd w:val="clear" w:color="auto" w:fill="auto"/>
            <w:vAlign w:val="center"/>
            <w:hideMark/>
          </w:tcPr>
          <w:p w:rsidR="008E58B7" w:rsidRDefault="008E58B7" w:rsidP="009B2A14">
            <w:pPr>
              <w:spacing w:after="0"/>
              <w:jc w:val="center"/>
              <w:rPr>
                <w:rFonts w:eastAsia="Times New Roman"/>
                <w:sz w:val="18"/>
                <w:szCs w:val="18"/>
              </w:rPr>
            </w:pPr>
            <w:r>
              <w:rPr>
                <w:rFonts w:eastAsia="Times New Roman"/>
                <w:sz w:val="18"/>
                <w:szCs w:val="18"/>
              </w:rPr>
              <w:t>Ma, 2020</w:t>
            </w:r>
          </w:p>
        </w:tc>
        <w:tc>
          <w:tcPr>
            <w:tcW w:w="3100" w:type="dxa"/>
            <w:shd w:val="clear" w:color="auto" w:fill="auto"/>
            <w:vAlign w:val="center"/>
            <w:hideMark/>
          </w:tcPr>
          <w:p w:rsidR="008E58B7" w:rsidRPr="006E0925" w:rsidRDefault="008E58B7"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8E58B7" w:rsidRPr="006E0925" w:rsidRDefault="008E58B7"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8E58B7" w:rsidRDefault="008E58B7" w:rsidP="009B2A14">
            <w:pPr>
              <w:spacing w:after="0"/>
              <w:jc w:val="center"/>
              <w:rPr>
                <w:rFonts w:eastAsia="Times New Roman"/>
                <w:sz w:val="18"/>
                <w:szCs w:val="18"/>
              </w:rPr>
            </w:pPr>
          </w:p>
        </w:tc>
        <w:tc>
          <w:tcPr>
            <w:tcW w:w="1836" w:type="dxa"/>
            <w:shd w:val="clear" w:color="auto" w:fill="auto"/>
            <w:noWrap/>
            <w:vAlign w:val="center"/>
            <w:hideMark/>
          </w:tcPr>
          <w:p w:rsidR="008E58B7" w:rsidRDefault="008E58B7" w:rsidP="009B2A14">
            <w:pPr>
              <w:spacing w:after="0"/>
              <w:jc w:val="center"/>
              <w:rPr>
                <w:rFonts w:cs="Times New Roman"/>
                <w:sz w:val="18"/>
                <w:szCs w:val="18"/>
              </w:rPr>
            </w:pPr>
            <w:r>
              <w:rPr>
                <w:rFonts w:cs="Times New Roman"/>
                <w:sz w:val="18"/>
                <w:szCs w:val="18"/>
              </w:rPr>
              <w:t>U6</w:t>
            </w:r>
          </w:p>
        </w:tc>
      </w:tr>
      <w:tr w:rsidR="00AD20D9" w:rsidRPr="000459A8" w:rsidTr="00130F93">
        <w:trPr>
          <w:trHeight w:val="463"/>
          <w:jc w:val="center"/>
        </w:trPr>
        <w:tc>
          <w:tcPr>
            <w:tcW w:w="1052" w:type="dxa"/>
            <w:shd w:val="clear" w:color="auto" w:fill="auto"/>
            <w:vAlign w:val="center"/>
            <w:hideMark/>
          </w:tcPr>
          <w:p w:rsidR="00AD20D9" w:rsidRDefault="00AD20D9" w:rsidP="009B2A14">
            <w:pPr>
              <w:spacing w:after="0"/>
              <w:jc w:val="center"/>
              <w:rPr>
                <w:rFonts w:eastAsia="Times New Roman"/>
                <w:sz w:val="18"/>
                <w:szCs w:val="18"/>
              </w:rPr>
            </w:pPr>
            <w:r>
              <w:rPr>
                <w:rFonts w:eastAsia="Times New Roman"/>
                <w:sz w:val="18"/>
                <w:szCs w:val="18"/>
              </w:rPr>
              <w:lastRenderedPageBreak/>
              <w:t>Mavreli, 2020</w:t>
            </w:r>
          </w:p>
        </w:tc>
        <w:tc>
          <w:tcPr>
            <w:tcW w:w="3100" w:type="dxa"/>
            <w:shd w:val="clear" w:color="auto" w:fill="auto"/>
            <w:vAlign w:val="center"/>
            <w:hideMark/>
          </w:tcPr>
          <w:p w:rsidR="00AD20D9" w:rsidRDefault="00ED3394" w:rsidP="006E0925">
            <w:pPr>
              <w:autoSpaceDE w:val="0"/>
              <w:autoSpaceDN w:val="0"/>
              <w:adjustRightInd w:val="0"/>
              <w:spacing w:before="0" w:after="0"/>
              <w:jc w:val="center"/>
              <w:rPr>
                <w:rFonts w:cs="Times New Roman"/>
                <w:sz w:val="18"/>
                <w:szCs w:val="18"/>
              </w:rPr>
            </w:pPr>
            <w:r>
              <w:rPr>
                <w:rFonts w:cs="Times New Roman"/>
                <w:sz w:val="18"/>
                <w:szCs w:val="18"/>
              </w:rPr>
              <w:t xml:space="preserve">Illumina </w:t>
            </w:r>
            <w:r w:rsidR="00AD20D9">
              <w:rPr>
                <w:rFonts w:cs="Times New Roman"/>
                <w:sz w:val="18"/>
                <w:szCs w:val="18"/>
              </w:rPr>
              <w:t>NGS</w:t>
            </w:r>
          </w:p>
        </w:tc>
        <w:tc>
          <w:tcPr>
            <w:tcW w:w="4280" w:type="dxa"/>
            <w:shd w:val="clear" w:color="auto" w:fill="auto"/>
            <w:vAlign w:val="center"/>
            <w:hideMark/>
          </w:tcPr>
          <w:p w:rsidR="00AD20D9" w:rsidRDefault="00AD20D9"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1099" w:type="dxa"/>
            <w:shd w:val="clear" w:color="auto" w:fill="auto"/>
            <w:vAlign w:val="center"/>
            <w:hideMark/>
          </w:tcPr>
          <w:p w:rsidR="00AD20D9" w:rsidRDefault="00AD20D9" w:rsidP="009B2A14">
            <w:pPr>
              <w:spacing w:after="0"/>
              <w:jc w:val="center"/>
              <w:rPr>
                <w:rFonts w:eastAsia="Times New Roman"/>
                <w:sz w:val="18"/>
                <w:szCs w:val="18"/>
              </w:rPr>
            </w:pPr>
            <w:r>
              <w:rPr>
                <w:rFonts w:eastAsia="Times New Roman"/>
                <w:sz w:val="18"/>
                <w:szCs w:val="18"/>
              </w:rPr>
              <w:t>different</w:t>
            </w:r>
          </w:p>
        </w:tc>
        <w:tc>
          <w:tcPr>
            <w:tcW w:w="1836" w:type="dxa"/>
            <w:shd w:val="clear" w:color="auto" w:fill="auto"/>
            <w:noWrap/>
            <w:vAlign w:val="center"/>
            <w:hideMark/>
          </w:tcPr>
          <w:p w:rsidR="00AD20D9" w:rsidRDefault="00AD20D9" w:rsidP="009B2A14">
            <w:pPr>
              <w:spacing w:after="0"/>
              <w:jc w:val="center"/>
              <w:rPr>
                <w:rFonts w:cs="Times New Roman"/>
                <w:sz w:val="18"/>
                <w:szCs w:val="18"/>
              </w:rPr>
            </w:pPr>
            <w:r>
              <w:rPr>
                <w:rFonts w:cs="Times New Roman"/>
                <w:sz w:val="18"/>
                <w:szCs w:val="18"/>
              </w:rPr>
              <w:t>U6</w:t>
            </w:r>
            <w:r w:rsidR="00ED3394">
              <w:rPr>
                <w:rFonts w:cs="Times New Roman"/>
                <w:sz w:val="18"/>
                <w:szCs w:val="18"/>
              </w:rPr>
              <w:t xml:space="preserve"> </w:t>
            </w:r>
          </w:p>
        </w:tc>
      </w:tr>
      <w:tr w:rsidR="00E96312" w:rsidRPr="000459A8" w:rsidTr="00130F93">
        <w:trPr>
          <w:trHeight w:val="463"/>
          <w:jc w:val="center"/>
        </w:trPr>
        <w:tc>
          <w:tcPr>
            <w:tcW w:w="1052" w:type="dxa"/>
            <w:shd w:val="clear" w:color="auto" w:fill="auto"/>
            <w:vAlign w:val="center"/>
            <w:hideMark/>
          </w:tcPr>
          <w:p w:rsidR="00E96312" w:rsidRDefault="00E96312" w:rsidP="009B2A14">
            <w:pPr>
              <w:spacing w:after="0"/>
              <w:jc w:val="center"/>
              <w:rPr>
                <w:rFonts w:eastAsia="Times New Roman"/>
                <w:sz w:val="18"/>
                <w:szCs w:val="18"/>
              </w:rPr>
            </w:pPr>
            <w:r>
              <w:rPr>
                <w:rFonts w:eastAsia="Times New Roman"/>
                <w:sz w:val="18"/>
                <w:szCs w:val="18"/>
              </w:rPr>
              <w:t>Sheng, 2020</w:t>
            </w:r>
          </w:p>
        </w:tc>
        <w:tc>
          <w:tcPr>
            <w:tcW w:w="3100" w:type="dxa"/>
            <w:shd w:val="clear" w:color="auto" w:fill="auto"/>
            <w:vAlign w:val="center"/>
            <w:hideMark/>
          </w:tcPr>
          <w:p w:rsidR="00E96312" w:rsidRDefault="00E96312"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E96312" w:rsidRDefault="00E96312"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E96312" w:rsidRDefault="00E96312" w:rsidP="009B2A14">
            <w:pPr>
              <w:spacing w:after="0"/>
              <w:jc w:val="center"/>
              <w:rPr>
                <w:rFonts w:eastAsia="Times New Roman"/>
                <w:sz w:val="18"/>
                <w:szCs w:val="18"/>
              </w:rPr>
            </w:pPr>
          </w:p>
        </w:tc>
        <w:tc>
          <w:tcPr>
            <w:tcW w:w="1836" w:type="dxa"/>
            <w:shd w:val="clear" w:color="auto" w:fill="auto"/>
            <w:noWrap/>
            <w:vAlign w:val="center"/>
            <w:hideMark/>
          </w:tcPr>
          <w:p w:rsidR="00E96312" w:rsidRDefault="00E96312" w:rsidP="009B2A14">
            <w:pPr>
              <w:spacing w:after="0"/>
              <w:jc w:val="center"/>
              <w:rPr>
                <w:rFonts w:cs="Times New Roman"/>
                <w:sz w:val="18"/>
                <w:szCs w:val="18"/>
              </w:rPr>
            </w:pPr>
            <w:r>
              <w:rPr>
                <w:rFonts w:cs="Times New Roman"/>
                <w:sz w:val="18"/>
                <w:szCs w:val="18"/>
              </w:rPr>
              <w:t>U6</w:t>
            </w:r>
          </w:p>
        </w:tc>
      </w:tr>
      <w:tr w:rsidR="009D3078" w:rsidRPr="000459A8" w:rsidTr="00130F93">
        <w:trPr>
          <w:trHeight w:val="463"/>
          <w:jc w:val="center"/>
        </w:trPr>
        <w:tc>
          <w:tcPr>
            <w:tcW w:w="1052" w:type="dxa"/>
            <w:shd w:val="clear" w:color="auto" w:fill="auto"/>
            <w:vAlign w:val="center"/>
            <w:hideMark/>
          </w:tcPr>
          <w:p w:rsidR="009D3078" w:rsidRDefault="009D3078" w:rsidP="009B2A14">
            <w:pPr>
              <w:spacing w:after="0"/>
              <w:jc w:val="center"/>
              <w:rPr>
                <w:rFonts w:eastAsia="Times New Roman"/>
                <w:sz w:val="18"/>
                <w:szCs w:val="18"/>
              </w:rPr>
            </w:pPr>
            <w:r>
              <w:rPr>
                <w:rFonts w:eastAsia="Times New Roman"/>
                <w:sz w:val="18"/>
                <w:szCs w:val="18"/>
              </w:rPr>
              <w:t>Song 2020</w:t>
            </w:r>
          </w:p>
        </w:tc>
        <w:tc>
          <w:tcPr>
            <w:tcW w:w="3100" w:type="dxa"/>
            <w:shd w:val="clear" w:color="auto" w:fill="auto"/>
            <w:vAlign w:val="center"/>
            <w:hideMark/>
          </w:tcPr>
          <w:p w:rsidR="009D3078" w:rsidRDefault="009D3078"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9D3078" w:rsidRDefault="009D3078"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9D3078" w:rsidRDefault="009D3078" w:rsidP="009B2A14">
            <w:pPr>
              <w:spacing w:after="0"/>
              <w:jc w:val="center"/>
              <w:rPr>
                <w:rFonts w:eastAsia="Times New Roman"/>
                <w:sz w:val="18"/>
                <w:szCs w:val="18"/>
              </w:rPr>
            </w:pPr>
          </w:p>
        </w:tc>
        <w:tc>
          <w:tcPr>
            <w:tcW w:w="1836" w:type="dxa"/>
            <w:shd w:val="clear" w:color="auto" w:fill="auto"/>
            <w:noWrap/>
            <w:vAlign w:val="center"/>
            <w:hideMark/>
          </w:tcPr>
          <w:p w:rsidR="009D3078" w:rsidRDefault="009D3078" w:rsidP="009B2A14">
            <w:pPr>
              <w:spacing w:after="0"/>
              <w:jc w:val="center"/>
              <w:rPr>
                <w:rFonts w:cs="Times New Roman"/>
                <w:sz w:val="18"/>
                <w:szCs w:val="18"/>
              </w:rPr>
            </w:pPr>
            <w:r>
              <w:rPr>
                <w:rFonts w:cs="Times New Roman"/>
                <w:sz w:val="18"/>
                <w:szCs w:val="18"/>
              </w:rPr>
              <w:t>U6</w:t>
            </w:r>
          </w:p>
        </w:tc>
      </w:tr>
      <w:tr w:rsidR="00C620C9" w:rsidRPr="000459A8" w:rsidTr="00130F93">
        <w:trPr>
          <w:trHeight w:val="463"/>
          <w:jc w:val="center"/>
        </w:trPr>
        <w:tc>
          <w:tcPr>
            <w:tcW w:w="1052" w:type="dxa"/>
            <w:shd w:val="clear" w:color="auto" w:fill="auto"/>
            <w:vAlign w:val="center"/>
            <w:hideMark/>
          </w:tcPr>
          <w:p w:rsidR="00C620C9" w:rsidRDefault="00C620C9" w:rsidP="009B2A14">
            <w:pPr>
              <w:spacing w:after="0"/>
              <w:jc w:val="center"/>
              <w:rPr>
                <w:rFonts w:eastAsia="Times New Roman"/>
                <w:sz w:val="18"/>
                <w:szCs w:val="18"/>
              </w:rPr>
            </w:pPr>
            <w:r>
              <w:rPr>
                <w:rFonts w:eastAsia="Times New Roman"/>
                <w:sz w:val="18"/>
                <w:szCs w:val="18"/>
              </w:rPr>
              <w:t>Tao, 2020</w:t>
            </w:r>
          </w:p>
        </w:tc>
        <w:tc>
          <w:tcPr>
            <w:tcW w:w="3100" w:type="dxa"/>
            <w:shd w:val="clear" w:color="auto" w:fill="auto"/>
            <w:vAlign w:val="center"/>
            <w:hideMark/>
          </w:tcPr>
          <w:p w:rsidR="00C620C9" w:rsidRDefault="00C620C9"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C620C9" w:rsidRDefault="00C620C9"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C620C9" w:rsidRDefault="00C620C9" w:rsidP="009B2A14">
            <w:pPr>
              <w:spacing w:after="0"/>
              <w:jc w:val="center"/>
              <w:rPr>
                <w:rFonts w:eastAsia="Times New Roman"/>
                <w:sz w:val="18"/>
                <w:szCs w:val="18"/>
              </w:rPr>
            </w:pPr>
          </w:p>
        </w:tc>
        <w:tc>
          <w:tcPr>
            <w:tcW w:w="1836" w:type="dxa"/>
            <w:shd w:val="clear" w:color="auto" w:fill="auto"/>
            <w:noWrap/>
            <w:vAlign w:val="center"/>
            <w:hideMark/>
          </w:tcPr>
          <w:p w:rsidR="00C620C9" w:rsidRDefault="00C620C9" w:rsidP="009B2A14">
            <w:pPr>
              <w:spacing w:after="0"/>
              <w:jc w:val="center"/>
              <w:rPr>
                <w:rFonts w:cs="Times New Roman"/>
                <w:sz w:val="18"/>
                <w:szCs w:val="18"/>
              </w:rPr>
            </w:pPr>
            <w:r>
              <w:rPr>
                <w:rFonts w:cs="Times New Roman"/>
                <w:sz w:val="18"/>
                <w:szCs w:val="18"/>
              </w:rPr>
              <w:t>Not reported</w:t>
            </w:r>
          </w:p>
        </w:tc>
      </w:tr>
      <w:tr w:rsidR="00FC135D" w:rsidRPr="000459A8" w:rsidTr="00130F93">
        <w:trPr>
          <w:trHeight w:val="463"/>
          <w:jc w:val="center"/>
        </w:trPr>
        <w:tc>
          <w:tcPr>
            <w:tcW w:w="1052" w:type="dxa"/>
            <w:shd w:val="clear" w:color="auto" w:fill="auto"/>
            <w:vAlign w:val="center"/>
            <w:hideMark/>
          </w:tcPr>
          <w:p w:rsidR="00FC135D" w:rsidRDefault="00FC135D" w:rsidP="009B2A14">
            <w:pPr>
              <w:spacing w:after="0"/>
              <w:jc w:val="center"/>
              <w:rPr>
                <w:rFonts w:eastAsia="Times New Roman"/>
                <w:sz w:val="18"/>
                <w:szCs w:val="18"/>
              </w:rPr>
            </w:pPr>
            <w:r>
              <w:rPr>
                <w:rFonts w:eastAsia="Times New Roman"/>
                <w:sz w:val="18"/>
                <w:szCs w:val="18"/>
              </w:rPr>
              <w:t>Wang, 2020</w:t>
            </w:r>
          </w:p>
        </w:tc>
        <w:tc>
          <w:tcPr>
            <w:tcW w:w="3100" w:type="dxa"/>
            <w:shd w:val="clear" w:color="auto" w:fill="auto"/>
            <w:vAlign w:val="center"/>
            <w:hideMark/>
          </w:tcPr>
          <w:p w:rsidR="00FC135D" w:rsidRDefault="00FC135D"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FC135D" w:rsidRDefault="00FC135D"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FC135D" w:rsidRDefault="00FC135D" w:rsidP="009B2A14">
            <w:pPr>
              <w:spacing w:after="0"/>
              <w:jc w:val="center"/>
              <w:rPr>
                <w:rFonts w:eastAsia="Times New Roman"/>
                <w:sz w:val="18"/>
                <w:szCs w:val="18"/>
              </w:rPr>
            </w:pPr>
          </w:p>
        </w:tc>
        <w:tc>
          <w:tcPr>
            <w:tcW w:w="1836" w:type="dxa"/>
            <w:shd w:val="clear" w:color="auto" w:fill="auto"/>
            <w:noWrap/>
            <w:vAlign w:val="center"/>
            <w:hideMark/>
          </w:tcPr>
          <w:p w:rsidR="00FC135D" w:rsidRDefault="00FC135D" w:rsidP="009B2A14">
            <w:pPr>
              <w:spacing w:after="0"/>
              <w:jc w:val="center"/>
              <w:rPr>
                <w:rFonts w:cs="Times New Roman"/>
                <w:sz w:val="18"/>
                <w:szCs w:val="18"/>
              </w:rPr>
            </w:pPr>
            <w:r>
              <w:rPr>
                <w:rFonts w:cs="Times New Roman"/>
                <w:sz w:val="18"/>
                <w:szCs w:val="18"/>
              </w:rPr>
              <w:t>U6</w:t>
            </w:r>
          </w:p>
        </w:tc>
      </w:tr>
      <w:tr w:rsidR="00692E39" w:rsidRPr="000459A8" w:rsidTr="00130F93">
        <w:trPr>
          <w:trHeight w:val="463"/>
          <w:jc w:val="center"/>
        </w:trPr>
        <w:tc>
          <w:tcPr>
            <w:tcW w:w="1052" w:type="dxa"/>
            <w:shd w:val="clear" w:color="auto" w:fill="auto"/>
            <w:vAlign w:val="center"/>
            <w:hideMark/>
          </w:tcPr>
          <w:p w:rsidR="00692E39" w:rsidRDefault="00692E39" w:rsidP="009B2A14">
            <w:pPr>
              <w:spacing w:after="0"/>
              <w:jc w:val="center"/>
              <w:rPr>
                <w:rFonts w:eastAsia="Times New Roman"/>
                <w:sz w:val="18"/>
                <w:szCs w:val="18"/>
              </w:rPr>
            </w:pPr>
            <w:r>
              <w:rPr>
                <w:rFonts w:eastAsia="Times New Roman"/>
                <w:sz w:val="18"/>
                <w:szCs w:val="18"/>
              </w:rPr>
              <w:t>Whigham, 2020</w:t>
            </w:r>
          </w:p>
        </w:tc>
        <w:tc>
          <w:tcPr>
            <w:tcW w:w="3100" w:type="dxa"/>
            <w:shd w:val="clear" w:color="auto" w:fill="auto"/>
            <w:vAlign w:val="center"/>
            <w:hideMark/>
          </w:tcPr>
          <w:p w:rsidR="00692E39" w:rsidRPr="00692E39" w:rsidRDefault="00692E39" w:rsidP="006E0925">
            <w:pPr>
              <w:autoSpaceDE w:val="0"/>
              <w:autoSpaceDN w:val="0"/>
              <w:adjustRightInd w:val="0"/>
              <w:spacing w:before="0" w:after="0"/>
              <w:jc w:val="center"/>
              <w:rPr>
                <w:rFonts w:cs="Times New Roman"/>
                <w:sz w:val="18"/>
                <w:szCs w:val="18"/>
              </w:rPr>
            </w:pPr>
            <w:r w:rsidRPr="00692E39">
              <w:rPr>
                <w:rFonts w:cs="Times New Roman"/>
                <w:sz w:val="18"/>
                <w:szCs w:val="18"/>
              </w:rPr>
              <w:t>Microarray (</w:t>
            </w:r>
            <w:r w:rsidR="00E33D6E" w:rsidRPr="00E33D6E">
              <w:rPr>
                <w:rFonts w:cs="Times New Roman"/>
                <w:sz w:val="18"/>
                <w:szCs w:val="18"/>
              </w:rPr>
              <w:t>miScript SYBR green PCR kit (Qiagen)</w:t>
            </w:r>
            <w:r w:rsidRPr="00692E39">
              <w:rPr>
                <w:rFonts w:cs="Times New Roman"/>
                <w:sz w:val="18"/>
                <w:szCs w:val="18"/>
              </w:rPr>
              <w:t>)</w:t>
            </w:r>
          </w:p>
        </w:tc>
        <w:tc>
          <w:tcPr>
            <w:tcW w:w="4280" w:type="dxa"/>
            <w:shd w:val="clear" w:color="auto" w:fill="auto"/>
            <w:vAlign w:val="center"/>
            <w:hideMark/>
          </w:tcPr>
          <w:p w:rsidR="00692E39" w:rsidRDefault="00692E39"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1099" w:type="dxa"/>
            <w:shd w:val="clear" w:color="auto" w:fill="auto"/>
            <w:vAlign w:val="center"/>
            <w:hideMark/>
          </w:tcPr>
          <w:p w:rsidR="00692E39" w:rsidRDefault="00692E39" w:rsidP="009B2A14">
            <w:pPr>
              <w:spacing w:after="0"/>
              <w:jc w:val="center"/>
              <w:rPr>
                <w:rFonts w:eastAsia="Times New Roman"/>
                <w:sz w:val="18"/>
                <w:szCs w:val="18"/>
              </w:rPr>
            </w:pPr>
          </w:p>
        </w:tc>
        <w:tc>
          <w:tcPr>
            <w:tcW w:w="1836" w:type="dxa"/>
            <w:shd w:val="clear" w:color="auto" w:fill="auto"/>
            <w:noWrap/>
            <w:vAlign w:val="center"/>
            <w:hideMark/>
          </w:tcPr>
          <w:p w:rsidR="00692E39" w:rsidRDefault="00692E39" w:rsidP="009B2A14">
            <w:pPr>
              <w:spacing w:after="0"/>
              <w:jc w:val="center"/>
              <w:rPr>
                <w:rFonts w:cs="Times New Roman"/>
                <w:sz w:val="18"/>
                <w:szCs w:val="18"/>
              </w:rPr>
            </w:pPr>
            <w:r>
              <w:rPr>
                <w:rFonts w:cs="Times New Roman"/>
                <w:sz w:val="18"/>
                <w:szCs w:val="18"/>
              </w:rPr>
              <w:t>miR191</w:t>
            </w:r>
          </w:p>
          <w:p w:rsidR="00692E39" w:rsidRDefault="00692E39" w:rsidP="009B2A14">
            <w:pPr>
              <w:spacing w:after="0"/>
              <w:jc w:val="center"/>
              <w:rPr>
                <w:rFonts w:cs="Times New Roman"/>
                <w:sz w:val="18"/>
                <w:szCs w:val="18"/>
              </w:rPr>
            </w:pPr>
            <w:r>
              <w:rPr>
                <w:rFonts w:cs="Times New Roman"/>
                <w:sz w:val="18"/>
                <w:szCs w:val="18"/>
              </w:rPr>
              <w:t>SNORD44</w:t>
            </w:r>
          </w:p>
          <w:p w:rsidR="00692E39" w:rsidRDefault="00692E39" w:rsidP="009B2A14">
            <w:pPr>
              <w:spacing w:after="0"/>
              <w:jc w:val="center"/>
              <w:rPr>
                <w:rFonts w:cs="Times New Roman"/>
                <w:sz w:val="18"/>
                <w:szCs w:val="18"/>
              </w:rPr>
            </w:pPr>
            <w:r>
              <w:rPr>
                <w:rFonts w:cs="Times New Roman"/>
                <w:sz w:val="18"/>
                <w:szCs w:val="18"/>
              </w:rPr>
              <w:t>SNORD48</w:t>
            </w:r>
          </w:p>
        </w:tc>
      </w:tr>
      <w:tr w:rsidR="00E154AA" w:rsidRPr="000459A8" w:rsidTr="00130F93">
        <w:trPr>
          <w:trHeight w:val="463"/>
          <w:jc w:val="center"/>
        </w:trPr>
        <w:tc>
          <w:tcPr>
            <w:tcW w:w="1052" w:type="dxa"/>
            <w:shd w:val="clear" w:color="auto" w:fill="auto"/>
            <w:vAlign w:val="center"/>
            <w:hideMark/>
          </w:tcPr>
          <w:p w:rsidR="00E154AA" w:rsidRDefault="00E154AA" w:rsidP="009B2A14">
            <w:pPr>
              <w:spacing w:after="0"/>
              <w:jc w:val="center"/>
              <w:rPr>
                <w:rFonts w:eastAsia="Times New Roman"/>
                <w:sz w:val="18"/>
                <w:szCs w:val="18"/>
              </w:rPr>
            </w:pPr>
            <w:r>
              <w:rPr>
                <w:rFonts w:eastAsia="Times New Roman"/>
                <w:sz w:val="18"/>
                <w:szCs w:val="18"/>
              </w:rPr>
              <w:t>Wu</w:t>
            </w:r>
            <w:r w:rsidR="00F334BF">
              <w:rPr>
                <w:rFonts w:eastAsia="Times New Roman"/>
                <w:sz w:val="18"/>
                <w:szCs w:val="18"/>
              </w:rPr>
              <w:t xml:space="preserve"> D</w:t>
            </w:r>
            <w:r>
              <w:rPr>
                <w:rFonts w:eastAsia="Times New Roman"/>
                <w:sz w:val="18"/>
                <w:szCs w:val="18"/>
              </w:rPr>
              <w:t>, 2020</w:t>
            </w:r>
          </w:p>
        </w:tc>
        <w:tc>
          <w:tcPr>
            <w:tcW w:w="3100" w:type="dxa"/>
            <w:shd w:val="clear" w:color="auto" w:fill="auto"/>
            <w:vAlign w:val="center"/>
            <w:hideMark/>
          </w:tcPr>
          <w:p w:rsidR="00E154AA" w:rsidRPr="00692E39" w:rsidRDefault="00E154AA"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E154AA" w:rsidRDefault="00E154AA"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E154AA" w:rsidRDefault="00E154AA" w:rsidP="009B2A14">
            <w:pPr>
              <w:spacing w:after="0"/>
              <w:jc w:val="center"/>
              <w:rPr>
                <w:rFonts w:eastAsia="Times New Roman"/>
                <w:sz w:val="18"/>
                <w:szCs w:val="18"/>
              </w:rPr>
            </w:pPr>
          </w:p>
        </w:tc>
        <w:tc>
          <w:tcPr>
            <w:tcW w:w="1836" w:type="dxa"/>
            <w:shd w:val="clear" w:color="auto" w:fill="auto"/>
            <w:noWrap/>
            <w:vAlign w:val="center"/>
            <w:hideMark/>
          </w:tcPr>
          <w:p w:rsidR="00E154AA" w:rsidRDefault="00E154AA" w:rsidP="009B2A14">
            <w:pPr>
              <w:spacing w:after="0"/>
              <w:jc w:val="center"/>
              <w:rPr>
                <w:rFonts w:cs="Times New Roman"/>
                <w:sz w:val="18"/>
                <w:szCs w:val="18"/>
              </w:rPr>
            </w:pPr>
            <w:r>
              <w:rPr>
                <w:rFonts w:cs="Times New Roman"/>
                <w:sz w:val="18"/>
                <w:szCs w:val="18"/>
              </w:rPr>
              <w:t>U6</w:t>
            </w:r>
          </w:p>
        </w:tc>
      </w:tr>
      <w:tr w:rsidR="00F334BF" w:rsidRPr="000459A8" w:rsidTr="00130F93">
        <w:trPr>
          <w:trHeight w:val="463"/>
          <w:jc w:val="center"/>
        </w:trPr>
        <w:tc>
          <w:tcPr>
            <w:tcW w:w="1052" w:type="dxa"/>
            <w:shd w:val="clear" w:color="auto" w:fill="auto"/>
            <w:vAlign w:val="center"/>
            <w:hideMark/>
          </w:tcPr>
          <w:p w:rsidR="00F334BF" w:rsidRDefault="00F334BF" w:rsidP="009B2A14">
            <w:pPr>
              <w:spacing w:after="0"/>
              <w:jc w:val="center"/>
              <w:rPr>
                <w:rFonts w:eastAsia="Times New Roman"/>
                <w:sz w:val="18"/>
                <w:szCs w:val="18"/>
              </w:rPr>
            </w:pPr>
            <w:r>
              <w:rPr>
                <w:rFonts w:eastAsia="Times New Roman"/>
                <w:sz w:val="18"/>
                <w:szCs w:val="18"/>
              </w:rPr>
              <w:t>Wu G, 2020</w:t>
            </w:r>
          </w:p>
        </w:tc>
        <w:tc>
          <w:tcPr>
            <w:tcW w:w="3100" w:type="dxa"/>
            <w:shd w:val="clear" w:color="auto" w:fill="auto"/>
            <w:vAlign w:val="center"/>
            <w:hideMark/>
          </w:tcPr>
          <w:p w:rsidR="00F334BF" w:rsidRDefault="00F334BF"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F334BF" w:rsidRDefault="00F334BF"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F334BF" w:rsidRDefault="00F334BF" w:rsidP="009B2A14">
            <w:pPr>
              <w:spacing w:after="0"/>
              <w:jc w:val="center"/>
              <w:rPr>
                <w:rFonts w:eastAsia="Times New Roman"/>
                <w:sz w:val="18"/>
                <w:szCs w:val="18"/>
              </w:rPr>
            </w:pPr>
          </w:p>
        </w:tc>
        <w:tc>
          <w:tcPr>
            <w:tcW w:w="1836" w:type="dxa"/>
            <w:shd w:val="clear" w:color="auto" w:fill="auto"/>
            <w:noWrap/>
            <w:vAlign w:val="center"/>
            <w:hideMark/>
          </w:tcPr>
          <w:p w:rsidR="00F334BF" w:rsidRDefault="00F334BF" w:rsidP="009B2A14">
            <w:pPr>
              <w:spacing w:after="0"/>
              <w:jc w:val="center"/>
              <w:rPr>
                <w:rFonts w:cs="Times New Roman"/>
                <w:sz w:val="18"/>
                <w:szCs w:val="18"/>
              </w:rPr>
            </w:pPr>
            <w:r>
              <w:rPr>
                <w:rFonts w:cs="Times New Roman"/>
                <w:sz w:val="18"/>
                <w:szCs w:val="18"/>
              </w:rPr>
              <w:t>U6</w:t>
            </w:r>
          </w:p>
        </w:tc>
      </w:tr>
      <w:tr w:rsidR="000258E3" w:rsidRPr="000459A8" w:rsidTr="00130F93">
        <w:trPr>
          <w:trHeight w:val="463"/>
          <w:jc w:val="center"/>
        </w:trPr>
        <w:tc>
          <w:tcPr>
            <w:tcW w:w="1052" w:type="dxa"/>
            <w:shd w:val="clear" w:color="auto" w:fill="auto"/>
            <w:vAlign w:val="center"/>
            <w:hideMark/>
          </w:tcPr>
          <w:p w:rsidR="000258E3" w:rsidRDefault="000258E3" w:rsidP="009B2A14">
            <w:pPr>
              <w:spacing w:after="0"/>
              <w:jc w:val="center"/>
              <w:rPr>
                <w:rFonts w:eastAsia="Times New Roman"/>
                <w:sz w:val="18"/>
                <w:szCs w:val="18"/>
              </w:rPr>
            </w:pPr>
            <w:r>
              <w:rPr>
                <w:rFonts w:eastAsia="Times New Roman"/>
                <w:sz w:val="18"/>
                <w:szCs w:val="18"/>
              </w:rPr>
              <w:t>Xueya, 2020</w:t>
            </w:r>
          </w:p>
        </w:tc>
        <w:tc>
          <w:tcPr>
            <w:tcW w:w="3100" w:type="dxa"/>
            <w:shd w:val="clear" w:color="auto" w:fill="auto"/>
            <w:vAlign w:val="center"/>
            <w:hideMark/>
          </w:tcPr>
          <w:p w:rsidR="000258E3" w:rsidRDefault="000258E3"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0258E3" w:rsidRDefault="000258E3"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0258E3" w:rsidRDefault="000258E3" w:rsidP="009B2A14">
            <w:pPr>
              <w:spacing w:after="0"/>
              <w:jc w:val="center"/>
              <w:rPr>
                <w:rFonts w:eastAsia="Times New Roman"/>
                <w:sz w:val="18"/>
                <w:szCs w:val="18"/>
              </w:rPr>
            </w:pPr>
          </w:p>
        </w:tc>
        <w:tc>
          <w:tcPr>
            <w:tcW w:w="1836" w:type="dxa"/>
            <w:shd w:val="clear" w:color="auto" w:fill="auto"/>
            <w:noWrap/>
            <w:vAlign w:val="center"/>
            <w:hideMark/>
          </w:tcPr>
          <w:p w:rsidR="000258E3" w:rsidRDefault="000258E3" w:rsidP="009B2A14">
            <w:pPr>
              <w:spacing w:after="0"/>
              <w:jc w:val="center"/>
              <w:rPr>
                <w:rFonts w:cs="Times New Roman"/>
                <w:sz w:val="18"/>
                <w:szCs w:val="18"/>
              </w:rPr>
            </w:pPr>
            <w:r>
              <w:rPr>
                <w:rFonts w:cs="Times New Roman"/>
                <w:sz w:val="18"/>
                <w:szCs w:val="18"/>
              </w:rPr>
              <w:t>U6</w:t>
            </w:r>
          </w:p>
        </w:tc>
      </w:tr>
      <w:tr w:rsidR="00DD17D2" w:rsidRPr="000459A8" w:rsidTr="00130F93">
        <w:trPr>
          <w:trHeight w:val="463"/>
          <w:jc w:val="center"/>
        </w:trPr>
        <w:tc>
          <w:tcPr>
            <w:tcW w:w="1052" w:type="dxa"/>
            <w:shd w:val="clear" w:color="auto" w:fill="auto"/>
            <w:vAlign w:val="center"/>
            <w:hideMark/>
          </w:tcPr>
          <w:p w:rsidR="00DD17D2" w:rsidRDefault="00DD17D2" w:rsidP="009B2A14">
            <w:pPr>
              <w:spacing w:after="0"/>
              <w:jc w:val="center"/>
              <w:rPr>
                <w:rFonts w:eastAsia="Times New Roman"/>
                <w:sz w:val="18"/>
                <w:szCs w:val="18"/>
              </w:rPr>
            </w:pPr>
            <w:r>
              <w:rPr>
                <w:rFonts w:eastAsia="Times New Roman"/>
                <w:sz w:val="18"/>
                <w:szCs w:val="18"/>
              </w:rPr>
              <w:t>Yang, 2020</w:t>
            </w:r>
          </w:p>
        </w:tc>
        <w:tc>
          <w:tcPr>
            <w:tcW w:w="3100" w:type="dxa"/>
            <w:shd w:val="clear" w:color="auto" w:fill="auto"/>
            <w:vAlign w:val="center"/>
            <w:hideMark/>
          </w:tcPr>
          <w:p w:rsidR="00DD17D2" w:rsidRDefault="00DD17D2"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DD17D2" w:rsidRDefault="00DD17D2"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DD17D2" w:rsidRDefault="00DD17D2" w:rsidP="009B2A14">
            <w:pPr>
              <w:spacing w:after="0"/>
              <w:jc w:val="center"/>
              <w:rPr>
                <w:rFonts w:eastAsia="Times New Roman"/>
                <w:sz w:val="18"/>
                <w:szCs w:val="18"/>
              </w:rPr>
            </w:pPr>
          </w:p>
        </w:tc>
        <w:tc>
          <w:tcPr>
            <w:tcW w:w="1836" w:type="dxa"/>
            <w:shd w:val="clear" w:color="auto" w:fill="auto"/>
            <w:noWrap/>
            <w:vAlign w:val="center"/>
            <w:hideMark/>
          </w:tcPr>
          <w:p w:rsidR="00DD17D2" w:rsidRDefault="00DD17D2" w:rsidP="009B2A14">
            <w:pPr>
              <w:spacing w:after="0"/>
              <w:jc w:val="center"/>
              <w:rPr>
                <w:rFonts w:cs="Times New Roman"/>
                <w:sz w:val="18"/>
                <w:szCs w:val="18"/>
              </w:rPr>
            </w:pPr>
            <w:r>
              <w:rPr>
                <w:rFonts w:cs="Times New Roman"/>
                <w:sz w:val="18"/>
                <w:szCs w:val="18"/>
              </w:rPr>
              <w:t>U6</w:t>
            </w:r>
          </w:p>
        </w:tc>
      </w:tr>
      <w:tr w:rsidR="002F12A9" w:rsidRPr="000459A8" w:rsidTr="00130F93">
        <w:trPr>
          <w:trHeight w:val="463"/>
          <w:jc w:val="center"/>
        </w:trPr>
        <w:tc>
          <w:tcPr>
            <w:tcW w:w="1052" w:type="dxa"/>
            <w:shd w:val="clear" w:color="auto" w:fill="auto"/>
            <w:vAlign w:val="center"/>
            <w:hideMark/>
          </w:tcPr>
          <w:p w:rsidR="002F12A9" w:rsidRDefault="002F12A9" w:rsidP="009B2A14">
            <w:pPr>
              <w:spacing w:after="0"/>
              <w:jc w:val="center"/>
              <w:rPr>
                <w:rFonts w:eastAsia="Times New Roman"/>
                <w:sz w:val="18"/>
                <w:szCs w:val="18"/>
              </w:rPr>
            </w:pPr>
            <w:r>
              <w:rPr>
                <w:rFonts w:eastAsia="Times New Roman"/>
                <w:sz w:val="18"/>
                <w:szCs w:val="18"/>
              </w:rPr>
              <w:t>Zhao, 2020</w:t>
            </w:r>
          </w:p>
        </w:tc>
        <w:tc>
          <w:tcPr>
            <w:tcW w:w="3100" w:type="dxa"/>
            <w:shd w:val="clear" w:color="auto" w:fill="auto"/>
            <w:vAlign w:val="center"/>
            <w:hideMark/>
          </w:tcPr>
          <w:p w:rsidR="002F12A9" w:rsidRDefault="002F12A9" w:rsidP="006E0925">
            <w:pPr>
              <w:autoSpaceDE w:val="0"/>
              <w:autoSpaceDN w:val="0"/>
              <w:adjustRightInd w:val="0"/>
              <w:spacing w:before="0" w:after="0"/>
              <w:jc w:val="center"/>
              <w:rPr>
                <w:rFonts w:cs="Times New Roman"/>
                <w:sz w:val="18"/>
                <w:szCs w:val="18"/>
              </w:rPr>
            </w:pPr>
            <w:r>
              <w:rPr>
                <w:rFonts w:cs="Times New Roman"/>
                <w:sz w:val="18"/>
                <w:szCs w:val="18"/>
              </w:rPr>
              <w:t>qRT-PC</w:t>
            </w:r>
          </w:p>
        </w:tc>
        <w:tc>
          <w:tcPr>
            <w:tcW w:w="4280" w:type="dxa"/>
            <w:shd w:val="clear" w:color="auto" w:fill="auto"/>
            <w:vAlign w:val="center"/>
            <w:hideMark/>
          </w:tcPr>
          <w:p w:rsidR="002F12A9" w:rsidRDefault="002F12A9"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2F12A9" w:rsidRDefault="002F12A9" w:rsidP="009B2A14">
            <w:pPr>
              <w:spacing w:after="0"/>
              <w:jc w:val="center"/>
              <w:rPr>
                <w:rFonts w:eastAsia="Times New Roman"/>
                <w:sz w:val="18"/>
                <w:szCs w:val="18"/>
              </w:rPr>
            </w:pPr>
          </w:p>
        </w:tc>
        <w:tc>
          <w:tcPr>
            <w:tcW w:w="1836" w:type="dxa"/>
            <w:shd w:val="clear" w:color="auto" w:fill="auto"/>
            <w:noWrap/>
            <w:vAlign w:val="center"/>
            <w:hideMark/>
          </w:tcPr>
          <w:p w:rsidR="002F12A9" w:rsidRDefault="002F12A9" w:rsidP="009B2A14">
            <w:pPr>
              <w:spacing w:after="0"/>
              <w:jc w:val="center"/>
              <w:rPr>
                <w:rFonts w:cs="Times New Roman"/>
                <w:sz w:val="18"/>
                <w:szCs w:val="18"/>
              </w:rPr>
            </w:pPr>
            <w:r>
              <w:rPr>
                <w:rFonts w:cs="Times New Roman"/>
                <w:sz w:val="18"/>
                <w:szCs w:val="18"/>
              </w:rPr>
              <w:t>U6</w:t>
            </w:r>
          </w:p>
        </w:tc>
      </w:tr>
      <w:tr w:rsidR="00935F22" w:rsidRPr="000459A8" w:rsidTr="00130F93">
        <w:trPr>
          <w:trHeight w:val="463"/>
          <w:jc w:val="center"/>
        </w:trPr>
        <w:tc>
          <w:tcPr>
            <w:tcW w:w="1052" w:type="dxa"/>
            <w:shd w:val="clear" w:color="auto" w:fill="auto"/>
            <w:vAlign w:val="center"/>
            <w:hideMark/>
          </w:tcPr>
          <w:p w:rsidR="00935F22" w:rsidRDefault="00935F22" w:rsidP="009B2A14">
            <w:pPr>
              <w:spacing w:after="0"/>
              <w:jc w:val="center"/>
              <w:rPr>
                <w:rFonts w:eastAsia="Times New Roman"/>
                <w:sz w:val="18"/>
                <w:szCs w:val="18"/>
              </w:rPr>
            </w:pPr>
            <w:r>
              <w:rPr>
                <w:rFonts w:eastAsia="Times New Roman"/>
                <w:sz w:val="18"/>
                <w:szCs w:val="18"/>
              </w:rPr>
              <w:t>Zheng, 2020</w:t>
            </w:r>
          </w:p>
        </w:tc>
        <w:tc>
          <w:tcPr>
            <w:tcW w:w="3100" w:type="dxa"/>
            <w:shd w:val="clear" w:color="auto" w:fill="auto"/>
            <w:vAlign w:val="center"/>
            <w:hideMark/>
          </w:tcPr>
          <w:p w:rsidR="00935F22" w:rsidRDefault="00935F22" w:rsidP="006E0925">
            <w:pPr>
              <w:autoSpaceDE w:val="0"/>
              <w:autoSpaceDN w:val="0"/>
              <w:adjustRightInd w:val="0"/>
              <w:spacing w:before="0" w:after="0"/>
              <w:jc w:val="center"/>
              <w:rPr>
                <w:rFonts w:cs="Times New Roman"/>
                <w:sz w:val="18"/>
                <w:szCs w:val="18"/>
              </w:rPr>
            </w:pPr>
            <w:r>
              <w:rPr>
                <w:rFonts w:cs="Times New Roman"/>
                <w:sz w:val="18"/>
                <w:szCs w:val="18"/>
              </w:rPr>
              <w:t>qRT-PCR</w:t>
            </w:r>
          </w:p>
        </w:tc>
        <w:tc>
          <w:tcPr>
            <w:tcW w:w="4280" w:type="dxa"/>
            <w:shd w:val="clear" w:color="auto" w:fill="auto"/>
            <w:vAlign w:val="center"/>
            <w:hideMark/>
          </w:tcPr>
          <w:p w:rsidR="00935F22" w:rsidRDefault="00935F22"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935F22" w:rsidRDefault="00935F22" w:rsidP="009B2A14">
            <w:pPr>
              <w:spacing w:after="0"/>
              <w:jc w:val="center"/>
              <w:rPr>
                <w:rFonts w:eastAsia="Times New Roman"/>
                <w:sz w:val="18"/>
                <w:szCs w:val="18"/>
              </w:rPr>
            </w:pPr>
          </w:p>
        </w:tc>
        <w:tc>
          <w:tcPr>
            <w:tcW w:w="1836" w:type="dxa"/>
            <w:shd w:val="clear" w:color="auto" w:fill="auto"/>
            <w:noWrap/>
            <w:vAlign w:val="center"/>
            <w:hideMark/>
          </w:tcPr>
          <w:p w:rsidR="00935F22" w:rsidRDefault="00E75371" w:rsidP="009B2A14">
            <w:pPr>
              <w:spacing w:after="0"/>
              <w:jc w:val="center"/>
              <w:rPr>
                <w:rFonts w:cs="Times New Roman"/>
                <w:sz w:val="18"/>
                <w:szCs w:val="18"/>
              </w:rPr>
            </w:pPr>
            <w:r>
              <w:rPr>
                <w:rFonts w:cs="Times New Roman"/>
                <w:sz w:val="18"/>
                <w:szCs w:val="18"/>
              </w:rPr>
              <w:t>U6</w:t>
            </w:r>
          </w:p>
        </w:tc>
      </w:tr>
      <w:tr w:rsidR="007D4F34" w:rsidRPr="000459A8" w:rsidTr="00130F93">
        <w:trPr>
          <w:trHeight w:val="463"/>
          <w:jc w:val="center"/>
        </w:trPr>
        <w:tc>
          <w:tcPr>
            <w:tcW w:w="1052" w:type="dxa"/>
            <w:shd w:val="clear" w:color="auto" w:fill="auto"/>
            <w:vAlign w:val="center"/>
            <w:hideMark/>
          </w:tcPr>
          <w:p w:rsidR="007D4F34" w:rsidRDefault="007D4F34" w:rsidP="009B2A14">
            <w:pPr>
              <w:spacing w:after="0"/>
              <w:jc w:val="center"/>
              <w:rPr>
                <w:rFonts w:eastAsia="Times New Roman"/>
                <w:sz w:val="18"/>
                <w:szCs w:val="18"/>
              </w:rPr>
            </w:pPr>
            <w:r>
              <w:rPr>
                <w:rFonts w:eastAsia="Times New Roman"/>
                <w:sz w:val="18"/>
                <w:szCs w:val="18"/>
              </w:rPr>
              <w:t>Zhou, 2020</w:t>
            </w:r>
          </w:p>
        </w:tc>
        <w:tc>
          <w:tcPr>
            <w:tcW w:w="3100" w:type="dxa"/>
            <w:shd w:val="clear" w:color="auto" w:fill="auto"/>
            <w:vAlign w:val="center"/>
            <w:hideMark/>
          </w:tcPr>
          <w:p w:rsidR="007D4F34" w:rsidRPr="007D4F34" w:rsidRDefault="00E33D6E" w:rsidP="006E0925">
            <w:pPr>
              <w:autoSpaceDE w:val="0"/>
              <w:autoSpaceDN w:val="0"/>
              <w:adjustRightInd w:val="0"/>
              <w:spacing w:before="0" w:after="0"/>
              <w:jc w:val="center"/>
              <w:rPr>
                <w:rFonts w:cs="Times New Roman"/>
                <w:sz w:val="16"/>
                <w:szCs w:val="16"/>
              </w:rPr>
            </w:pPr>
            <w:r w:rsidRPr="00E33D6E">
              <w:rPr>
                <w:rFonts w:cs="Times New Roman"/>
                <w:sz w:val="16"/>
                <w:szCs w:val="16"/>
              </w:rPr>
              <w:t>qRT-PCR (</w:t>
            </w:r>
            <w:r w:rsidRPr="00E33D6E">
              <w:rPr>
                <w:rFonts w:cs="Times"/>
                <w:color w:val="000000"/>
                <w:sz w:val="16"/>
                <w:szCs w:val="16"/>
              </w:rPr>
              <w:t>miRcute miRNA qPCR Detection kit (SYBR Green; Tiangen Biotech Co., Ltd.)</w:t>
            </w:r>
            <w:r w:rsidRPr="00E33D6E">
              <w:rPr>
                <w:rFonts w:cs="Times New Roman"/>
                <w:sz w:val="16"/>
                <w:szCs w:val="16"/>
              </w:rPr>
              <w:t>)</w:t>
            </w:r>
          </w:p>
        </w:tc>
        <w:tc>
          <w:tcPr>
            <w:tcW w:w="4280" w:type="dxa"/>
            <w:shd w:val="clear" w:color="auto" w:fill="auto"/>
            <w:vAlign w:val="center"/>
            <w:hideMark/>
          </w:tcPr>
          <w:p w:rsidR="007D4F34" w:rsidRDefault="007D4F34"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7D4F34" w:rsidRDefault="007D4F34" w:rsidP="009B2A14">
            <w:pPr>
              <w:spacing w:after="0"/>
              <w:jc w:val="center"/>
              <w:rPr>
                <w:rFonts w:eastAsia="Times New Roman"/>
                <w:sz w:val="18"/>
                <w:szCs w:val="18"/>
              </w:rPr>
            </w:pPr>
          </w:p>
        </w:tc>
        <w:tc>
          <w:tcPr>
            <w:tcW w:w="1836" w:type="dxa"/>
            <w:shd w:val="clear" w:color="auto" w:fill="auto"/>
            <w:noWrap/>
            <w:vAlign w:val="center"/>
            <w:hideMark/>
          </w:tcPr>
          <w:p w:rsidR="007D4F34" w:rsidRDefault="007D4F34" w:rsidP="009B2A14">
            <w:pPr>
              <w:spacing w:after="0"/>
              <w:jc w:val="center"/>
              <w:rPr>
                <w:rFonts w:cs="Times New Roman"/>
                <w:sz w:val="18"/>
                <w:szCs w:val="18"/>
              </w:rPr>
            </w:pPr>
            <w:r>
              <w:rPr>
                <w:rFonts w:cs="Times New Roman"/>
                <w:sz w:val="18"/>
                <w:szCs w:val="18"/>
              </w:rPr>
              <w:t>U6</w:t>
            </w:r>
          </w:p>
        </w:tc>
      </w:tr>
      <w:tr w:rsidR="005C1685" w:rsidRPr="000459A8" w:rsidTr="00130F93">
        <w:trPr>
          <w:trHeight w:val="463"/>
          <w:jc w:val="center"/>
        </w:trPr>
        <w:tc>
          <w:tcPr>
            <w:tcW w:w="1052" w:type="dxa"/>
            <w:shd w:val="clear" w:color="auto" w:fill="auto"/>
            <w:vAlign w:val="center"/>
            <w:hideMark/>
          </w:tcPr>
          <w:p w:rsidR="005C1685" w:rsidRDefault="005C1685" w:rsidP="009B2A14">
            <w:pPr>
              <w:spacing w:after="0"/>
              <w:jc w:val="center"/>
              <w:rPr>
                <w:rFonts w:eastAsia="Times New Roman"/>
                <w:sz w:val="18"/>
                <w:szCs w:val="18"/>
              </w:rPr>
            </w:pPr>
            <w:r>
              <w:rPr>
                <w:rFonts w:eastAsia="Times New Roman"/>
                <w:sz w:val="18"/>
                <w:szCs w:val="18"/>
              </w:rPr>
              <w:t>Zhu, 2020</w:t>
            </w:r>
          </w:p>
        </w:tc>
        <w:tc>
          <w:tcPr>
            <w:tcW w:w="3100" w:type="dxa"/>
            <w:shd w:val="clear" w:color="auto" w:fill="auto"/>
            <w:vAlign w:val="center"/>
            <w:hideMark/>
          </w:tcPr>
          <w:p w:rsidR="005C1685" w:rsidRPr="007D4F34" w:rsidRDefault="005C1685" w:rsidP="006E0925">
            <w:pPr>
              <w:autoSpaceDE w:val="0"/>
              <w:autoSpaceDN w:val="0"/>
              <w:adjustRightInd w:val="0"/>
              <w:spacing w:before="0" w:after="0"/>
              <w:jc w:val="center"/>
              <w:rPr>
                <w:rFonts w:cs="Times New Roman"/>
                <w:sz w:val="16"/>
                <w:szCs w:val="16"/>
              </w:rPr>
            </w:pPr>
            <w:r>
              <w:rPr>
                <w:rFonts w:cs="Times New Roman"/>
                <w:sz w:val="16"/>
                <w:szCs w:val="16"/>
              </w:rPr>
              <w:t>qRT-PCR</w:t>
            </w:r>
          </w:p>
        </w:tc>
        <w:tc>
          <w:tcPr>
            <w:tcW w:w="4280" w:type="dxa"/>
            <w:shd w:val="clear" w:color="auto" w:fill="auto"/>
            <w:vAlign w:val="center"/>
            <w:hideMark/>
          </w:tcPr>
          <w:p w:rsidR="005C1685" w:rsidRDefault="005C1685"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5C1685" w:rsidRDefault="005C1685" w:rsidP="009B2A14">
            <w:pPr>
              <w:spacing w:after="0"/>
              <w:jc w:val="center"/>
              <w:rPr>
                <w:rFonts w:eastAsia="Times New Roman"/>
                <w:sz w:val="18"/>
                <w:szCs w:val="18"/>
              </w:rPr>
            </w:pPr>
          </w:p>
        </w:tc>
        <w:tc>
          <w:tcPr>
            <w:tcW w:w="1836" w:type="dxa"/>
            <w:shd w:val="clear" w:color="auto" w:fill="auto"/>
            <w:noWrap/>
            <w:vAlign w:val="center"/>
            <w:hideMark/>
          </w:tcPr>
          <w:p w:rsidR="005C1685" w:rsidRDefault="005C1685" w:rsidP="009B2A14">
            <w:pPr>
              <w:spacing w:after="0"/>
              <w:jc w:val="center"/>
              <w:rPr>
                <w:rFonts w:cs="Times New Roman"/>
                <w:sz w:val="18"/>
                <w:szCs w:val="18"/>
              </w:rPr>
            </w:pPr>
            <w:r>
              <w:rPr>
                <w:rFonts w:cs="Times New Roman"/>
                <w:sz w:val="18"/>
                <w:szCs w:val="18"/>
              </w:rPr>
              <w:t>U6</w:t>
            </w:r>
          </w:p>
        </w:tc>
      </w:tr>
      <w:tr w:rsidR="00E426F3" w:rsidRPr="000459A8" w:rsidTr="00130F93">
        <w:trPr>
          <w:trHeight w:val="463"/>
          <w:jc w:val="center"/>
        </w:trPr>
        <w:tc>
          <w:tcPr>
            <w:tcW w:w="1052" w:type="dxa"/>
            <w:shd w:val="clear" w:color="auto" w:fill="auto"/>
            <w:vAlign w:val="center"/>
            <w:hideMark/>
          </w:tcPr>
          <w:p w:rsidR="00E426F3" w:rsidRDefault="00E426F3" w:rsidP="009B2A14">
            <w:pPr>
              <w:spacing w:after="0"/>
              <w:jc w:val="center"/>
              <w:rPr>
                <w:rFonts w:eastAsia="Times New Roman"/>
                <w:sz w:val="18"/>
                <w:szCs w:val="18"/>
              </w:rPr>
            </w:pPr>
            <w:r>
              <w:rPr>
                <w:rFonts w:eastAsia="Times New Roman"/>
                <w:sz w:val="18"/>
                <w:szCs w:val="18"/>
              </w:rPr>
              <w:t>Ali, 2021</w:t>
            </w:r>
          </w:p>
        </w:tc>
        <w:tc>
          <w:tcPr>
            <w:tcW w:w="3100" w:type="dxa"/>
            <w:shd w:val="clear" w:color="auto" w:fill="auto"/>
            <w:vAlign w:val="center"/>
            <w:hideMark/>
          </w:tcPr>
          <w:p w:rsidR="00E426F3" w:rsidRDefault="00E426F3" w:rsidP="006E0925">
            <w:pPr>
              <w:autoSpaceDE w:val="0"/>
              <w:autoSpaceDN w:val="0"/>
              <w:adjustRightInd w:val="0"/>
              <w:spacing w:before="0" w:after="0"/>
              <w:jc w:val="center"/>
              <w:rPr>
                <w:rFonts w:cs="Times New Roman"/>
                <w:sz w:val="16"/>
                <w:szCs w:val="16"/>
              </w:rPr>
            </w:pPr>
            <w:r>
              <w:rPr>
                <w:rFonts w:cs="Times New Roman"/>
                <w:sz w:val="16"/>
                <w:szCs w:val="16"/>
              </w:rPr>
              <w:t>qRT-PCR</w:t>
            </w:r>
          </w:p>
        </w:tc>
        <w:tc>
          <w:tcPr>
            <w:tcW w:w="4280" w:type="dxa"/>
            <w:shd w:val="clear" w:color="auto" w:fill="auto"/>
            <w:vAlign w:val="center"/>
            <w:hideMark/>
          </w:tcPr>
          <w:p w:rsidR="00E426F3" w:rsidRDefault="00E426F3" w:rsidP="006E0925">
            <w:pPr>
              <w:autoSpaceDE w:val="0"/>
              <w:autoSpaceDN w:val="0"/>
              <w:adjustRightInd w:val="0"/>
              <w:spacing w:before="0" w:after="0"/>
              <w:jc w:val="center"/>
              <w:rPr>
                <w:rFonts w:cs="Times New Roman"/>
                <w:sz w:val="18"/>
                <w:szCs w:val="18"/>
              </w:rPr>
            </w:pPr>
            <w:r>
              <w:rPr>
                <w:rFonts w:cs="Times New Roman"/>
                <w:sz w:val="18"/>
                <w:szCs w:val="18"/>
              </w:rPr>
              <w:t>Not reported</w:t>
            </w:r>
          </w:p>
        </w:tc>
        <w:tc>
          <w:tcPr>
            <w:tcW w:w="1099" w:type="dxa"/>
            <w:shd w:val="clear" w:color="auto" w:fill="auto"/>
            <w:vAlign w:val="center"/>
            <w:hideMark/>
          </w:tcPr>
          <w:p w:rsidR="00E426F3" w:rsidRDefault="00E426F3" w:rsidP="009B2A14">
            <w:pPr>
              <w:spacing w:after="0"/>
              <w:jc w:val="center"/>
              <w:rPr>
                <w:rFonts w:eastAsia="Times New Roman"/>
                <w:sz w:val="18"/>
                <w:szCs w:val="18"/>
              </w:rPr>
            </w:pPr>
          </w:p>
        </w:tc>
        <w:tc>
          <w:tcPr>
            <w:tcW w:w="1836" w:type="dxa"/>
            <w:shd w:val="clear" w:color="auto" w:fill="auto"/>
            <w:noWrap/>
            <w:vAlign w:val="center"/>
            <w:hideMark/>
          </w:tcPr>
          <w:p w:rsidR="00E426F3" w:rsidRDefault="00E426F3" w:rsidP="009B2A14">
            <w:pPr>
              <w:spacing w:after="0"/>
              <w:jc w:val="center"/>
              <w:rPr>
                <w:rFonts w:cs="Times New Roman"/>
                <w:sz w:val="18"/>
                <w:szCs w:val="18"/>
              </w:rPr>
            </w:pPr>
            <w:r>
              <w:rPr>
                <w:rFonts w:cs="Times New Roman"/>
                <w:sz w:val="18"/>
                <w:szCs w:val="18"/>
              </w:rPr>
              <w:t>Three housekeeping genes were used for internal control</w:t>
            </w:r>
          </w:p>
        </w:tc>
      </w:tr>
      <w:tr w:rsidR="00C21E30" w:rsidRPr="000459A8" w:rsidTr="00130F93">
        <w:trPr>
          <w:trHeight w:val="463"/>
          <w:jc w:val="center"/>
        </w:trPr>
        <w:tc>
          <w:tcPr>
            <w:tcW w:w="1052" w:type="dxa"/>
            <w:shd w:val="clear" w:color="auto" w:fill="auto"/>
            <w:vAlign w:val="center"/>
            <w:hideMark/>
          </w:tcPr>
          <w:p w:rsidR="00C21E30" w:rsidRDefault="00203590" w:rsidP="009B2A14">
            <w:pPr>
              <w:spacing w:after="0"/>
              <w:jc w:val="center"/>
              <w:rPr>
                <w:rFonts w:eastAsia="Times New Roman"/>
                <w:sz w:val="18"/>
                <w:szCs w:val="18"/>
              </w:rPr>
            </w:pPr>
            <w:r>
              <w:rPr>
                <w:rFonts w:eastAsia="Times New Roman"/>
                <w:sz w:val="18"/>
                <w:szCs w:val="18"/>
              </w:rPr>
              <w:t>Brodowski, 2021</w:t>
            </w:r>
          </w:p>
        </w:tc>
        <w:tc>
          <w:tcPr>
            <w:tcW w:w="3100" w:type="dxa"/>
            <w:shd w:val="clear" w:color="auto" w:fill="auto"/>
            <w:vAlign w:val="center"/>
            <w:hideMark/>
          </w:tcPr>
          <w:p w:rsidR="00000000" w:rsidRDefault="00E33D6E">
            <w:pPr>
              <w:autoSpaceDE w:val="0"/>
              <w:autoSpaceDN w:val="0"/>
              <w:adjustRightInd w:val="0"/>
              <w:spacing w:before="0" w:after="0"/>
              <w:jc w:val="center"/>
              <w:rPr>
                <w:rFonts w:cs="Times New Roman"/>
                <w:sz w:val="16"/>
                <w:szCs w:val="16"/>
              </w:rPr>
            </w:pPr>
            <w:r w:rsidRPr="00E33D6E">
              <w:rPr>
                <w:rFonts w:cs="Times New Roman"/>
                <w:sz w:val="16"/>
                <w:szCs w:val="16"/>
              </w:rPr>
              <w:t>small RNA sequencing (NEBNext® Multiplex Small RNA Library Prep</w:t>
            </w:r>
          </w:p>
          <w:p w:rsidR="00C21E30" w:rsidRPr="00C21E30" w:rsidRDefault="00E33D6E" w:rsidP="00C21E30">
            <w:pPr>
              <w:autoSpaceDE w:val="0"/>
              <w:autoSpaceDN w:val="0"/>
              <w:adjustRightInd w:val="0"/>
              <w:spacing w:before="0" w:after="0"/>
              <w:jc w:val="center"/>
              <w:rPr>
                <w:rFonts w:cs="Times New Roman"/>
                <w:sz w:val="16"/>
                <w:szCs w:val="16"/>
              </w:rPr>
            </w:pPr>
            <w:r w:rsidRPr="00E33D6E">
              <w:rPr>
                <w:rFonts w:cs="Times New Roman"/>
                <w:sz w:val="16"/>
                <w:szCs w:val="16"/>
              </w:rPr>
              <w:t>Kit for Illumina® 96 rxns, Index Primers 1–48 (E7560S, New England Biolabs, Frankfurt am</w:t>
            </w:r>
            <w:r w:rsidR="00C21E30">
              <w:rPr>
                <w:rFonts w:cs="Times New Roman"/>
                <w:sz w:val="16"/>
                <w:szCs w:val="16"/>
              </w:rPr>
              <w:t xml:space="preserve"> </w:t>
            </w:r>
            <w:r w:rsidRPr="00E33D6E">
              <w:rPr>
                <w:rFonts w:cs="Times New Roman"/>
                <w:sz w:val="16"/>
                <w:szCs w:val="16"/>
              </w:rPr>
              <w:t>Main, Germany).)</w:t>
            </w:r>
          </w:p>
        </w:tc>
        <w:tc>
          <w:tcPr>
            <w:tcW w:w="4280" w:type="dxa"/>
            <w:shd w:val="clear" w:color="auto" w:fill="auto"/>
            <w:vAlign w:val="center"/>
            <w:hideMark/>
          </w:tcPr>
          <w:p w:rsidR="00C21E30" w:rsidRPr="00C21E30" w:rsidRDefault="00E33D6E" w:rsidP="00C21E30">
            <w:pPr>
              <w:autoSpaceDE w:val="0"/>
              <w:autoSpaceDN w:val="0"/>
              <w:adjustRightInd w:val="0"/>
              <w:spacing w:before="0" w:after="0"/>
              <w:jc w:val="center"/>
              <w:rPr>
                <w:rFonts w:cs="Times New Roman"/>
                <w:sz w:val="16"/>
                <w:szCs w:val="16"/>
              </w:rPr>
            </w:pPr>
            <w:r w:rsidRPr="00E33D6E">
              <w:rPr>
                <w:rFonts w:cs="Times New Roman"/>
                <w:sz w:val="16"/>
                <w:szCs w:val="16"/>
              </w:rPr>
              <w:t>qRT-PCR (miScript II Master Mix (miScript II, SYBR Green Assay, Qiagen, Leipzig, Germany, 218160)</w:t>
            </w:r>
            <w:r w:rsidR="00C21E30">
              <w:rPr>
                <w:rFonts w:cs="Times New Roman"/>
                <w:sz w:val="16"/>
                <w:szCs w:val="16"/>
              </w:rPr>
              <w:t xml:space="preserve"> </w:t>
            </w:r>
            <w:r w:rsidRPr="00E33D6E">
              <w:rPr>
                <w:rFonts w:cs="Times New Roman"/>
                <w:sz w:val="16"/>
                <w:szCs w:val="16"/>
              </w:rPr>
              <w:t>on a Corbett Rotor Gene (Corbett Life Science, Sydney, Australia).)</w:t>
            </w:r>
          </w:p>
        </w:tc>
        <w:tc>
          <w:tcPr>
            <w:tcW w:w="1099" w:type="dxa"/>
            <w:shd w:val="clear" w:color="auto" w:fill="auto"/>
            <w:vAlign w:val="center"/>
            <w:hideMark/>
          </w:tcPr>
          <w:p w:rsidR="00C21E30" w:rsidRDefault="00C21E30" w:rsidP="009B2A14">
            <w:pPr>
              <w:spacing w:after="0"/>
              <w:jc w:val="center"/>
              <w:rPr>
                <w:rFonts w:eastAsia="Times New Roman"/>
                <w:sz w:val="18"/>
                <w:szCs w:val="18"/>
              </w:rPr>
            </w:pPr>
          </w:p>
        </w:tc>
        <w:tc>
          <w:tcPr>
            <w:tcW w:w="1836" w:type="dxa"/>
            <w:shd w:val="clear" w:color="auto" w:fill="auto"/>
            <w:noWrap/>
            <w:vAlign w:val="center"/>
            <w:hideMark/>
          </w:tcPr>
          <w:p w:rsidR="00C21E30" w:rsidRDefault="00C21E30" w:rsidP="009B2A14">
            <w:pPr>
              <w:spacing w:after="0"/>
              <w:jc w:val="center"/>
              <w:rPr>
                <w:rFonts w:cs="Times New Roman"/>
                <w:sz w:val="18"/>
                <w:szCs w:val="18"/>
              </w:rPr>
            </w:pPr>
            <w:r>
              <w:rPr>
                <w:rFonts w:cs="Times New Roman"/>
                <w:sz w:val="18"/>
                <w:szCs w:val="18"/>
              </w:rPr>
              <w:t>18S rRNA (RNA78S1)</w:t>
            </w:r>
          </w:p>
        </w:tc>
      </w:tr>
      <w:tr w:rsidR="00203590" w:rsidRPr="000459A8" w:rsidTr="00130F93">
        <w:trPr>
          <w:trHeight w:val="463"/>
          <w:jc w:val="center"/>
        </w:trPr>
        <w:tc>
          <w:tcPr>
            <w:tcW w:w="1052" w:type="dxa"/>
            <w:shd w:val="clear" w:color="auto" w:fill="auto"/>
            <w:vAlign w:val="center"/>
            <w:hideMark/>
          </w:tcPr>
          <w:p w:rsidR="00203590" w:rsidRDefault="00203590" w:rsidP="009B2A14">
            <w:pPr>
              <w:spacing w:after="0"/>
              <w:jc w:val="center"/>
              <w:rPr>
                <w:rFonts w:eastAsia="Times New Roman"/>
                <w:sz w:val="18"/>
                <w:szCs w:val="18"/>
              </w:rPr>
            </w:pPr>
            <w:r>
              <w:rPr>
                <w:rFonts w:eastAsia="Times New Roman"/>
                <w:sz w:val="18"/>
                <w:szCs w:val="18"/>
              </w:rPr>
              <w:t>Cai, 2021</w:t>
            </w:r>
          </w:p>
        </w:tc>
        <w:tc>
          <w:tcPr>
            <w:tcW w:w="3100" w:type="dxa"/>
            <w:shd w:val="clear" w:color="auto" w:fill="auto"/>
            <w:vAlign w:val="center"/>
            <w:hideMark/>
          </w:tcPr>
          <w:p w:rsidR="00203590" w:rsidRPr="00C21E30" w:rsidRDefault="00203590" w:rsidP="00C21E30">
            <w:pPr>
              <w:autoSpaceDE w:val="0"/>
              <w:autoSpaceDN w:val="0"/>
              <w:adjustRightInd w:val="0"/>
              <w:spacing w:before="0" w:after="0"/>
              <w:jc w:val="center"/>
              <w:rPr>
                <w:rFonts w:cs="Times New Roman"/>
                <w:sz w:val="16"/>
                <w:szCs w:val="16"/>
              </w:rPr>
            </w:pPr>
            <w:r>
              <w:rPr>
                <w:rFonts w:cs="Times New Roman"/>
                <w:sz w:val="16"/>
                <w:szCs w:val="16"/>
              </w:rPr>
              <w:t>qRT-PCR</w:t>
            </w:r>
          </w:p>
        </w:tc>
        <w:tc>
          <w:tcPr>
            <w:tcW w:w="4280" w:type="dxa"/>
            <w:shd w:val="clear" w:color="auto" w:fill="auto"/>
            <w:vAlign w:val="center"/>
            <w:hideMark/>
          </w:tcPr>
          <w:p w:rsidR="00203590" w:rsidRPr="00C21E30" w:rsidRDefault="00203590"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203590" w:rsidRDefault="00203590" w:rsidP="009B2A14">
            <w:pPr>
              <w:spacing w:after="0"/>
              <w:jc w:val="center"/>
              <w:rPr>
                <w:rFonts w:eastAsia="Times New Roman"/>
                <w:sz w:val="18"/>
                <w:szCs w:val="18"/>
              </w:rPr>
            </w:pPr>
          </w:p>
        </w:tc>
        <w:tc>
          <w:tcPr>
            <w:tcW w:w="1836" w:type="dxa"/>
            <w:shd w:val="clear" w:color="auto" w:fill="auto"/>
            <w:noWrap/>
            <w:vAlign w:val="center"/>
            <w:hideMark/>
          </w:tcPr>
          <w:p w:rsidR="00203590" w:rsidRDefault="00203590" w:rsidP="009B2A14">
            <w:pPr>
              <w:spacing w:after="0"/>
              <w:jc w:val="center"/>
              <w:rPr>
                <w:rFonts w:cs="Times New Roman"/>
                <w:sz w:val="18"/>
                <w:szCs w:val="18"/>
              </w:rPr>
            </w:pPr>
            <w:r>
              <w:rPr>
                <w:rFonts w:cs="Times New Roman"/>
                <w:sz w:val="18"/>
                <w:szCs w:val="18"/>
              </w:rPr>
              <w:t>U6</w:t>
            </w:r>
          </w:p>
        </w:tc>
      </w:tr>
      <w:tr w:rsidR="00CD3F1C" w:rsidRPr="000459A8" w:rsidTr="00130F93">
        <w:trPr>
          <w:trHeight w:val="463"/>
          <w:jc w:val="center"/>
        </w:trPr>
        <w:tc>
          <w:tcPr>
            <w:tcW w:w="1052" w:type="dxa"/>
            <w:shd w:val="clear" w:color="auto" w:fill="auto"/>
            <w:vAlign w:val="center"/>
            <w:hideMark/>
          </w:tcPr>
          <w:p w:rsidR="00CD3F1C" w:rsidRDefault="00CD3F1C" w:rsidP="009B2A14">
            <w:pPr>
              <w:spacing w:after="0"/>
              <w:jc w:val="center"/>
              <w:rPr>
                <w:rFonts w:eastAsia="Times New Roman"/>
                <w:sz w:val="18"/>
                <w:szCs w:val="18"/>
              </w:rPr>
            </w:pPr>
            <w:r>
              <w:rPr>
                <w:rFonts w:eastAsia="Times New Roman"/>
                <w:sz w:val="18"/>
                <w:szCs w:val="18"/>
              </w:rPr>
              <w:t>Chu, 2021</w:t>
            </w:r>
          </w:p>
        </w:tc>
        <w:tc>
          <w:tcPr>
            <w:tcW w:w="3100" w:type="dxa"/>
            <w:shd w:val="clear" w:color="auto" w:fill="auto"/>
            <w:vAlign w:val="center"/>
            <w:hideMark/>
          </w:tcPr>
          <w:p w:rsidR="00CD3F1C" w:rsidRDefault="00CD3F1C" w:rsidP="00C21E30">
            <w:pPr>
              <w:autoSpaceDE w:val="0"/>
              <w:autoSpaceDN w:val="0"/>
              <w:adjustRightInd w:val="0"/>
              <w:spacing w:before="0" w:after="0"/>
              <w:jc w:val="center"/>
              <w:rPr>
                <w:rFonts w:cs="Times New Roman"/>
                <w:sz w:val="16"/>
                <w:szCs w:val="16"/>
              </w:rPr>
            </w:pPr>
            <w:r>
              <w:rPr>
                <w:rFonts w:cs="Times New Roman"/>
                <w:sz w:val="16"/>
                <w:szCs w:val="16"/>
              </w:rPr>
              <w:t>In situ hybridization</w:t>
            </w:r>
          </w:p>
        </w:tc>
        <w:tc>
          <w:tcPr>
            <w:tcW w:w="4280" w:type="dxa"/>
            <w:shd w:val="clear" w:color="auto" w:fill="auto"/>
            <w:vAlign w:val="center"/>
            <w:hideMark/>
          </w:tcPr>
          <w:p w:rsidR="00CD3F1C" w:rsidRDefault="00CD3F1C"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CD3F1C" w:rsidRDefault="00CD3F1C" w:rsidP="009B2A14">
            <w:pPr>
              <w:spacing w:after="0"/>
              <w:jc w:val="center"/>
              <w:rPr>
                <w:rFonts w:eastAsia="Times New Roman"/>
                <w:sz w:val="18"/>
                <w:szCs w:val="18"/>
              </w:rPr>
            </w:pPr>
          </w:p>
        </w:tc>
        <w:tc>
          <w:tcPr>
            <w:tcW w:w="1836" w:type="dxa"/>
            <w:shd w:val="clear" w:color="auto" w:fill="auto"/>
            <w:noWrap/>
            <w:vAlign w:val="center"/>
            <w:hideMark/>
          </w:tcPr>
          <w:p w:rsidR="00CD3F1C" w:rsidRDefault="00CD3F1C" w:rsidP="009B2A14">
            <w:pPr>
              <w:spacing w:after="0"/>
              <w:jc w:val="center"/>
              <w:rPr>
                <w:rFonts w:cs="Times New Roman"/>
                <w:sz w:val="18"/>
                <w:szCs w:val="18"/>
              </w:rPr>
            </w:pPr>
            <w:r>
              <w:rPr>
                <w:rFonts w:cs="Times New Roman"/>
                <w:sz w:val="18"/>
                <w:szCs w:val="18"/>
              </w:rPr>
              <w:t>/</w:t>
            </w:r>
          </w:p>
        </w:tc>
      </w:tr>
      <w:tr w:rsidR="00605BD5" w:rsidRPr="000459A8" w:rsidTr="00130F93">
        <w:trPr>
          <w:trHeight w:val="463"/>
          <w:jc w:val="center"/>
        </w:trPr>
        <w:tc>
          <w:tcPr>
            <w:tcW w:w="1052" w:type="dxa"/>
            <w:shd w:val="clear" w:color="auto" w:fill="auto"/>
            <w:vAlign w:val="center"/>
            <w:hideMark/>
          </w:tcPr>
          <w:p w:rsidR="00605BD5" w:rsidRDefault="00605BD5" w:rsidP="009B2A14">
            <w:pPr>
              <w:spacing w:after="0"/>
              <w:jc w:val="center"/>
              <w:rPr>
                <w:rFonts w:eastAsia="Times New Roman"/>
                <w:sz w:val="18"/>
                <w:szCs w:val="18"/>
              </w:rPr>
            </w:pPr>
            <w:r>
              <w:rPr>
                <w:rFonts w:eastAsia="Times New Roman"/>
                <w:sz w:val="18"/>
                <w:szCs w:val="18"/>
              </w:rPr>
              <w:t>Hayder, 2021</w:t>
            </w:r>
          </w:p>
        </w:tc>
        <w:tc>
          <w:tcPr>
            <w:tcW w:w="3100" w:type="dxa"/>
            <w:shd w:val="clear" w:color="auto" w:fill="auto"/>
            <w:vAlign w:val="center"/>
            <w:hideMark/>
          </w:tcPr>
          <w:p w:rsidR="00605BD5" w:rsidRDefault="00605BD5" w:rsidP="00C21E30">
            <w:pPr>
              <w:autoSpaceDE w:val="0"/>
              <w:autoSpaceDN w:val="0"/>
              <w:adjustRightInd w:val="0"/>
              <w:spacing w:before="0" w:after="0"/>
              <w:jc w:val="center"/>
              <w:rPr>
                <w:rFonts w:cs="Times New Roman"/>
                <w:sz w:val="16"/>
                <w:szCs w:val="16"/>
              </w:rPr>
            </w:pPr>
            <w:r>
              <w:rPr>
                <w:rFonts w:cs="Times New Roman"/>
                <w:sz w:val="16"/>
                <w:szCs w:val="16"/>
              </w:rPr>
              <w:t>qRT-PCR</w:t>
            </w:r>
          </w:p>
        </w:tc>
        <w:tc>
          <w:tcPr>
            <w:tcW w:w="4280" w:type="dxa"/>
            <w:shd w:val="clear" w:color="auto" w:fill="auto"/>
            <w:vAlign w:val="center"/>
            <w:hideMark/>
          </w:tcPr>
          <w:p w:rsidR="00605BD5" w:rsidRDefault="00605BD5"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605BD5" w:rsidRDefault="00605BD5" w:rsidP="009B2A14">
            <w:pPr>
              <w:spacing w:after="0"/>
              <w:jc w:val="center"/>
              <w:rPr>
                <w:rFonts w:eastAsia="Times New Roman"/>
                <w:sz w:val="18"/>
                <w:szCs w:val="18"/>
              </w:rPr>
            </w:pPr>
          </w:p>
        </w:tc>
        <w:tc>
          <w:tcPr>
            <w:tcW w:w="1836" w:type="dxa"/>
            <w:shd w:val="clear" w:color="auto" w:fill="auto"/>
            <w:noWrap/>
            <w:vAlign w:val="center"/>
            <w:hideMark/>
          </w:tcPr>
          <w:p w:rsidR="00605BD5" w:rsidRDefault="00605BD5" w:rsidP="009B2A14">
            <w:pPr>
              <w:spacing w:after="0"/>
              <w:jc w:val="center"/>
              <w:rPr>
                <w:rFonts w:cs="Times New Roman"/>
                <w:sz w:val="18"/>
                <w:szCs w:val="18"/>
              </w:rPr>
            </w:pPr>
            <w:r>
              <w:rPr>
                <w:rFonts w:cs="Times New Roman"/>
                <w:sz w:val="18"/>
                <w:szCs w:val="18"/>
              </w:rPr>
              <w:t>U6</w:t>
            </w:r>
          </w:p>
        </w:tc>
      </w:tr>
      <w:tr w:rsidR="00C27646" w:rsidRPr="000459A8" w:rsidTr="00130F93">
        <w:trPr>
          <w:trHeight w:val="463"/>
          <w:jc w:val="center"/>
        </w:trPr>
        <w:tc>
          <w:tcPr>
            <w:tcW w:w="1052" w:type="dxa"/>
            <w:shd w:val="clear" w:color="auto" w:fill="auto"/>
            <w:vAlign w:val="center"/>
            <w:hideMark/>
          </w:tcPr>
          <w:p w:rsidR="00C27646" w:rsidRDefault="00C27646" w:rsidP="009B2A14">
            <w:pPr>
              <w:spacing w:after="0"/>
              <w:jc w:val="center"/>
              <w:rPr>
                <w:rFonts w:eastAsia="Times New Roman"/>
                <w:sz w:val="18"/>
                <w:szCs w:val="18"/>
              </w:rPr>
            </w:pPr>
            <w:r>
              <w:rPr>
                <w:rFonts w:eastAsia="Times New Roman"/>
                <w:sz w:val="18"/>
                <w:szCs w:val="18"/>
              </w:rPr>
              <w:t>Jairajpuri, 2021</w:t>
            </w:r>
          </w:p>
        </w:tc>
        <w:tc>
          <w:tcPr>
            <w:tcW w:w="3100" w:type="dxa"/>
            <w:shd w:val="clear" w:color="auto" w:fill="auto"/>
            <w:vAlign w:val="center"/>
            <w:hideMark/>
          </w:tcPr>
          <w:p w:rsidR="00C27646" w:rsidRDefault="00C27646" w:rsidP="00C21E30">
            <w:pPr>
              <w:autoSpaceDE w:val="0"/>
              <w:autoSpaceDN w:val="0"/>
              <w:adjustRightInd w:val="0"/>
              <w:spacing w:before="0" w:after="0"/>
              <w:jc w:val="center"/>
              <w:rPr>
                <w:rFonts w:cs="Times New Roman"/>
                <w:sz w:val="16"/>
                <w:szCs w:val="16"/>
              </w:rPr>
            </w:pPr>
            <w:r>
              <w:rPr>
                <w:rFonts w:cs="Times New Roman"/>
                <w:sz w:val="16"/>
                <w:szCs w:val="16"/>
              </w:rPr>
              <w:t>qRT-PCR</w:t>
            </w:r>
          </w:p>
        </w:tc>
        <w:tc>
          <w:tcPr>
            <w:tcW w:w="4280" w:type="dxa"/>
            <w:shd w:val="clear" w:color="auto" w:fill="auto"/>
            <w:vAlign w:val="center"/>
            <w:hideMark/>
          </w:tcPr>
          <w:p w:rsidR="00C27646" w:rsidRDefault="00C27646"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C27646" w:rsidRDefault="00C27646" w:rsidP="009B2A14">
            <w:pPr>
              <w:spacing w:after="0"/>
              <w:jc w:val="center"/>
              <w:rPr>
                <w:rFonts w:eastAsia="Times New Roman"/>
                <w:sz w:val="18"/>
                <w:szCs w:val="18"/>
              </w:rPr>
            </w:pPr>
          </w:p>
        </w:tc>
        <w:tc>
          <w:tcPr>
            <w:tcW w:w="1836" w:type="dxa"/>
            <w:shd w:val="clear" w:color="auto" w:fill="auto"/>
            <w:noWrap/>
            <w:vAlign w:val="center"/>
            <w:hideMark/>
          </w:tcPr>
          <w:p w:rsidR="00C27646" w:rsidRDefault="00C27646" w:rsidP="009B2A14">
            <w:pPr>
              <w:spacing w:after="0"/>
              <w:jc w:val="center"/>
              <w:rPr>
                <w:rFonts w:cs="Times New Roman"/>
                <w:sz w:val="18"/>
                <w:szCs w:val="18"/>
              </w:rPr>
            </w:pPr>
            <w:r>
              <w:rPr>
                <w:rFonts w:cs="Times New Roman"/>
                <w:sz w:val="18"/>
                <w:szCs w:val="18"/>
              </w:rPr>
              <w:t>U6</w:t>
            </w:r>
          </w:p>
        </w:tc>
      </w:tr>
      <w:tr w:rsidR="00EA19CC" w:rsidRPr="000459A8" w:rsidTr="00130F93">
        <w:trPr>
          <w:trHeight w:val="463"/>
          <w:jc w:val="center"/>
        </w:trPr>
        <w:tc>
          <w:tcPr>
            <w:tcW w:w="1052" w:type="dxa"/>
            <w:shd w:val="clear" w:color="auto" w:fill="auto"/>
            <w:vAlign w:val="center"/>
            <w:hideMark/>
          </w:tcPr>
          <w:p w:rsidR="00EA19CC" w:rsidRDefault="00EA19CC" w:rsidP="009B2A14">
            <w:pPr>
              <w:spacing w:after="0"/>
              <w:jc w:val="center"/>
              <w:rPr>
                <w:rFonts w:eastAsia="Times New Roman"/>
                <w:sz w:val="18"/>
                <w:szCs w:val="18"/>
              </w:rPr>
            </w:pPr>
            <w:r>
              <w:rPr>
                <w:rFonts w:eastAsia="Times New Roman"/>
                <w:sz w:val="18"/>
                <w:szCs w:val="18"/>
              </w:rPr>
              <w:t>Jiu, 2021</w:t>
            </w:r>
          </w:p>
        </w:tc>
        <w:tc>
          <w:tcPr>
            <w:tcW w:w="3100" w:type="dxa"/>
            <w:shd w:val="clear" w:color="auto" w:fill="auto"/>
            <w:vAlign w:val="center"/>
            <w:hideMark/>
          </w:tcPr>
          <w:p w:rsidR="00EA19CC" w:rsidRDefault="00EA19CC" w:rsidP="00C21E30">
            <w:pPr>
              <w:autoSpaceDE w:val="0"/>
              <w:autoSpaceDN w:val="0"/>
              <w:adjustRightInd w:val="0"/>
              <w:spacing w:before="0" w:after="0"/>
              <w:jc w:val="center"/>
              <w:rPr>
                <w:rFonts w:cs="Times New Roman"/>
                <w:sz w:val="16"/>
                <w:szCs w:val="16"/>
              </w:rPr>
            </w:pPr>
            <w:r>
              <w:rPr>
                <w:rFonts w:cs="Times New Roman"/>
                <w:sz w:val="16"/>
                <w:szCs w:val="16"/>
              </w:rPr>
              <w:t>qRT-PCR</w:t>
            </w:r>
          </w:p>
        </w:tc>
        <w:tc>
          <w:tcPr>
            <w:tcW w:w="4280" w:type="dxa"/>
            <w:shd w:val="clear" w:color="auto" w:fill="auto"/>
            <w:vAlign w:val="center"/>
            <w:hideMark/>
          </w:tcPr>
          <w:p w:rsidR="00EA19CC" w:rsidRDefault="00EA19CC"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EA19CC" w:rsidRDefault="00EA19CC" w:rsidP="009B2A14">
            <w:pPr>
              <w:spacing w:after="0"/>
              <w:jc w:val="center"/>
              <w:rPr>
                <w:rFonts w:eastAsia="Times New Roman"/>
                <w:sz w:val="18"/>
                <w:szCs w:val="18"/>
              </w:rPr>
            </w:pPr>
          </w:p>
        </w:tc>
        <w:tc>
          <w:tcPr>
            <w:tcW w:w="1836" w:type="dxa"/>
            <w:shd w:val="clear" w:color="auto" w:fill="auto"/>
            <w:noWrap/>
            <w:vAlign w:val="center"/>
            <w:hideMark/>
          </w:tcPr>
          <w:p w:rsidR="00EA19CC" w:rsidRDefault="00EA19CC" w:rsidP="009B2A14">
            <w:pPr>
              <w:spacing w:after="0"/>
              <w:jc w:val="center"/>
              <w:rPr>
                <w:rFonts w:cs="Times New Roman"/>
                <w:sz w:val="18"/>
                <w:szCs w:val="18"/>
              </w:rPr>
            </w:pPr>
            <w:r>
              <w:rPr>
                <w:rFonts w:cs="Times New Roman"/>
                <w:sz w:val="18"/>
                <w:szCs w:val="18"/>
              </w:rPr>
              <w:t>U6</w:t>
            </w:r>
          </w:p>
        </w:tc>
      </w:tr>
      <w:tr w:rsidR="000C7A27" w:rsidRPr="000459A8" w:rsidTr="00130F93">
        <w:trPr>
          <w:trHeight w:val="463"/>
          <w:jc w:val="center"/>
        </w:trPr>
        <w:tc>
          <w:tcPr>
            <w:tcW w:w="1052" w:type="dxa"/>
            <w:shd w:val="clear" w:color="auto" w:fill="auto"/>
            <w:vAlign w:val="center"/>
            <w:hideMark/>
          </w:tcPr>
          <w:p w:rsidR="000C7A27" w:rsidRDefault="000C7A27" w:rsidP="009B2A14">
            <w:pPr>
              <w:spacing w:after="0"/>
              <w:jc w:val="center"/>
              <w:rPr>
                <w:rFonts w:eastAsia="Times New Roman"/>
                <w:sz w:val="18"/>
                <w:szCs w:val="18"/>
              </w:rPr>
            </w:pPr>
            <w:r>
              <w:rPr>
                <w:rFonts w:eastAsia="Times New Roman"/>
                <w:sz w:val="18"/>
                <w:szCs w:val="18"/>
              </w:rPr>
              <w:t>Kamali-Simsek, 2021</w:t>
            </w:r>
          </w:p>
        </w:tc>
        <w:tc>
          <w:tcPr>
            <w:tcW w:w="3100" w:type="dxa"/>
            <w:shd w:val="clear" w:color="auto" w:fill="auto"/>
            <w:vAlign w:val="center"/>
            <w:hideMark/>
          </w:tcPr>
          <w:p w:rsidR="000C7A27" w:rsidRPr="00865ACF" w:rsidRDefault="00E33D6E" w:rsidP="00C21E30">
            <w:pPr>
              <w:autoSpaceDE w:val="0"/>
              <w:autoSpaceDN w:val="0"/>
              <w:adjustRightInd w:val="0"/>
              <w:spacing w:before="0" w:after="0"/>
              <w:jc w:val="center"/>
              <w:rPr>
                <w:rFonts w:cs="Times New Roman"/>
                <w:sz w:val="16"/>
                <w:szCs w:val="16"/>
              </w:rPr>
            </w:pPr>
            <w:r w:rsidRPr="00E33D6E">
              <w:rPr>
                <w:sz w:val="16"/>
                <w:szCs w:val="16"/>
              </w:rPr>
              <w:t>Droplet Digital PCR (ddPCR) was performed using QX200 ddPCR EvaGreen SuperMix (Bio-Rad, Hercules, CA, USA) in a QX200 Droplet Digital PCR System (Bio-Rad).</w:t>
            </w:r>
          </w:p>
        </w:tc>
        <w:tc>
          <w:tcPr>
            <w:tcW w:w="4280" w:type="dxa"/>
            <w:shd w:val="clear" w:color="auto" w:fill="auto"/>
            <w:vAlign w:val="center"/>
            <w:hideMark/>
          </w:tcPr>
          <w:p w:rsidR="000C7A27" w:rsidRDefault="000C7A27"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0C7A27" w:rsidRDefault="000C7A27" w:rsidP="009B2A14">
            <w:pPr>
              <w:spacing w:after="0"/>
              <w:jc w:val="center"/>
              <w:rPr>
                <w:rFonts w:eastAsia="Times New Roman"/>
                <w:sz w:val="18"/>
                <w:szCs w:val="18"/>
              </w:rPr>
            </w:pPr>
          </w:p>
        </w:tc>
        <w:tc>
          <w:tcPr>
            <w:tcW w:w="1836" w:type="dxa"/>
            <w:shd w:val="clear" w:color="auto" w:fill="auto"/>
            <w:noWrap/>
            <w:vAlign w:val="center"/>
            <w:hideMark/>
          </w:tcPr>
          <w:p w:rsidR="000C7A27" w:rsidRDefault="000C7A27" w:rsidP="009B2A14">
            <w:pPr>
              <w:spacing w:after="0"/>
              <w:jc w:val="center"/>
              <w:rPr>
                <w:rFonts w:cs="Times New Roman"/>
                <w:sz w:val="18"/>
                <w:szCs w:val="18"/>
              </w:rPr>
            </w:pPr>
            <w:r>
              <w:rPr>
                <w:rFonts w:cs="Times New Roman"/>
                <w:sz w:val="18"/>
                <w:szCs w:val="18"/>
              </w:rPr>
              <w:t>U6</w:t>
            </w:r>
          </w:p>
        </w:tc>
      </w:tr>
      <w:tr w:rsidR="00E75C2B" w:rsidRPr="000459A8" w:rsidTr="00130F93">
        <w:trPr>
          <w:trHeight w:val="463"/>
          <w:jc w:val="center"/>
        </w:trPr>
        <w:tc>
          <w:tcPr>
            <w:tcW w:w="1052" w:type="dxa"/>
            <w:shd w:val="clear" w:color="auto" w:fill="auto"/>
            <w:vAlign w:val="center"/>
            <w:hideMark/>
          </w:tcPr>
          <w:p w:rsidR="00E75C2B" w:rsidRDefault="00E75C2B" w:rsidP="009B2A14">
            <w:pPr>
              <w:spacing w:after="0"/>
              <w:jc w:val="center"/>
              <w:rPr>
                <w:rFonts w:eastAsia="Times New Roman"/>
                <w:sz w:val="18"/>
                <w:szCs w:val="18"/>
              </w:rPr>
            </w:pPr>
            <w:r>
              <w:rPr>
                <w:rFonts w:eastAsia="Times New Roman"/>
                <w:sz w:val="18"/>
                <w:szCs w:val="18"/>
              </w:rPr>
              <w:t>Kolkova, 2021</w:t>
            </w:r>
          </w:p>
        </w:tc>
        <w:tc>
          <w:tcPr>
            <w:tcW w:w="3100" w:type="dxa"/>
            <w:shd w:val="clear" w:color="auto" w:fill="auto"/>
            <w:vAlign w:val="center"/>
            <w:hideMark/>
          </w:tcPr>
          <w:p w:rsidR="00E75C2B" w:rsidRPr="00865ACF" w:rsidRDefault="00E75C2B" w:rsidP="00C21E30">
            <w:pPr>
              <w:autoSpaceDE w:val="0"/>
              <w:autoSpaceDN w:val="0"/>
              <w:adjustRightInd w:val="0"/>
              <w:spacing w:before="0" w:after="0"/>
              <w:jc w:val="center"/>
              <w:rPr>
                <w:sz w:val="16"/>
                <w:szCs w:val="16"/>
              </w:rPr>
            </w:pPr>
            <w:r>
              <w:rPr>
                <w:sz w:val="16"/>
                <w:szCs w:val="16"/>
              </w:rPr>
              <w:t>qRT-PCR</w:t>
            </w:r>
          </w:p>
        </w:tc>
        <w:tc>
          <w:tcPr>
            <w:tcW w:w="4280" w:type="dxa"/>
            <w:shd w:val="clear" w:color="auto" w:fill="auto"/>
            <w:vAlign w:val="center"/>
            <w:hideMark/>
          </w:tcPr>
          <w:p w:rsidR="00E75C2B" w:rsidRDefault="00E75C2B"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E75C2B" w:rsidRDefault="00E75C2B" w:rsidP="009B2A14">
            <w:pPr>
              <w:spacing w:after="0"/>
              <w:jc w:val="center"/>
              <w:rPr>
                <w:rFonts w:eastAsia="Times New Roman"/>
                <w:sz w:val="18"/>
                <w:szCs w:val="18"/>
              </w:rPr>
            </w:pPr>
          </w:p>
        </w:tc>
        <w:tc>
          <w:tcPr>
            <w:tcW w:w="1836" w:type="dxa"/>
            <w:shd w:val="clear" w:color="auto" w:fill="auto"/>
            <w:noWrap/>
            <w:vAlign w:val="center"/>
            <w:hideMark/>
          </w:tcPr>
          <w:p w:rsidR="00E75C2B" w:rsidRDefault="00E75C2B" w:rsidP="009B2A14">
            <w:pPr>
              <w:spacing w:after="0"/>
              <w:jc w:val="center"/>
              <w:rPr>
                <w:rFonts w:cs="Times New Roman"/>
                <w:sz w:val="18"/>
                <w:szCs w:val="18"/>
              </w:rPr>
            </w:pPr>
            <w:r>
              <w:rPr>
                <w:rFonts w:cs="Times New Roman"/>
                <w:sz w:val="18"/>
                <w:szCs w:val="18"/>
              </w:rPr>
              <w:t>Not reported</w:t>
            </w:r>
          </w:p>
        </w:tc>
      </w:tr>
      <w:tr w:rsidR="000278C4" w:rsidRPr="000459A8" w:rsidTr="00130F93">
        <w:trPr>
          <w:trHeight w:val="463"/>
          <w:jc w:val="center"/>
        </w:trPr>
        <w:tc>
          <w:tcPr>
            <w:tcW w:w="1052" w:type="dxa"/>
            <w:shd w:val="clear" w:color="auto" w:fill="auto"/>
            <w:vAlign w:val="center"/>
            <w:hideMark/>
          </w:tcPr>
          <w:p w:rsidR="000278C4" w:rsidRDefault="000278C4" w:rsidP="009B2A14">
            <w:pPr>
              <w:spacing w:after="0"/>
              <w:jc w:val="center"/>
              <w:rPr>
                <w:rFonts w:eastAsia="Times New Roman"/>
                <w:sz w:val="18"/>
                <w:szCs w:val="18"/>
              </w:rPr>
            </w:pPr>
            <w:r>
              <w:rPr>
                <w:rFonts w:eastAsia="Times New Roman"/>
                <w:sz w:val="18"/>
                <w:szCs w:val="18"/>
              </w:rPr>
              <w:t>Liao, 2021</w:t>
            </w:r>
          </w:p>
        </w:tc>
        <w:tc>
          <w:tcPr>
            <w:tcW w:w="3100" w:type="dxa"/>
            <w:shd w:val="clear" w:color="auto" w:fill="auto"/>
            <w:vAlign w:val="center"/>
            <w:hideMark/>
          </w:tcPr>
          <w:p w:rsidR="000278C4" w:rsidRDefault="000278C4" w:rsidP="000278C4">
            <w:pPr>
              <w:autoSpaceDE w:val="0"/>
              <w:autoSpaceDN w:val="0"/>
              <w:adjustRightInd w:val="0"/>
              <w:spacing w:before="0" w:after="0"/>
              <w:jc w:val="center"/>
              <w:rPr>
                <w:sz w:val="16"/>
                <w:szCs w:val="16"/>
              </w:rPr>
            </w:pPr>
            <w:r>
              <w:rPr>
                <w:sz w:val="16"/>
                <w:szCs w:val="16"/>
              </w:rPr>
              <w:t>qRT-PCR (</w:t>
            </w:r>
            <w:r>
              <w:rPr>
                <w:rFonts w:ascii="AdvGulliv-R" w:hAnsi="AdvGulliv-R" w:cs="AdvGulliv-R"/>
                <w:sz w:val="16"/>
                <w:szCs w:val="16"/>
                <w:lang w:val="en-GB"/>
              </w:rPr>
              <w:t>SYBR</w:t>
            </w:r>
            <w:r>
              <w:rPr>
                <w:rFonts w:ascii="AdvPSSym" w:hAnsi="AdvPSSym" w:cs="AdvPSSym"/>
                <w:sz w:val="11"/>
                <w:szCs w:val="11"/>
                <w:lang w:val="en-GB"/>
              </w:rPr>
              <w:t xml:space="preserve">_ </w:t>
            </w:r>
            <w:r>
              <w:rPr>
                <w:rFonts w:ascii="AdvGulliv-R" w:hAnsi="AdvGulliv-R" w:cs="AdvGulliv-R"/>
                <w:sz w:val="16"/>
                <w:szCs w:val="16"/>
                <w:lang w:val="en-GB"/>
              </w:rPr>
              <w:t>Premix Ex Taq</w:t>
            </w:r>
            <w:r>
              <w:rPr>
                <w:rFonts w:ascii="AdvGulliv-R" w:hAnsi="AdvGulliv-R" w:cs="AdvGulliv-R"/>
                <w:sz w:val="11"/>
                <w:szCs w:val="11"/>
                <w:lang w:val="en-GB"/>
              </w:rPr>
              <w:t xml:space="preserve">TM </w:t>
            </w:r>
            <w:r>
              <w:rPr>
                <w:rFonts w:ascii="AdvGulliv-R" w:hAnsi="AdvGulliv-R" w:cs="AdvGulliv-R"/>
                <w:sz w:val="16"/>
                <w:szCs w:val="16"/>
                <w:lang w:val="en-GB"/>
              </w:rPr>
              <w:t xml:space="preserve">II (Takara) on an ABI 7900HT fast PCR real-time system (Applied Biosystems, Foster </w:t>
            </w:r>
            <w:r>
              <w:rPr>
                <w:rFonts w:ascii="AdvGulliv-R" w:hAnsi="AdvGulliv-R" w:cs="AdvGulliv-R"/>
                <w:sz w:val="16"/>
                <w:szCs w:val="16"/>
                <w:lang w:val="en-GB"/>
              </w:rPr>
              <w:lastRenderedPageBreak/>
              <w:t>City, CA, USA)</w:t>
            </w:r>
            <w:r>
              <w:rPr>
                <w:sz w:val="16"/>
                <w:szCs w:val="16"/>
              </w:rPr>
              <w:t>)</w:t>
            </w:r>
          </w:p>
        </w:tc>
        <w:tc>
          <w:tcPr>
            <w:tcW w:w="4280" w:type="dxa"/>
            <w:shd w:val="clear" w:color="auto" w:fill="auto"/>
            <w:vAlign w:val="center"/>
            <w:hideMark/>
          </w:tcPr>
          <w:p w:rsidR="000278C4" w:rsidRDefault="000278C4" w:rsidP="00C21E30">
            <w:pPr>
              <w:autoSpaceDE w:val="0"/>
              <w:autoSpaceDN w:val="0"/>
              <w:adjustRightInd w:val="0"/>
              <w:spacing w:before="0" w:after="0"/>
              <w:jc w:val="center"/>
              <w:rPr>
                <w:rFonts w:cs="Times New Roman"/>
                <w:sz w:val="16"/>
                <w:szCs w:val="16"/>
              </w:rPr>
            </w:pPr>
            <w:r>
              <w:rPr>
                <w:rFonts w:cs="Times New Roman"/>
                <w:sz w:val="16"/>
                <w:szCs w:val="16"/>
              </w:rPr>
              <w:lastRenderedPageBreak/>
              <w:t>Not reported</w:t>
            </w:r>
          </w:p>
        </w:tc>
        <w:tc>
          <w:tcPr>
            <w:tcW w:w="1099" w:type="dxa"/>
            <w:shd w:val="clear" w:color="auto" w:fill="auto"/>
            <w:vAlign w:val="center"/>
            <w:hideMark/>
          </w:tcPr>
          <w:p w:rsidR="000278C4" w:rsidRDefault="000278C4" w:rsidP="009B2A14">
            <w:pPr>
              <w:spacing w:after="0"/>
              <w:jc w:val="center"/>
              <w:rPr>
                <w:rFonts w:eastAsia="Times New Roman"/>
                <w:sz w:val="18"/>
                <w:szCs w:val="18"/>
              </w:rPr>
            </w:pPr>
          </w:p>
        </w:tc>
        <w:tc>
          <w:tcPr>
            <w:tcW w:w="1836" w:type="dxa"/>
            <w:shd w:val="clear" w:color="auto" w:fill="auto"/>
            <w:noWrap/>
            <w:vAlign w:val="center"/>
            <w:hideMark/>
          </w:tcPr>
          <w:p w:rsidR="000278C4" w:rsidRDefault="000278C4" w:rsidP="009B2A14">
            <w:pPr>
              <w:spacing w:after="0"/>
              <w:jc w:val="center"/>
              <w:rPr>
                <w:rFonts w:cs="Times New Roman"/>
                <w:sz w:val="18"/>
                <w:szCs w:val="18"/>
              </w:rPr>
            </w:pPr>
            <w:r>
              <w:rPr>
                <w:rFonts w:cs="Times New Roman"/>
                <w:sz w:val="18"/>
                <w:szCs w:val="18"/>
              </w:rPr>
              <w:t>U6</w:t>
            </w:r>
          </w:p>
        </w:tc>
      </w:tr>
      <w:tr w:rsidR="003E0471" w:rsidRPr="000459A8" w:rsidTr="00130F93">
        <w:trPr>
          <w:trHeight w:val="463"/>
          <w:jc w:val="center"/>
        </w:trPr>
        <w:tc>
          <w:tcPr>
            <w:tcW w:w="1052" w:type="dxa"/>
            <w:shd w:val="clear" w:color="auto" w:fill="auto"/>
            <w:vAlign w:val="center"/>
            <w:hideMark/>
          </w:tcPr>
          <w:p w:rsidR="003E0471" w:rsidRDefault="00356D19" w:rsidP="009B2A14">
            <w:pPr>
              <w:spacing w:after="0"/>
              <w:jc w:val="center"/>
              <w:rPr>
                <w:rFonts w:eastAsia="Times New Roman"/>
                <w:sz w:val="18"/>
                <w:szCs w:val="18"/>
              </w:rPr>
            </w:pPr>
            <w:r>
              <w:rPr>
                <w:rFonts w:eastAsia="Times New Roman"/>
                <w:sz w:val="18"/>
                <w:szCs w:val="18"/>
              </w:rPr>
              <w:lastRenderedPageBreak/>
              <w:t>Luizon, 2021</w:t>
            </w:r>
          </w:p>
        </w:tc>
        <w:tc>
          <w:tcPr>
            <w:tcW w:w="3100" w:type="dxa"/>
            <w:shd w:val="clear" w:color="auto" w:fill="auto"/>
            <w:vAlign w:val="center"/>
            <w:hideMark/>
          </w:tcPr>
          <w:p w:rsidR="00000000" w:rsidRDefault="00E33D6E">
            <w:pPr>
              <w:autoSpaceDE w:val="0"/>
              <w:autoSpaceDN w:val="0"/>
              <w:adjustRightInd w:val="0"/>
              <w:spacing w:before="0" w:after="0"/>
              <w:jc w:val="center"/>
              <w:rPr>
                <w:rFonts w:cs="Times New Roman"/>
                <w:sz w:val="16"/>
                <w:szCs w:val="16"/>
                <w:lang w:val="en-GB"/>
              </w:rPr>
            </w:pPr>
            <w:r w:rsidRPr="00E33D6E">
              <w:rPr>
                <w:rFonts w:cs="Times New Roman"/>
                <w:sz w:val="16"/>
                <w:szCs w:val="16"/>
                <w:lang w:val="en-GB"/>
              </w:rPr>
              <w:t>The QIAGEN’s GeneGlobe Data Analysis Center (https://</w:t>
            </w:r>
          </w:p>
          <w:p w:rsidR="003E0471" w:rsidRDefault="00E33D6E" w:rsidP="00356D19">
            <w:pPr>
              <w:autoSpaceDE w:val="0"/>
              <w:autoSpaceDN w:val="0"/>
              <w:adjustRightInd w:val="0"/>
              <w:spacing w:before="0" w:after="0"/>
              <w:jc w:val="center"/>
              <w:rPr>
                <w:sz w:val="16"/>
                <w:szCs w:val="16"/>
              </w:rPr>
            </w:pPr>
            <w:r w:rsidRPr="00E33D6E">
              <w:rPr>
                <w:rFonts w:cs="Times New Roman"/>
                <w:sz w:val="16"/>
                <w:szCs w:val="16"/>
                <w:lang w:val="en-GB"/>
              </w:rPr>
              <w:t>geneglobe.qiagen.com/us/analyze/) online platform</w:t>
            </w:r>
          </w:p>
        </w:tc>
        <w:tc>
          <w:tcPr>
            <w:tcW w:w="4280" w:type="dxa"/>
            <w:shd w:val="clear" w:color="auto" w:fill="auto"/>
            <w:vAlign w:val="center"/>
            <w:hideMark/>
          </w:tcPr>
          <w:p w:rsidR="003E0471" w:rsidRDefault="00356D19"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3E0471" w:rsidRDefault="003E0471" w:rsidP="009B2A14">
            <w:pPr>
              <w:spacing w:after="0"/>
              <w:jc w:val="center"/>
              <w:rPr>
                <w:rFonts w:eastAsia="Times New Roman"/>
                <w:sz w:val="18"/>
                <w:szCs w:val="18"/>
              </w:rPr>
            </w:pPr>
          </w:p>
        </w:tc>
        <w:tc>
          <w:tcPr>
            <w:tcW w:w="1836" w:type="dxa"/>
            <w:shd w:val="clear" w:color="auto" w:fill="auto"/>
            <w:noWrap/>
            <w:vAlign w:val="center"/>
            <w:hideMark/>
          </w:tcPr>
          <w:p w:rsidR="003E0471" w:rsidRDefault="00356D19" w:rsidP="009B2A14">
            <w:pPr>
              <w:spacing w:after="0"/>
              <w:jc w:val="center"/>
              <w:rPr>
                <w:rFonts w:cs="Times New Roman"/>
                <w:sz w:val="18"/>
                <w:szCs w:val="18"/>
              </w:rPr>
            </w:pPr>
            <w:r>
              <w:rPr>
                <w:rFonts w:cs="Times New Roman"/>
                <w:sz w:val="18"/>
                <w:szCs w:val="18"/>
              </w:rPr>
              <w:t>Not reported</w:t>
            </w:r>
          </w:p>
        </w:tc>
      </w:tr>
      <w:tr w:rsidR="00B407E7" w:rsidRPr="000459A8" w:rsidTr="00130F93">
        <w:trPr>
          <w:trHeight w:val="463"/>
          <w:jc w:val="center"/>
        </w:trPr>
        <w:tc>
          <w:tcPr>
            <w:tcW w:w="1052" w:type="dxa"/>
            <w:shd w:val="clear" w:color="auto" w:fill="auto"/>
            <w:vAlign w:val="center"/>
            <w:hideMark/>
          </w:tcPr>
          <w:p w:rsidR="00B407E7" w:rsidRDefault="00B407E7" w:rsidP="009B2A14">
            <w:pPr>
              <w:spacing w:after="0"/>
              <w:jc w:val="center"/>
              <w:rPr>
                <w:rFonts w:eastAsia="Times New Roman"/>
                <w:sz w:val="18"/>
                <w:szCs w:val="18"/>
              </w:rPr>
            </w:pPr>
            <w:r>
              <w:rPr>
                <w:rFonts w:eastAsia="Times New Roman"/>
                <w:sz w:val="18"/>
                <w:szCs w:val="18"/>
              </w:rPr>
              <w:t>Mao, 2021</w:t>
            </w:r>
          </w:p>
        </w:tc>
        <w:tc>
          <w:tcPr>
            <w:tcW w:w="3100" w:type="dxa"/>
            <w:shd w:val="clear" w:color="auto" w:fill="auto"/>
            <w:vAlign w:val="center"/>
            <w:hideMark/>
          </w:tcPr>
          <w:p w:rsidR="00B407E7" w:rsidRPr="00356D19" w:rsidRDefault="00B407E7" w:rsidP="00356D19">
            <w:pPr>
              <w:autoSpaceDE w:val="0"/>
              <w:autoSpaceDN w:val="0"/>
              <w:adjustRightInd w:val="0"/>
              <w:spacing w:before="0" w:after="0"/>
              <w:jc w:val="center"/>
              <w:rPr>
                <w:rFonts w:cs="Times New Roman"/>
                <w:sz w:val="16"/>
                <w:szCs w:val="16"/>
                <w:lang w:val="en-GB"/>
              </w:rPr>
            </w:pPr>
            <w:r>
              <w:rPr>
                <w:rFonts w:cs="Times New Roman"/>
                <w:sz w:val="16"/>
                <w:szCs w:val="16"/>
                <w:lang w:val="en-GB"/>
              </w:rPr>
              <w:t>qRT-PCR (</w:t>
            </w:r>
            <w:r>
              <w:rPr>
                <w:sz w:val="16"/>
                <w:szCs w:val="16"/>
              </w:rPr>
              <w:t>TaqMan</w:t>
            </w:r>
            <w:r>
              <w:rPr>
                <w:rFonts w:ascii="Times New Roman PSMT" w:hAnsi="Times New Roman PSMT" w:cs="Times New Roman PSMT"/>
                <w:sz w:val="16"/>
                <w:szCs w:val="16"/>
              </w:rPr>
              <w:t xml:space="preserve">® </w:t>
            </w:r>
            <w:r>
              <w:rPr>
                <w:sz w:val="16"/>
                <w:szCs w:val="16"/>
              </w:rPr>
              <w:t>MicroRNA real-time PCR Assay reagents was carried out (Applied Biosystems; Foster City, CA, USA)</w:t>
            </w:r>
            <w:r>
              <w:rPr>
                <w:rFonts w:cs="Times New Roman"/>
                <w:sz w:val="16"/>
                <w:szCs w:val="16"/>
                <w:lang w:val="en-GB"/>
              </w:rPr>
              <w:t>)</w:t>
            </w:r>
          </w:p>
        </w:tc>
        <w:tc>
          <w:tcPr>
            <w:tcW w:w="4280" w:type="dxa"/>
            <w:shd w:val="clear" w:color="auto" w:fill="auto"/>
            <w:vAlign w:val="center"/>
            <w:hideMark/>
          </w:tcPr>
          <w:p w:rsidR="00B407E7" w:rsidRDefault="00B407E7"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B407E7" w:rsidRDefault="00B407E7" w:rsidP="009B2A14">
            <w:pPr>
              <w:spacing w:after="0"/>
              <w:jc w:val="center"/>
              <w:rPr>
                <w:rFonts w:eastAsia="Times New Roman"/>
                <w:sz w:val="18"/>
                <w:szCs w:val="18"/>
              </w:rPr>
            </w:pPr>
          </w:p>
        </w:tc>
        <w:tc>
          <w:tcPr>
            <w:tcW w:w="1836" w:type="dxa"/>
            <w:shd w:val="clear" w:color="auto" w:fill="auto"/>
            <w:noWrap/>
            <w:vAlign w:val="center"/>
            <w:hideMark/>
          </w:tcPr>
          <w:p w:rsidR="009D4B45" w:rsidRDefault="00B407E7" w:rsidP="009B2A14">
            <w:pPr>
              <w:spacing w:after="0"/>
              <w:jc w:val="center"/>
              <w:rPr>
                <w:rFonts w:cs="Times New Roman"/>
                <w:sz w:val="18"/>
                <w:szCs w:val="18"/>
              </w:rPr>
            </w:pPr>
            <w:r>
              <w:rPr>
                <w:rFonts w:cs="Times New Roman"/>
                <w:sz w:val="18"/>
                <w:szCs w:val="18"/>
              </w:rPr>
              <w:t>U6</w:t>
            </w:r>
          </w:p>
        </w:tc>
      </w:tr>
      <w:tr w:rsidR="009D4B45" w:rsidRPr="000459A8" w:rsidTr="00130F93">
        <w:trPr>
          <w:trHeight w:val="463"/>
          <w:jc w:val="center"/>
        </w:trPr>
        <w:tc>
          <w:tcPr>
            <w:tcW w:w="1052" w:type="dxa"/>
            <w:shd w:val="clear" w:color="auto" w:fill="auto"/>
            <w:vAlign w:val="center"/>
            <w:hideMark/>
          </w:tcPr>
          <w:p w:rsidR="009D4B45" w:rsidRDefault="009D4B45" w:rsidP="009B2A14">
            <w:pPr>
              <w:spacing w:after="0"/>
              <w:jc w:val="center"/>
              <w:rPr>
                <w:rFonts w:eastAsia="Times New Roman"/>
                <w:sz w:val="18"/>
                <w:szCs w:val="18"/>
              </w:rPr>
            </w:pPr>
            <w:r>
              <w:rPr>
                <w:rFonts w:eastAsia="Times New Roman"/>
                <w:sz w:val="18"/>
                <w:szCs w:val="18"/>
              </w:rPr>
              <w:t>Martinez-Fierro, 2021</w:t>
            </w:r>
          </w:p>
        </w:tc>
        <w:tc>
          <w:tcPr>
            <w:tcW w:w="3100" w:type="dxa"/>
            <w:shd w:val="clear" w:color="auto" w:fill="auto"/>
            <w:vAlign w:val="center"/>
            <w:hideMark/>
          </w:tcPr>
          <w:p w:rsidR="009D4B45" w:rsidRDefault="00E33D6E" w:rsidP="009D4B45">
            <w:pPr>
              <w:autoSpaceDE w:val="0"/>
              <w:autoSpaceDN w:val="0"/>
              <w:adjustRightInd w:val="0"/>
              <w:spacing w:before="0" w:after="0"/>
              <w:jc w:val="center"/>
              <w:rPr>
                <w:rFonts w:cs="Times New Roman"/>
                <w:sz w:val="16"/>
                <w:szCs w:val="16"/>
                <w:lang w:val="en-GB"/>
              </w:rPr>
            </w:pPr>
            <w:r w:rsidRPr="00E33D6E">
              <w:rPr>
                <w:rFonts w:cs="Times New Roman"/>
                <w:sz w:val="16"/>
                <w:szCs w:val="16"/>
                <w:lang w:val="en-GB"/>
              </w:rPr>
              <w:t>TaqMan human microRNA array set v2.0 (Applied Biosystems,</w:t>
            </w:r>
            <w:r w:rsidR="009D4B45">
              <w:rPr>
                <w:rFonts w:cs="Times New Roman"/>
                <w:sz w:val="16"/>
                <w:szCs w:val="16"/>
                <w:lang w:val="en-GB"/>
              </w:rPr>
              <w:t xml:space="preserve"> </w:t>
            </w:r>
            <w:r w:rsidRPr="00E33D6E">
              <w:rPr>
                <w:rFonts w:cs="Times New Roman"/>
                <w:sz w:val="16"/>
                <w:szCs w:val="16"/>
                <w:lang w:val="en-GB"/>
              </w:rPr>
              <w:t>Foster City, CA, USA)</w:t>
            </w:r>
          </w:p>
        </w:tc>
        <w:tc>
          <w:tcPr>
            <w:tcW w:w="4280" w:type="dxa"/>
            <w:shd w:val="clear" w:color="auto" w:fill="auto"/>
            <w:vAlign w:val="center"/>
            <w:hideMark/>
          </w:tcPr>
          <w:p w:rsidR="009D4B45" w:rsidRDefault="009C3C88"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9D4B45" w:rsidRDefault="009D4B45" w:rsidP="009B2A14">
            <w:pPr>
              <w:spacing w:after="0"/>
              <w:jc w:val="center"/>
              <w:rPr>
                <w:rFonts w:eastAsia="Times New Roman"/>
                <w:sz w:val="18"/>
                <w:szCs w:val="18"/>
              </w:rPr>
            </w:pPr>
          </w:p>
        </w:tc>
        <w:tc>
          <w:tcPr>
            <w:tcW w:w="1836" w:type="dxa"/>
            <w:shd w:val="clear" w:color="auto" w:fill="auto"/>
            <w:noWrap/>
            <w:vAlign w:val="center"/>
            <w:hideMark/>
          </w:tcPr>
          <w:p w:rsidR="009D4B45" w:rsidRDefault="009C3C88" w:rsidP="009B2A14">
            <w:pPr>
              <w:spacing w:after="0"/>
              <w:jc w:val="center"/>
              <w:rPr>
                <w:rFonts w:cs="Times New Roman"/>
                <w:sz w:val="18"/>
                <w:szCs w:val="18"/>
              </w:rPr>
            </w:pPr>
            <w:r>
              <w:rPr>
                <w:rFonts w:cs="Times New Roman"/>
                <w:sz w:val="18"/>
                <w:szCs w:val="18"/>
              </w:rPr>
              <w:t>Not reported</w:t>
            </w:r>
          </w:p>
        </w:tc>
      </w:tr>
      <w:tr w:rsidR="008542FE" w:rsidRPr="000459A8" w:rsidTr="00130F93">
        <w:trPr>
          <w:trHeight w:val="463"/>
          <w:jc w:val="center"/>
        </w:trPr>
        <w:tc>
          <w:tcPr>
            <w:tcW w:w="1052" w:type="dxa"/>
            <w:shd w:val="clear" w:color="auto" w:fill="auto"/>
            <w:vAlign w:val="center"/>
            <w:hideMark/>
          </w:tcPr>
          <w:p w:rsidR="008542FE" w:rsidRDefault="008542FE" w:rsidP="009B2A14">
            <w:pPr>
              <w:spacing w:after="0"/>
              <w:jc w:val="center"/>
              <w:rPr>
                <w:rFonts w:eastAsia="Times New Roman"/>
                <w:sz w:val="18"/>
                <w:szCs w:val="18"/>
              </w:rPr>
            </w:pPr>
            <w:r>
              <w:rPr>
                <w:rFonts w:eastAsia="Times New Roman"/>
                <w:sz w:val="18"/>
                <w:szCs w:val="18"/>
              </w:rPr>
              <w:t>Peng, 2021</w:t>
            </w:r>
          </w:p>
        </w:tc>
        <w:tc>
          <w:tcPr>
            <w:tcW w:w="3100" w:type="dxa"/>
            <w:shd w:val="clear" w:color="auto" w:fill="auto"/>
            <w:vAlign w:val="center"/>
            <w:hideMark/>
          </w:tcPr>
          <w:p w:rsidR="008542FE" w:rsidRDefault="008542FE" w:rsidP="009D4B45">
            <w:pPr>
              <w:autoSpaceDE w:val="0"/>
              <w:autoSpaceDN w:val="0"/>
              <w:adjustRightInd w:val="0"/>
              <w:spacing w:before="0" w:after="0"/>
              <w:jc w:val="center"/>
              <w:rPr>
                <w:rFonts w:cs="Times New Roman"/>
                <w:sz w:val="16"/>
                <w:szCs w:val="16"/>
                <w:lang w:val="en-GB"/>
              </w:rPr>
            </w:pPr>
            <w:r>
              <w:rPr>
                <w:rFonts w:cs="Times New Roman"/>
                <w:sz w:val="16"/>
                <w:szCs w:val="16"/>
                <w:lang w:val="en-GB"/>
              </w:rPr>
              <w:t>qRT-PC</w:t>
            </w:r>
          </w:p>
        </w:tc>
        <w:tc>
          <w:tcPr>
            <w:tcW w:w="4280" w:type="dxa"/>
            <w:shd w:val="clear" w:color="auto" w:fill="auto"/>
            <w:vAlign w:val="center"/>
            <w:hideMark/>
          </w:tcPr>
          <w:p w:rsidR="008542FE" w:rsidRDefault="008542FE"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8542FE" w:rsidRDefault="008542FE" w:rsidP="009B2A14">
            <w:pPr>
              <w:spacing w:after="0"/>
              <w:jc w:val="center"/>
              <w:rPr>
                <w:rFonts w:eastAsia="Times New Roman"/>
                <w:sz w:val="18"/>
                <w:szCs w:val="18"/>
              </w:rPr>
            </w:pPr>
          </w:p>
        </w:tc>
        <w:tc>
          <w:tcPr>
            <w:tcW w:w="1836" w:type="dxa"/>
            <w:shd w:val="clear" w:color="auto" w:fill="auto"/>
            <w:noWrap/>
            <w:vAlign w:val="center"/>
            <w:hideMark/>
          </w:tcPr>
          <w:p w:rsidR="008542FE" w:rsidRDefault="008542FE" w:rsidP="009B2A14">
            <w:pPr>
              <w:spacing w:after="0"/>
              <w:jc w:val="center"/>
              <w:rPr>
                <w:rFonts w:cs="Times New Roman"/>
                <w:sz w:val="18"/>
                <w:szCs w:val="18"/>
              </w:rPr>
            </w:pPr>
            <w:r>
              <w:rPr>
                <w:rFonts w:cs="Times New Roman"/>
                <w:sz w:val="18"/>
                <w:szCs w:val="18"/>
              </w:rPr>
              <w:t>U6</w:t>
            </w:r>
          </w:p>
        </w:tc>
      </w:tr>
      <w:tr w:rsidR="008542FE" w:rsidRPr="000459A8" w:rsidTr="00130F93">
        <w:trPr>
          <w:trHeight w:val="463"/>
          <w:jc w:val="center"/>
        </w:trPr>
        <w:tc>
          <w:tcPr>
            <w:tcW w:w="1052" w:type="dxa"/>
            <w:shd w:val="clear" w:color="auto" w:fill="auto"/>
            <w:vAlign w:val="center"/>
            <w:hideMark/>
          </w:tcPr>
          <w:p w:rsidR="008542FE" w:rsidRPr="008542FE" w:rsidRDefault="00E33D6E" w:rsidP="008542FE">
            <w:pPr>
              <w:spacing w:after="0"/>
              <w:jc w:val="center"/>
              <w:rPr>
                <w:rFonts w:eastAsia="Times New Roman" w:cs="Times New Roman"/>
                <w:sz w:val="16"/>
                <w:szCs w:val="16"/>
              </w:rPr>
            </w:pPr>
            <w:r w:rsidRPr="00E33D6E">
              <w:rPr>
                <w:rFonts w:eastAsia="Times New Roman" w:cs="Times New Roman"/>
                <w:sz w:val="16"/>
                <w:szCs w:val="16"/>
              </w:rPr>
              <w:t>Witvrouwen, 2021</w:t>
            </w:r>
          </w:p>
        </w:tc>
        <w:tc>
          <w:tcPr>
            <w:tcW w:w="3100" w:type="dxa"/>
            <w:shd w:val="clear" w:color="auto" w:fill="auto"/>
            <w:vAlign w:val="center"/>
            <w:hideMark/>
          </w:tcPr>
          <w:p w:rsidR="008542FE" w:rsidRPr="008542FE" w:rsidRDefault="008542FE" w:rsidP="008542FE">
            <w:pPr>
              <w:autoSpaceDE w:val="0"/>
              <w:autoSpaceDN w:val="0"/>
              <w:adjustRightInd w:val="0"/>
              <w:spacing w:before="0" w:after="0"/>
              <w:jc w:val="center"/>
              <w:rPr>
                <w:rFonts w:cs="Times New Roman"/>
                <w:sz w:val="16"/>
                <w:szCs w:val="16"/>
                <w:lang w:val="en-GB"/>
              </w:rPr>
            </w:pPr>
            <w:r w:rsidRPr="008542FE">
              <w:rPr>
                <w:rFonts w:cs="Times New Roman"/>
                <w:sz w:val="16"/>
                <w:szCs w:val="16"/>
                <w:lang w:val="en-GB"/>
              </w:rPr>
              <w:t>qRT-PCR (</w:t>
            </w:r>
            <w:r w:rsidR="00E33D6E" w:rsidRPr="00E33D6E">
              <w:rPr>
                <w:rFonts w:cs="Times New Roman"/>
                <w:color w:val="231F20"/>
                <w:sz w:val="16"/>
                <w:szCs w:val="16"/>
              </w:rPr>
              <w:t>TaqMan miRNA primers (Thermo Fisher) and multiplex qPCR was done</w:t>
            </w:r>
            <w:r>
              <w:rPr>
                <w:rFonts w:cs="Times New Roman"/>
                <w:color w:val="231F20"/>
                <w:sz w:val="16"/>
                <w:szCs w:val="16"/>
              </w:rPr>
              <w:t xml:space="preserve"> </w:t>
            </w:r>
            <w:r w:rsidR="00E33D6E" w:rsidRPr="00E33D6E">
              <w:rPr>
                <w:rFonts w:cs="Times New Roman"/>
                <w:color w:val="231F20"/>
                <w:sz w:val="16"/>
                <w:szCs w:val="16"/>
              </w:rPr>
              <w:t>in a CFX96 thermal cycler (Bio-Rad)</w:t>
            </w:r>
            <w:r w:rsidRPr="008542FE">
              <w:rPr>
                <w:rFonts w:cs="Times New Roman"/>
                <w:sz w:val="16"/>
                <w:szCs w:val="16"/>
                <w:lang w:val="en-GB"/>
              </w:rPr>
              <w:t>)</w:t>
            </w:r>
          </w:p>
        </w:tc>
        <w:tc>
          <w:tcPr>
            <w:tcW w:w="4280" w:type="dxa"/>
            <w:shd w:val="clear" w:color="auto" w:fill="auto"/>
            <w:vAlign w:val="center"/>
            <w:hideMark/>
          </w:tcPr>
          <w:p w:rsidR="008542FE" w:rsidRDefault="008542FE"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8542FE" w:rsidRDefault="008542FE" w:rsidP="009B2A14">
            <w:pPr>
              <w:spacing w:after="0"/>
              <w:jc w:val="center"/>
              <w:rPr>
                <w:rFonts w:eastAsia="Times New Roman"/>
                <w:sz w:val="18"/>
                <w:szCs w:val="18"/>
              </w:rPr>
            </w:pPr>
          </w:p>
        </w:tc>
        <w:tc>
          <w:tcPr>
            <w:tcW w:w="1836" w:type="dxa"/>
            <w:shd w:val="clear" w:color="auto" w:fill="auto"/>
            <w:noWrap/>
            <w:vAlign w:val="center"/>
            <w:hideMark/>
          </w:tcPr>
          <w:p w:rsidR="008542FE" w:rsidRPr="008542FE" w:rsidRDefault="00E33D6E" w:rsidP="009B2A14">
            <w:pPr>
              <w:spacing w:after="0"/>
              <w:jc w:val="center"/>
              <w:rPr>
                <w:rFonts w:cs="Times New Roman"/>
                <w:sz w:val="16"/>
                <w:szCs w:val="16"/>
              </w:rPr>
            </w:pPr>
            <w:r w:rsidRPr="00E33D6E">
              <w:rPr>
                <w:rFonts w:cs="Times New Roman"/>
                <w:color w:val="231F20"/>
                <w:sz w:val="16"/>
                <w:szCs w:val="16"/>
              </w:rPr>
              <w:t>spike-in Cel-miR-39</w:t>
            </w:r>
          </w:p>
        </w:tc>
      </w:tr>
      <w:tr w:rsidR="001863DB" w:rsidRPr="000459A8" w:rsidTr="00130F93">
        <w:trPr>
          <w:trHeight w:val="463"/>
          <w:jc w:val="center"/>
        </w:trPr>
        <w:tc>
          <w:tcPr>
            <w:tcW w:w="1052" w:type="dxa"/>
            <w:shd w:val="clear" w:color="auto" w:fill="auto"/>
            <w:vAlign w:val="center"/>
            <w:hideMark/>
          </w:tcPr>
          <w:p w:rsidR="001863DB" w:rsidRPr="008542FE" w:rsidRDefault="001863DB" w:rsidP="008542FE">
            <w:pPr>
              <w:spacing w:after="0"/>
              <w:jc w:val="center"/>
              <w:rPr>
                <w:rFonts w:eastAsia="Times New Roman" w:cs="Times New Roman"/>
                <w:sz w:val="16"/>
                <w:szCs w:val="16"/>
              </w:rPr>
            </w:pPr>
            <w:r>
              <w:rPr>
                <w:rFonts w:eastAsia="Times New Roman" w:cs="Times New Roman"/>
                <w:sz w:val="16"/>
                <w:szCs w:val="16"/>
              </w:rPr>
              <w:t>Xu, 2021</w:t>
            </w:r>
          </w:p>
        </w:tc>
        <w:tc>
          <w:tcPr>
            <w:tcW w:w="3100" w:type="dxa"/>
            <w:shd w:val="clear" w:color="auto" w:fill="auto"/>
            <w:vAlign w:val="center"/>
            <w:hideMark/>
          </w:tcPr>
          <w:p w:rsidR="00000000" w:rsidRDefault="00E33D6E">
            <w:pPr>
              <w:autoSpaceDE w:val="0"/>
              <w:autoSpaceDN w:val="0"/>
              <w:adjustRightInd w:val="0"/>
              <w:spacing w:before="0" w:after="0"/>
              <w:jc w:val="center"/>
              <w:rPr>
                <w:rFonts w:eastAsia="Lato-Regular" w:cs="Times New Roman"/>
                <w:sz w:val="16"/>
                <w:szCs w:val="16"/>
              </w:rPr>
            </w:pPr>
            <w:r w:rsidRPr="00E33D6E">
              <w:rPr>
                <w:rFonts w:eastAsia="Lato-Regular" w:cs="Times New Roman"/>
                <w:sz w:val="16"/>
                <w:szCs w:val="16"/>
              </w:rPr>
              <w:t>qRT-PC (SYBR-miR-39cycler (Bi</w:t>
            </w:r>
          </w:p>
          <w:p w:rsidR="00000000" w:rsidRDefault="00E33D6E">
            <w:pPr>
              <w:autoSpaceDE w:val="0"/>
              <w:autoSpaceDN w:val="0"/>
              <w:adjustRightInd w:val="0"/>
              <w:spacing w:before="0" w:after="0"/>
              <w:jc w:val="center"/>
              <w:rPr>
                <w:rFonts w:eastAsia="Lato-Regular" w:cs="Times New Roman"/>
                <w:sz w:val="16"/>
                <w:szCs w:val="16"/>
              </w:rPr>
            </w:pPr>
            <w:r w:rsidRPr="00E33D6E">
              <w:rPr>
                <w:rFonts w:eastAsia="Lato-Regular" w:cs="Times New Roman"/>
                <w:sz w:val="16"/>
                <w:szCs w:val="16"/>
              </w:rPr>
              <w:t>II (Perfect Real Time) kit (DRR081) on the ABI7500 quantitative PCR instrument</w:t>
            </w:r>
          </w:p>
          <w:p w:rsidR="001863DB" w:rsidRPr="001863DB" w:rsidRDefault="00E33D6E" w:rsidP="001863DB">
            <w:pPr>
              <w:autoSpaceDE w:val="0"/>
              <w:autoSpaceDN w:val="0"/>
              <w:adjustRightInd w:val="0"/>
              <w:spacing w:before="0" w:after="0"/>
              <w:jc w:val="center"/>
              <w:rPr>
                <w:rFonts w:cs="Times New Roman"/>
                <w:sz w:val="16"/>
                <w:szCs w:val="16"/>
                <w:lang w:val="en-GB"/>
              </w:rPr>
            </w:pPr>
            <w:r w:rsidRPr="00E33D6E">
              <w:rPr>
                <w:rFonts w:eastAsia="Lato-Regular" w:cs="Times New Roman"/>
                <w:sz w:val="16"/>
                <w:szCs w:val="16"/>
              </w:rPr>
              <w:t>(ABI))</w:t>
            </w:r>
          </w:p>
        </w:tc>
        <w:tc>
          <w:tcPr>
            <w:tcW w:w="4280" w:type="dxa"/>
            <w:shd w:val="clear" w:color="auto" w:fill="auto"/>
            <w:vAlign w:val="center"/>
            <w:hideMark/>
          </w:tcPr>
          <w:p w:rsidR="001863DB" w:rsidRDefault="002755B9"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1863DB" w:rsidRDefault="001863DB" w:rsidP="009B2A14">
            <w:pPr>
              <w:spacing w:after="0"/>
              <w:jc w:val="center"/>
              <w:rPr>
                <w:rFonts w:eastAsia="Times New Roman"/>
                <w:sz w:val="18"/>
                <w:szCs w:val="18"/>
              </w:rPr>
            </w:pPr>
          </w:p>
        </w:tc>
        <w:tc>
          <w:tcPr>
            <w:tcW w:w="1836" w:type="dxa"/>
            <w:shd w:val="clear" w:color="auto" w:fill="auto"/>
            <w:noWrap/>
            <w:vAlign w:val="center"/>
            <w:hideMark/>
          </w:tcPr>
          <w:p w:rsidR="001863DB" w:rsidRPr="008542FE" w:rsidRDefault="002755B9" w:rsidP="009B2A14">
            <w:pPr>
              <w:spacing w:after="0"/>
              <w:jc w:val="center"/>
              <w:rPr>
                <w:rFonts w:cs="Times New Roman"/>
                <w:color w:val="231F20"/>
                <w:sz w:val="16"/>
                <w:szCs w:val="16"/>
              </w:rPr>
            </w:pPr>
            <w:r>
              <w:rPr>
                <w:rFonts w:cs="Times New Roman"/>
                <w:color w:val="231F20"/>
                <w:sz w:val="16"/>
                <w:szCs w:val="16"/>
              </w:rPr>
              <w:t>U6</w:t>
            </w:r>
          </w:p>
        </w:tc>
      </w:tr>
      <w:tr w:rsidR="005E25E7" w:rsidRPr="000459A8" w:rsidTr="00130F93">
        <w:trPr>
          <w:trHeight w:val="463"/>
          <w:jc w:val="center"/>
        </w:trPr>
        <w:tc>
          <w:tcPr>
            <w:tcW w:w="1052" w:type="dxa"/>
            <w:shd w:val="clear" w:color="auto" w:fill="auto"/>
            <w:vAlign w:val="center"/>
            <w:hideMark/>
          </w:tcPr>
          <w:p w:rsidR="005E25E7" w:rsidRDefault="005E25E7" w:rsidP="008542FE">
            <w:pPr>
              <w:spacing w:after="0"/>
              <w:jc w:val="center"/>
              <w:rPr>
                <w:rFonts w:eastAsia="Times New Roman" w:cs="Times New Roman"/>
                <w:sz w:val="16"/>
                <w:szCs w:val="16"/>
              </w:rPr>
            </w:pPr>
            <w:r>
              <w:rPr>
                <w:rFonts w:eastAsia="Times New Roman" w:cs="Times New Roman"/>
                <w:sz w:val="16"/>
                <w:szCs w:val="16"/>
              </w:rPr>
              <w:t>Yu, 2021</w:t>
            </w:r>
          </w:p>
        </w:tc>
        <w:tc>
          <w:tcPr>
            <w:tcW w:w="3100" w:type="dxa"/>
            <w:shd w:val="clear" w:color="auto" w:fill="auto"/>
            <w:vAlign w:val="center"/>
            <w:hideMark/>
          </w:tcPr>
          <w:p w:rsidR="005E25E7" w:rsidRPr="001863DB" w:rsidRDefault="005E25E7" w:rsidP="001863DB">
            <w:pPr>
              <w:autoSpaceDE w:val="0"/>
              <w:autoSpaceDN w:val="0"/>
              <w:adjustRightInd w:val="0"/>
              <w:spacing w:before="0" w:after="0"/>
              <w:jc w:val="center"/>
              <w:rPr>
                <w:rFonts w:eastAsia="Lato-Regular" w:cs="Times New Roman"/>
                <w:sz w:val="16"/>
                <w:szCs w:val="16"/>
              </w:rPr>
            </w:pPr>
            <w:r>
              <w:rPr>
                <w:rFonts w:eastAsia="Lato-Regular" w:cs="Times New Roman"/>
                <w:sz w:val="16"/>
                <w:szCs w:val="16"/>
              </w:rPr>
              <w:t>qRT-PCR</w:t>
            </w:r>
          </w:p>
        </w:tc>
        <w:tc>
          <w:tcPr>
            <w:tcW w:w="4280" w:type="dxa"/>
            <w:shd w:val="clear" w:color="auto" w:fill="auto"/>
            <w:vAlign w:val="center"/>
            <w:hideMark/>
          </w:tcPr>
          <w:p w:rsidR="005E25E7" w:rsidRDefault="005E25E7"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5E25E7" w:rsidRDefault="005E25E7" w:rsidP="009B2A14">
            <w:pPr>
              <w:spacing w:after="0"/>
              <w:jc w:val="center"/>
              <w:rPr>
                <w:rFonts w:eastAsia="Times New Roman"/>
                <w:sz w:val="18"/>
                <w:szCs w:val="18"/>
              </w:rPr>
            </w:pPr>
          </w:p>
        </w:tc>
        <w:tc>
          <w:tcPr>
            <w:tcW w:w="1836" w:type="dxa"/>
            <w:shd w:val="clear" w:color="auto" w:fill="auto"/>
            <w:noWrap/>
            <w:vAlign w:val="center"/>
            <w:hideMark/>
          </w:tcPr>
          <w:p w:rsidR="005E25E7" w:rsidRDefault="005E25E7" w:rsidP="009B2A14">
            <w:pPr>
              <w:spacing w:after="0"/>
              <w:jc w:val="center"/>
              <w:rPr>
                <w:rFonts w:cs="Times New Roman"/>
                <w:color w:val="231F20"/>
                <w:sz w:val="16"/>
                <w:szCs w:val="16"/>
              </w:rPr>
            </w:pPr>
            <w:r>
              <w:rPr>
                <w:rFonts w:cs="Times New Roman"/>
                <w:color w:val="231F20"/>
                <w:sz w:val="16"/>
                <w:szCs w:val="16"/>
              </w:rPr>
              <w:t>U6</w:t>
            </w:r>
          </w:p>
        </w:tc>
      </w:tr>
      <w:tr w:rsidR="00F93515" w:rsidRPr="000459A8" w:rsidTr="00130F93">
        <w:trPr>
          <w:trHeight w:val="463"/>
          <w:jc w:val="center"/>
        </w:trPr>
        <w:tc>
          <w:tcPr>
            <w:tcW w:w="1052" w:type="dxa"/>
            <w:shd w:val="clear" w:color="auto" w:fill="auto"/>
            <w:vAlign w:val="center"/>
            <w:hideMark/>
          </w:tcPr>
          <w:p w:rsidR="00F93515" w:rsidRDefault="00F93515" w:rsidP="008542FE">
            <w:pPr>
              <w:spacing w:after="0"/>
              <w:jc w:val="center"/>
              <w:rPr>
                <w:rFonts w:eastAsia="Times New Roman" w:cs="Times New Roman"/>
                <w:sz w:val="16"/>
                <w:szCs w:val="16"/>
              </w:rPr>
            </w:pPr>
            <w:r>
              <w:rPr>
                <w:rFonts w:eastAsia="Times New Roman" w:cs="Times New Roman"/>
                <w:sz w:val="16"/>
                <w:szCs w:val="16"/>
              </w:rPr>
              <w:t>Zhao, 2021</w:t>
            </w:r>
          </w:p>
        </w:tc>
        <w:tc>
          <w:tcPr>
            <w:tcW w:w="3100" w:type="dxa"/>
            <w:shd w:val="clear" w:color="auto" w:fill="auto"/>
            <w:vAlign w:val="center"/>
            <w:hideMark/>
          </w:tcPr>
          <w:p w:rsidR="00F93515" w:rsidRDefault="00F93515" w:rsidP="001863DB">
            <w:pPr>
              <w:autoSpaceDE w:val="0"/>
              <w:autoSpaceDN w:val="0"/>
              <w:adjustRightInd w:val="0"/>
              <w:spacing w:before="0" w:after="0"/>
              <w:jc w:val="center"/>
              <w:rPr>
                <w:rFonts w:eastAsia="Lato-Regular" w:cs="Times New Roman"/>
                <w:sz w:val="16"/>
                <w:szCs w:val="16"/>
              </w:rPr>
            </w:pPr>
            <w:r>
              <w:rPr>
                <w:rFonts w:eastAsia="Lato-Regular" w:cs="Times New Roman"/>
                <w:sz w:val="16"/>
                <w:szCs w:val="16"/>
              </w:rPr>
              <w:t>qRT-PCR</w:t>
            </w:r>
          </w:p>
        </w:tc>
        <w:tc>
          <w:tcPr>
            <w:tcW w:w="4280" w:type="dxa"/>
            <w:shd w:val="clear" w:color="auto" w:fill="auto"/>
            <w:vAlign w:val="center"/>
            <w:hideMark/>
          </w:tcPr>
          <w:p w:rsidR="00F93515" w:rsidRDefault="00F93515"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F93515" w:rsidRDefault="00F93515" w:rsidP="009B2A14">
            <w:pPr>
              <w:spacing w:after="0"/>
              <w:jc w:val="center"/>
              <w:rPr>
                <w:rFonts w:eastAsia="Times New Roman"/>
                <w:sz w:val="18"/>
                <w:szCs w:val="18"/>
              </w:rPr>
            </w:pPr>
          </w:p>
        </w:tc>
        <w:tc>
          <w:tcPr>
            <w:tcW w:w="1836" w:type="dxa"/>
            <w:shd w:val="clear" w:color="auto" w:fill="auto"/>
            <w:noWrap/>
            <w:vAlign w:val="center"/>
            <w:hideMark/>
          </w:tcPr>
          <w:p w:rsidR="00F93515" w:rsidRDefault="00F93515" w:rsidP="009B2A14">
            <w:pPr>
              <w:spacing w:after="0"/>
              <w:jc w:val="center"/>
              <w:rPr>
                <w:rFonts w:cs="Times New Roman"/>
                <w:color w:val="231F20"/>
                <w:sz w:val="16"/>
                <w:szCs w:val="16"/>
              </w:rPr>
            </w:pPr>
            <w:r>
              <w:rPr>
                <w:rFonts w:cs="Times New Roman"/>
                <w:color w:val="231F20"/>
                <w:sz w:val="16"/>
                <w:szCs w:val="16"/>
              </w:rPr>
              <w:t>U6</w:t>
            </w:r>
          </w:p>
        </w:tc>
      </w:tr>
      <w:tr w:rsidR="00E51E34" w:rsidRPr="000459A8" w:rsidTr="00130F93">
        <w:trPr>
          <w:trHeight w:val="463"/>
          <w:jc w:val="center"/>
        </w:trPr>
        <w:tc>
          <w:tcPr>
            <w:tcW w:w="1052" w:type="dxa"/>
            <w:shd w:val="clear" w:color="auto" w:fill="auto"/>
            <w:vAlign w:val="center"/>
            <w:hideMark/>
          </w:tcPr>
          <w:p w:rsidR="00E51E34" w:rsidRDefault="00E51E34" w:rsidP="008542FE">
            <w:pPr>
              <w:spacing w:after="0"/>
              <w:jc w:val="center"/>
              <w:rPr>
                <w:rFonts w:eastAsia="Times New Roman" w:cs="Times New Roman"/>
                <w:sz w:val="16"/>
                <w:szCs w:val="16"/>
              </w:rPr>
            </w:pPr>
            <w:r>
              <w:rPr>
                <w:rFonts w:eastAsia="Times New Roman" w:cs="Times New Roman"/>
                <w:sz w:val="16"/>
                <w:szCs w:val="16"/>
              </w:rPr>
              <w:t>Zhao, 2021</w:t>
            </w:r>
          </w:p>
        </w:tc>
        <w:tc>
          <w:tcPr>
            <w:tcW w:w="3100" w:type="dxa"/>
            <w:shd w:val="clear" w:color="auto" w:fill="auto"/>
            <w:vAlign w:val="center"/>
            <w:hideMark/>
          </w:tcPr>
          <w:p w:rsidR="00E51E34" w:rsidRDefault="00E51E34" w:rsidP="001863DB">
            <w:pPr>
              <w:autoSpaceDE w:val="0"/>
              <w:autoSpaceDN w:val="0"/>
              <w:adjustRightInd w:val="0"/>
              <w:spacing w:before="0" w:after="0"/>
              <w:jc w:val="center"/>
              <w:rPr>
                <w:rFonts w:eastAsia="Lato-Regular" w:cs="Times New Roman"/>
                <w:sz w:val="16"/>
                <w:szCs w:val="16"/>
              </w:rPr>
            </w:pPr>
            <w:r>
              <w:rPr>
                <w:rFonts w:eastAsia="Lato-Regular" w:cs="Times New Roman"/>
                <w:sz w:val="16"/>
                <w:szCs w:val="16"/>
              </w:rPr>
              <w:t>qRT-PCR</w:t>
            </w:r>
          </w:p>
        </w:tc>
        <w:tc>
          <w:tcPr>
            <w:tcW w:w="4280" w:type="dxa"/>
            <w:shd w:val="clear" w:color="auto" w:fill="auto"/>
            <w:vAlign w:val="center"/>
            <w:hideMark/>
          </w:tcPr>
          <w:p w:rsidR="00E51E34" w:rsidRDefault="00E51E34"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E51E34" w:rsidRDefault="00E51E34" w:rsidP="009B2A14">
            <w:pPr>
              <w:spacing w:after="0"/>
              <w:jc w:val="center"/>
              <w:rPr>
                <w:rFonts w:eastAsia="Times New Roman"/>
                <w:sz w:val="18"/>
                <w:szCs w:val="18"/>
              </w:rPr>
            </w:pPr>
          </w:p>
        </w:tc>
        <w:tc>
          <w:tcPr>
            <w:tcW w:w="1836" w:type="dxa"/>
            <w:shd w:val="clear" w:color="auto" w:fill="auto"/>
            <w:noWrap/>
            <w:vAlign w:val="center"/>
            <w:hideMark/>
          </w:tcPr>
          <w:p w:rsidR="00E51E34" w:rsidRDefault="00E51E34" w:rsidP="009B2A14">
            <w:pPr>
              <w:spacing w:after="0"/>
              <w:jc w:val="center"/>
              <w:rPr>
                <w:rFonts w:cs="Times New Roman"/>
                <w:color w:val="231F20"/>
                <w:sz w:val="16"/>
                <w:szCs w:val="16"/>
              </w:rPr>
            </w:pPr>
            <w:r>
              <w:rPr>
                <w:rFonts w:cs="Times New Roman"/>
                <w:color w:val="231F20"/>
                <w:sz w:val="16"/>
                <w:szCs w:val="16"/>
              </w:rPr>
              <w:t>U6</w:t>
            </w:r>
          </w:p>
        </w:tc>
      </w:tr>
      <w:tr w:rsidR="00737FA8" w:rsidRPr="000459A8" w:rsidTr="00130F93">
        <w:trPr>
          <w:trHeight w:val="463"/>
          <w:jc w:val="center"/>
        </w:trPr>
        <w:tc>
          <w:tcPr>
            <w:tcW w:w="1052" w:type="dxa"/>
            <w:shd w:val="clear" w:color="auto" w:fill="auto"/>
            <w:vAlign w:val="center"/>
            <w:hideMark/>
          </w:tcPr>
          <w:p w:rsidR="00737FA8" w:rsidRDefault="00737FA8" w:rsidP="008542FE">
            <w:pPr>
              <w:spacing w:after="0"/>
              <w:jc w:val="center"/>
              <w:rPr>
                <w:rFonts w:eastAsia="Times New Roman" w:cs="Times New Roman"/>
                <w:sz w:val="16"/>
                <w:szCs w:val="16"/>
              </w:rPr>
            </w:pPr>
            <w:r>
              <w:rPr>
                <w:rFonts w:eastAsia="Times New Roman" w:cs="Times New Roman"/>
                <w:sz w:val="16"/>
                <w:szCs w:val="16"/>
              </w:rPr>
              <w:t>Zhu, 2021</w:t>
            </w:r>
          </w:p>
        </w:tc>
        <w:tc>
          <w:tcPr>
            <w:tcW w:w="3100" w:type="dxa"/>
            <w:shd w:val="clear" w:color="auto" w:fill="auto"/>
            <w:vAlign w:val="center"/>
            <w:hideMark/>
          </w:tcPr>
          <w:p w:rsidR="00737FA8" w:rsidRDefault="00737FA8" w:rsidP="001863DB">
            <w:pPr>
              <w:autoSpaceDE w:val="0"/>
              <w:autoSpaceDN w:val="0"/>
              <w:adjustRightInd w:val="0"/>
              <w:spacing w:before="0" w:after="0"/>
              <w:jc w:val="center"/>
              <w:rPr>
                <w:rFonts w:eastAsia="Lato-Regular" w:cs="Times New Roman"/>
                <w:sz w:val="16"/>
                <w:szCs w:val="16"/>
              </w:rPr>
            </w:pPr>
            <w:r>
              <w:rPr>
                <w:rFonts w:eastAsia="Lato-Regular" w:cs="Times New Roman"/>
                <w:sz w:val="16"/>
                <w:szCs w:val="16"/>
              </w:rPr>
              <w:t>qRT-PCR</w:t>
            </w:r>
          </w:p>
        </w:tc>
        <w:tc>
          <w:tcPr>
            <w:tcW w:w="4280" w:type="dxa"/>
            <w:shd w:val="clear" w:color="auto" w:fill="auto"/>
            <w:vAlign w:val="center"/>
            <w:hideMark/>
          </w:tcPr>
          <w:p w:rsidR="00737FA8" w:rsidRDefault="00737FA8"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737FA8" w:rsidRDefault="00737FA8" w:rsidP="009B2A14">
            <w:pPr>
              <w:spacing w:after="0"/>
              <w:jc w:val="center"/>
              <w:rPr>
                <w:rFonts w:eastAsia="Times New Roman"/>
                <w:sz w:val="18"/>
                <w:szCs w:val="18"/>
              </w:rPr>
            </w:pPr>
          </w:p>
        </w:tc>
        <w:tc>
          <w:tcPr>
            <w:tcW w:w="1836" w:type="dxa"/>
            <w:shd w:val="clear" w:color="auto" w:fill="auto"/>
            <w:noWrap/>
            <w:vAlign w:val="center"/>
            <w:hideMark/>
          </w:tcPr>
          <w:p w:rsidR="00737FA8" w:rsidRDefault="00737FA8" w:rsidP="009B2A14">
            <w:pPr>
              <w:spacing w:after="0"/>
              <w:jc w:val="center"/>
              <w:rPr>
                <w:rFonts w:cs="Times New Roman"/>
                <w:color w:val="231F20"/>
                <w:sz w:val="16"/>
                <w:szCs w:val="16"/>
              </w:rPr>
            </w:pPr>
            <w:r>
              <w:rPr>
                <w:rFonts w:cs="Times New Roman"/>
                <w:color w:val="231F20"/>
                <w:sz w:val="16"/>
                <w:szCs w:val="16"/>
              </w:rPr>
              <w:t>U6</w:t>
            </w:r>
          </w:p>
        </w:tc>
      </w:tr>
      <w:tr w:rsidR="008019DB" w:rsidRPr="000459A8" w:rsidTr="00130F93">
        <w:trPr>
          <w:trHeight w:val="463"/>
          <w:jc w:val="center"/>
        </w:trPr>
        <w:tc>
          <w:tcPr>
            <w:tcW w:w="1052" w:type="dxa"/>
            <w:shd w:val="clear" w:color="auto" w:fill="auto"/>
            <w:vAlign w:val="center"/>
            <w:hideMark/>
          </w:tcPr>
          <w:p w:rsidR="008019DB" w:rsidRDefault="008019DB" w:rsidP="008542FE">
            <w:pPr>
              <w:spacing w:after="0"/>
              <w:jc w:val="center"/>
              <w:rPr>
                <w:rFonts w:eastAsia="Times New Roman" w:cs="Times New Roman"/>
                <w:sz w:val="16"/>
                <w:szCs w:val="16"/>
              </w:rPr>
            </w:pPr>
            <w:r>
              <w:rPr>
                <w:rFonts w:eastAsia="Times New Roman" w:cs="Times New Roman"/>
                <w:sz w:val="16"/>
                <w:szCs w:val="16"/>
              </w:rPr>
              <w:t>Zolfaghari, 2021</w:t>
            </w:r>
          </w:p>
        </w:tc>
        <w:tc>
          <w:tcPr>
            <w:tcW w:w="3100" w:type="dxa"/>
            <w:shd w:val="clear" w:color="auto" w:fill="auto"/>
            <w:vAlign w:val="center"/>
            <w:hideMark/>
          </w:tcPr>
          <w:p w:rsidR="008019DB" w:rsidRDefault="008019DB" w:rsidP="001863DB">
            <w:pPr>
              <w:autoSpaceDE w:val="0"/>
              <w:autoSpaceDN w:val="0"/>
              <w:adjustRightInd w:val="0"/>
              <w:spacing w:before="0" w:after="0"/>
              <w:jc w:val="center"/>
              <w:rPr>
                <w:rFonts w:eastAsia="Lato-Regular" w:cs="Times New Roman"/>
                <w:sz w:val="16"/>
                <w:szCs w:val="16"/>
              </w:rPr>
            </w:pPr>
            <w:r>
              <w:rPr>
                <w:rFonts w:eastAsia="Lato-Regular" w:cs="Times New Roman"/>
                <w:sz w:val="16"/>
                <w:szCs w:val="16"/>
              </w:rPr>
              <w:t>qRT-PCR</w:t>
            </w:r>
          </w:p>
        </w:tc>
        <w:tc>
          <w:tcPr>
            <w:tcW w:w="4280" w:type="dxa"/>
            <w:shd w:val="clear" w:color="auto" w:fill="auto"/>
            <w:vAlign w:val="center"/>
            <w:hideMark/>
          </w:tcPr>
          <w:p w:rsidR="008019DB" w:rsidRDefault="008019DB" w:rsidP="00C21E30">
            <w:pPr>
              <w:autoSpaceDE w:val="0"/>
              <w:autoSpaceDN w:val="0"/>
              <w:adjustRightInd w:val="0"/>
              <w:spacing w:before="0" w:after="0"/>
              <w:jc w:val="center"/>
              <w:rPr>
                <w:rFonts w:cs="Times New Roman"/>
                <w:sz w:val="16"/>
                <w:szCs w:val="16"/>
              </w:rPr>
            </w:pPr>
            <w:r>
              <w:rPr>
                <w:rFonts w:cs="Times New Roman"/>
                <w:sz w:val="16"/>
                <w:szCs w:val="16"/>
              </w:rPr>
              <w:t>Not reported</w:t>
            </w:r>
          </w:p>
        </w:tc>
        <w:tc>
          <w:tcPr>
            <w:tcW w:w="1099" w:type="dxa"/>
            <w:shd w:val="clear" w:color="auto" w:fill="auto"/>
            <w:vAlign w:val="center"/>
            <w:hideMark/>
          </w:tcPr>
          <w:p w:rsidR="008019DB" w:rsidRDefault="008019DB" w:rsidP="009B2A14">
            <w:pPr>
              <w:spacing w:after="0"/>
              <w:jc w:val="center"/>
              <w:rPr>
                <w:rFonts w:eastAsia="Times New Roman"/>
                <w:sz w:val="18"/>
                <w:szCs w:val="18"/>
              </w:rPr>
            </w:pPr>
          </w:p>
        </w:tc>
        <w:tc>
          <w:tcPr>
            <w:tcW w:w="1836" w:type="dxa"/>
            <w:shd w:val="clear" w:color="auto" w:fill="auto"/>
            <w:noWrap/>
            <w:vAlign w:val="center"/>
            <w:hideMark/>
          </w:tcPr>
          <w:p w:rsidR="008019DB" w:rsidRDefault="008019DB" w:rsidP="009B2A14">
            <w:pPr>
              <w:spacing w:after="0"/>
              <w:jc w:val="center"/>
              <w:rPr>
                <w:rFonts w:cs="Times New Roman"/>
                <w:color w:val="231F20"/>
                <w:sz w:val="16"/>
                <w:szCs w:val="16"/>
              </w:rPr>
            </w:pPr>
            <w:r>
              <w:rPr>
                <w:rFonts w:cs="Times New Roman"/>
                <w:color w:val="231F20"/>
                <w:sz w:val="16"/>
                <w:szCs w:val="16"/>
              </w:rPr>
              <w:t>Not reported</w:t>
            </w:r>
          </w:p>
        </w:tc>
      </w:tr>
    </w:tbl>
    <w:p w:rsidR="007E715C" w:rsidRDefault="007E715C" w:rsidP="000C4759">
      <w:pPr>
        <w:spacing w:before="0" w:after="200" w:line="276" w:lineRule="auto"/>
        <w:rPr>
          <w:szCs w:val="24"/>
        </w:rPr>
        <w:sectPr w:rsidR="007E715C" w:rsidSect="00F800A3">
          <w:pgSz w:w="12240" w:h="15840"/>
          <w:pgMar w:top="1138" w:right="1181" w:bottom="1138" w:left="1282" w:header="720" w:footer="720" w:gutter="0"/>
          <w:cols w:space="720"/>
          <w:titlePg/>
          <w:docGrid w:linePitch="360"/>
        </w:sectPr>
      </w:pPr>
    </w:p>
    <w:p w:rsidR="006D38DA" w:rsidRDefault="006D38DA" w:rsidP="006D38DA">
      <w:pPr>
        <w:rPr>
          <w:szCs w:val="24"/>
        </w:rPr>
      </w:pPr>
      <w:r>
        <w:rPr>
          <w:szCs w:val="24"/>
        </w:rPr>
        <w:lastRenderedPageBreak/>
        <w:t xml:space="preserve">Table </w:t>
      </w:r>
      <w:r w:rsidR="003F696B">
        <w:rPr>
          <w:szCs w:val="24"/>
        </w:rPr>
        <w:t>S</w:t>
      </w:r>
      <w:r>
        <w:rPr>
          <w:szCs w:val="24"/>
        </w:rPr>
        <w:t>5. Major findings for more severe PE</w:t>
      </w:r>
    </w:p>
    <w:tbl>
      <w:tblPr>
        <w:tblStyle w:val="TableGrid"/>
        <w:tblW w:w="11822" w:type="dxa"/>
        <w:jc w:val="center"/>
        <w:tblLayout w:type="fixed"/>
        <w:tblLook w:val="04A0"/>
      </w:tblPr>
      <w:tblGrid>
        <w:gridCol w:w="886"/>
        <w:gridCol w:w="2136"/>
        <w:gridCol w:w="2859"/>
        <w:gridCol w:w="1173"/>
        <w:gridCol w:w="2977"/>
        <w:gridCol w:w="1791"/>
      </w:tblGrid>
      <w:tr w:rsidR="00460963" w:rsidRPr="00F80C43" w:rsidTr="00B00CA2">
        <w:trPr>
          <w:cantSplit/>
          <w:jc w:val="center"/>
        </w:trPr>
        <w:tc>
          <w:tcPr>
            <w:tcW w:w="886" w:type="dxa"/>
            <w:vAlign w:val="center"/>
          </w:tcPr>
          <w:p w:rsidR="00460963" w:rsidRPr="008C316A" w:rsidRDefault="00460963" w:rsidP="009B2A14">
            <w:pPr>
              <w:spacing w:after="0"/>
              <w:jc w:val="center"/>
              <w:rPr>
                <w:b/>
                <w:sz w:val="18"/>
                <w:szCs w:val="18"/>
              </w:rPr>
            </w:pPr>
            <w:r w:rsidRPr="008C316A">
              <w:rPr>
                <w:b/>
                <w:sz w:val="18"/>
                <w:szCs w:val="18"/>
              </w:rPr>
              <w:t>miRNK</w:t>
            </w:r>
          </w:p>
        </w:tc>
        <w:tc>
          <w:tcPr>
            <w:tcW w:w="2136" w:type="dxa"/>
            <w:vAlign w:val="center"/>
          </w:tcPr>
          <w:p w:rsidR="00460963" w:rsidRPr="008C316A" w:rsidRDefault="00460963" w:rsidP="009B2A14">
            <w:pPr>
              <w:spacing w:after="0"/>
              <w:jc w:val="center"/>
              <w:rPr>
                <w:b/>
                <w:sz w:val="18"/>
                <w:szCs w:val="18"/>
              </w:rPr>
            </w:pPr>
            <w:r w:rsidRPr="008C316A">
              <w:rPr>
                <w:b/>
                <w:sz w:val="18"/>
                <w:szCs w:val="18"/>
              </w:rPr>
              <w:t>tissue</w:t>
            </w:r>
          </w:p>
        </w:tc>
        <w:tc>
          <w:tcPr>
            <w:tcW w:w="2859" w:type="dxa"/>
            <w:vAlign w:val="center"/>
          </w:tcPr>
          <w:p w:rsidR="00460963" w:rsidRPr="008C316A" w:rsidRDefault="00460963" w:rsidP="009B2A14">
            <w:pPr>
              <w:spacing w:after="0"/>
              <w:jc w:val="center"/>
              <w:rPr>
                <w:b/>
                <w:sz w:val="18"/>
                <w:szCs w:val="18"/>
              </w:rPr>
            </w:pPr>
            <w:r w:rsidRPr="008C316A">
              <w:rPr>
                <w:b/>
                <w:sz w:val="18"/>
                <w:szCs w:val="18"/>
              </w:rPr>
              <w:t>Up/Down</w:t>
            </w:r>
          </w:p>
        </w:tc>
        <w:tc>
          <w:tcPr>
            <w:tcW w:w="1173" w:type="dxa"/>
            <w:vAlign w:val="center"/>
          </w:tcPr>
          <w:p w:rsidR="00460963" w:rsidRPr="008C316A" w:rsidRDefault="00460963" w:rsidP="009B2A14">
            <w:pPr>
              <w:spacing w:after="0"/>
              <w:jc w:val="center"/>
              <w:rPr>
                <w:b/>
                <w:sz w:val="18"/>
                <w:szCs w:val="18"/>
              </w:rPr>
            </w:pPr>
            <w:r w:rsidRPr="008C316A">
              <w:rPr>
                <w:b/>
                <w:sz w:val="18"/>
                <w:szCs w:val="18"/>
              </w:rPr>
              <w:t>Sig.</w:t>
            </w:r>
          </w:p>
        </w:tc>
        <w:tc>
          <w:tcPr>
            <w:tcW w:w="2977" w:type="dxa"/>
          </w:tcPr>
          <w:p w:rsidR="00460963" w:rsidRPr="008C316A" w:rsidRDefault="00296202" w:rsidP="009B2A14">
            <w:pPr>
              <w:spacing w:after="0"/>
              <w:jc w:val="center"/>
              <w:rPr>
                <w:b/>
                <w:sz w:val="18"/>
                <w:szCs w:val="18"/>
              </w:rPr>
            </w:pPr>
            <w:r>
              <w:rPr>
                <w:b/>
                <w:sz w:val="18"/>
                <w:szCs w:val="18"/>
              </w:rPr>
              <w:t>Study</w:t>
            </w:r>
          </w:p>
        </w:tc>
        <w:tc>
          <w:tcPr>
            <w:tcW w:w="1791" w:type="dxa"/>
            <w:vAlign w:val="center"/>
          </w:tcPr>
          <w:p w:rsidR="00460963" w:rsidRPr="008C316A" w:rsidRDefault="00460963" w:rsidP="009B2A14">
            <w:pPr>
              <w:spacing w:after="0"/>
              <w:jc w:val="center"/>
              <w:rPr>
                <w:b/>
                <w:sz w:val="18"/>
                <w:szCs w:val="18"/>
              </w:rPr>
            </w:pPr>
            <w:r w:rsidRPr="008C316A">
              <w:rPr>
                <w:b/>
                <w:sz w:val="18"/>
                <w:szCs w:val="18"/>
              </w:rPr>
              <w:t>Ref.</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F80C43">
              <w:rPr>
                <w:sz w:val="18"/>
                <w:szCs w:val="18"/>
              </w:rPr>
              <w:t>182</w:t>
            </w:r>
          </w:p>
        </w:tc>
        <w:tc>
          <w:tcPr>
            <w:tcW w:w="2136" w:type="dxa"/>
            <w:vAlign w:val="center"/>
          </w:tcPr>
          <w:p w:rsidR="00460963" w:rsidRPr="00F80C43" w:rsidRDefault="00460963" w:rsidP="009B2A14">
            <w:pPr>
              <w:spacing w:after="0"/>
              <w:jc w:val="center"/>
              <w:rPr>
                <w:sz w:val="18"/>
                <w:szCs w:val="18"/>
              </w:rPr>
            </w:pPr>
            <w:r>
              <w:rPr>
                <w:sz w:val="18"/>
                <w:szCs w:val="18"/>
              </w:rPr>
              <w:t>Placenta</w:t>
            </w:r>
          </w:p>
        </w:tc>
        <w:tc>
          <w:tcPr>
            <w:tcW w:w="2859" w:type="dxa"/>
            <w:vAlign w:val="center"/>
          </w:tcPr>
          <w:p w:rsidR="00460963" w:rsidRPr="00F80C43" w:rsidRDefault="00460963" w:rsidP="009B2A14">
            <w:pPr>
              <w:spacing w:after="0"/>
              <w:jc w:val="center"/>
              <w:rPr>
                <w:sz w:val="18"/>
                <w:szCs w:val="18"/>
              </w:rPr>
            </w:pPr>
            <w:r w:rsidRPr="00F80C43">
              <w:rPr>
                <w:color w:val="000000"/>
                <w:sz w:val="18"/>
                <w:szCs w:val="18"/>
              </w:rPr>
              <w:t>Up in sPE</w:t>
            </w:r>
          </w:p>
        </w:tc>
        <w:tc>
          <w:tcPr>
            <w:tcW w:w="1173" w:type="dxa"/>
            <w:vAlign w:val="center"/>
          </w:tcPr>
          <w:p w:rsidR="00460963" w:rsidRPr="00F80C43" w:rsidRDefault="00460963" w:rsidP="009B2A14">
            <w:pPr>
              <w:spacing w:after="0"/>
              <w:jc w:val="center"/>
              <w:rPr>
                <w:sz w:val="18"/>
                <w:szCs w:val="18"/>
              </w:rPr>
            </w:pPr>
            <w:r w:rsidRPr="00F80C43">
              <w:rPr>
                <w:color w:val="000000"/>
                <w:sz w:val="18"/>
                <w:szCs w:val="18"/>
              </w:rPr>
              <w:t>yes (p&lt;0.10)</w:t>
            </w:r>
          </w:p>
        </w:tc>
        <w:tc>
          <w:tcPr>
            <w:tcW w:w="2977" w:type="dxa"/>
          </w:tcPr>
          <w:p w:rsidR="00460963" w:rsidRDefault="00E33D6E" w:rsidP="009B2A14">
            <w:pPr>
              <w:spacing w:after="0"/>
              <w:jc w:val="center"/>
              <w:rPr>
                <w:sz w:val="18"/>
                <w:szCs w:val="18"/>
              </w:rPr>
            </w:pPr>
            <w:r>
              <w:rPr>
                <w:sz w:val="18"/>
                <w:szCs w:val="18"/>
              </w:rPr>
              <w:fldChar w:fldCharType="begin" w:fldLock="1"/>
            </w:r>
            <w:r w:rsidR="00460963">
              <w:rPr>
                <w:sz w:val="18"/>
                <w:szCs w:val="18"/>
              </w:rPr>
              <w:instrText>ADDIN CSL_CITATION {"citationItems":[{"id":"ITEM-1","itemData":{"DOI":"10.1016/j.ajog.2007.01.008","abstract":"Objective: Preeclampsia and small-for-gestational age (SGA) neonates have partially overlapping clinicopathologic features. MicroRNAs (miRNAs) are critical posttranscriptional regulators of gene expression. This study was performed to determine whether preeclampsia and SGA are associated with alterations in placental miRNA expression. Study design: Placentas were obtained from patients with (1) preeclampsia (n = 9); (2) SGA (n = 9); (3) preeclampsia + SGA (n = 9); and (4) a control group with spontaneous preterm labor and delivery (PTL; n = 9). The expression of 157 miRNAs was assessed by real-time quantitative reverse transcription-polymerase chain reaction. Results: Differential expression between preeclampsia and the control group (miR-210, miR-182) and between preeclampsia + SGA and the control group (miR-210, miR-182*, and others) was found. Gene Ontology analysis of the target genes revealed enrichment for specific biological process categories (antiapoptosis: miR-182; regulation of transcription: miR-210). Conclusion: This study reports, for the first time, increased expression of specific placental miRNAs in preeclampsia with and without SGA. The findings also provide novel targets for further investigation of the pathophysiology of preeclampsia. © 2007 Mosby, Inc. All rights reserved.","author":[{"dropping-particle":"","family":"Pineles","given":"Beth L.","non-dropping-particle":"","parse-names":false,"suffix":""},{"dropping-particle":"","family":"Romero","given":"Roberto","non-dropping-particle":"","parse-names":false,"suffix":""},{"dropping-particle":"","family":"Montenegro","given":"Daniel","non-dropping-particle":"","parse-names":false,"suffix":""},{"dropping-particle":"","family":"Tarca","given":"Adi L.","non-dropping-particle":"","parse-names":false,"suffix":""},{"dropping-particle":"","family":"Han","given":"Yu Mi","non-dropping-particle":"","parse-names":false,"suffix":""},{"dropping-particle":"","family":"Kim","given":"Yeon Mee","non-dropping-particle":"","parse-names":false,"suffix":""},{"dropping-particle":"","family":"Draghici","given":"Sorin","non-dropping-particle":"","parse-names":false,"suffix":""},{"dropping-particle":"","family":"Espinoza","given":"Jimmy","non-dropping-particle":"","parse-names":false,"suffix":""},{"dropping-particle":"","family":"Kusanovic","given":"Juan Pedro","non-dropping-particle":"","parse-names":false,"suffix":""},{"dropping-particle":"","family":"Mittal","given":"Pooja","non-dropping-particle":"","parse-names":false,"suffix":""},{"dropping-particle":"","family":"Hassan","given":"Sonia S.","non-dropping-particle":"","parse-names":false,"suffix":""},{"dropping-particle":"","family":"Kim","given":"Chong Jai","non-dropping-particle":"","parse-names":false,"suffix":""}],"container-title":"American Journal of Obstetrics and Gynecology","id":"ITEM-1","issue":"3","issued":{"date-parts":[["2007"]]},"page":"261.e1-261.e6","title":"Distinct subsets of microRNAs are expressed differentially in the human placentas of patients with preeclampsia","type":"article-journal","volume":"196"},"uris":["http://www.mendeley.com/documents/?uuid=42454892-87c6-324a-acee-8b1ea4c9457e"]}],"mendeley":{"formattedCitation":"(Pineles et al., 2007)","plainTextFormattedCitation":"(Pineles et al., 2007)","previouslyFormattedCitation":"(Pineles et al., 2007)"},"properties":{"noteIndex":0},"schema":"https://github.com/citation-style-language/schema/raw/master/csl-citation.json"}</w:instrText>
            </w:r>
            <w:r>
              <w:rPr>
                <w:sz w:val="18"/>
                <w:szCs w:val="18"/>
              </w:rPr>
              <w:fldChar w:fldCharType="separate"/>
            </w:r>
            <w:r w:rsidR="00460963" w:rsidRPr="00460963">
              <w:rPr>
                <w:noProof/>
                <w:sz w:val="18"/>
                <w:szCs w:val="18"/>
              </w:rPr>
              <w:t>(Pineles et al., 2007)</w:t>
            </w:r>
            <w:r>
              <w:rPr>
                <w:sz w:val="18"/>
                <w:szCs w:val="18"/>
              </w:rPr>
              <w:fldChar w:fldCharType="end"/>
            </w:r>
          </w:p>
        </w:tc>
        <w:tc>
          <w:tcPr>
            <w:tcW w:w="1791" w:type="dxa"/>
            <w:vAlign w:val="center"/>
          </w:tcPr>
          <w:p w:rsidR="00460963" w:rsidRPr="00F80C43" w:rsidRDefault="00460963" w:rsidP="009B2A14">
            <w:pPr>
              <w:spacing w:after="0"/>
              <w:jc w:val="center"/>
              <w:rPr>
                <w:sz w:val="18"/>
                <w:szCs w:val="18"/>
              </w:rPr>
            </w:pPr>
            <w:r>
              <w:rPr>
                <w:sz w:val="18"/>
                <w:szCs w:val="18"/>
              </w:rPr>
              <w:t>1</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F80C43">
              <w:rPr>
                <w:sz w:val="18"/>
                <w:szCs w:val="18"/>
              </w:rPr>
              <w:t>210</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(villi)</w:t>
            </w:r>
          </w:p>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(villi)</w:t>
            </w:r>
          </w:p>
          <w:p w:rsidR="00460963"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eciduas-MSCs)</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MPB</w:t>
            </w:r>
          </w:p>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 (villi)</w:t>
            </w:r>
          </w:p>
          <w:p w:rsidR="00460963" w:rsidRPr="007C192F"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F80C43">
              <w:rPr>
                <w:color w:val="000000"/>
                <w:sz w:val="18"/>
                <w:szCs w:val="18"/>
              </w:rPr>
              <w:t>Up in sPE</w:t>
            </w:r>
          </w:p>
          <w:p w:rsidR="00460963" w:rsidRDefault="00460963" w:rsidP="009B2A14">
            <w:pPr>
              <w:spacing w:after="0"/>
              <w:jc w:val="center"/>
              <w:rPr>
                <w:color w:val="000000"/>
                <w:sz w:val="18"/>
                <w:szCs w:val="18"/>
              </w:rPr>
            </w:pPr>
            <w:r w:rsidRPr="00F80C43">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sidRPr="00EB6201">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Pr="00714ACF"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sidRPr="00F80C43">
              <w:rPr>
                <w:color w:val="000000"/>
                <w:sz w:val="18"/>
                <w:szCs w:val="18"/>
              </w:rPr>
              <w:t>yes (p&lt;0.10)</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Pr="00714ACF"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460963">
              <w:rPr>
                <w:sz w:val="18"/>
                <w:szCs w:val="18"/>
              </w:rPr>
              <w:instrText>ADDIN CSL_CITATION {"citationItems":[{"id":"ITEM-1","itemData":{"DOI":"10.1016/j.ajog.2007.01.008","abstract":"Objective: Preeclampsia and small-for-gestational age (SGA) neonates have partially overlapping clinicopathologic features. MicroRNAs (miRNAs) are critical posttranscriptional regulators of gene expression. This study was performed to determine whether preeclampsia and SGA are associated with alterations in placental miRNA expression. Study design: Placentas were obtained from patients with (1) preeclampsia (n = 9); (2) SGA (n = 9); (3) preeclampsia + SGA (n = 9); and (4) a control group with spontaneous preterm labor and delivery (PTL; n = 9). The expression of 157 miRNAs was assessed by real-time quantitative reverse transcription-polymerase chain reaction. Results: Differential expression between preeclampsia and the control group (miR-210, miR-182) and between preeclampsia + SGA and the control group (miR-210, miR-182*, and others) was found. Gene Ontology analysis of the target genes revealed enrichment for specific biological process categories (antiapoptosis: miR-182; regulation of transcription: miR-210). Conclusion: This study reports, for the first time, increased expression of specific placental miRNAs in preeclampsia with and without SGA. The findings also provide novel targets for further investigation of the pathophysiology of preeclampsia. © 2007 Mosby, Inc. All rights reserved.","author":[{"dropping-particle":"","family":"Pineles","given":"Beth L.","non-dropping-particle":"","parse-names":false,"suffix":""},{"dropping-particle":"","family":"Romero","given":"Roberto","non-dropping-particle":"","parse-names":false,"suffix":""},{"dropping-particle":"","family":"Montenegro","given":"Daniel","non-dropping-particle":"","parse-names":false,"suffix":""},{"dropping-particle":"","family":"Tarca","given":"Adi L.","non-dropping-particle":"","parse-names":false,"suffix":""},{"dropping-particle":"","family":"Han","given":"Yu Mi","non-dropping-particle":"","parse-names":false,"suffix":""},{"dropping-particle":"","family":"Kim","given":"Yeon Mee","non-dropping-particle":"","parse-names":false,"suffix":""},{"dropping-particle":"","family":"Draghici","given":"Sorin","non-dropping-particle":"","parse-names":false,"suffix":""},{"dropping-particle":"","family":"Espinoza","given":"Jimmy","non-dropping-particle":"","parse-names":false,"suffix":""},{"dropping-particle":"","family":"Kusanovic","given":"Juan Pedro","non-dropping-particle":"","parse-names":false,"suffix":""},{"dropping-particle":"","family":"Mittal","given":"Pooja","non-dropping-particle":"","parse-names":false,"suffix":""},{"dropping-particle":"","family":"Hassan","given":"Sonia S.","non-dropping-particle":"","parse-names":false,"suffix":""},{"dropping-particle":"","family":"Kim","given":"Chong Jai","non-dropping-particle":"","parse-names":false,"suffix":""}],"container-title":"American Journal of Obstetrics and Gynecology","id":"ITEM-1","issue":"3","issued":{"date-parts":[["2007"]]},"page":"261.e1-261.e6","title":"Distinct subsets of microRNAs are expressed differentially in the human placentas of patients with preeclampsia","type":"article-journal","volume":"196"},"uris":["http://www.mendeley.com/documents/?uuid=42454892-87c6-324a-acee-8b1ea4c9457e"]}],"mendeley":{"formattedCitation":"(Pineles et al., 2007)","plainTextFormattedCitation":"(Pineles et al., 2007)","previouslyFormattedCitation":"(Pineles et al., 2007)"},"properties":{"noteIndex":0},"schema":"https://github.com/citation-style-language/schema/raw/master/csl-citation.json"}</w:instrText>
            </w:r>
            <w:r>
              <w:rPr>
                <w:sz w:val="18"/>
                <w:szCs w:val="18"/>
              </w:rPr>
              <w:fldChar w:fldCharType="separate"/>
            </w:r>
            <w:r w:rsidR="00460963" w:rsidRPr="00460963">
              <w:rPr>
                <w:noProof/>
                <w:sz w:val="18"/>
                <w:szCs w:val="18"/>
              </w:rPr>
              <w:t>(Pineles et al., 2007)</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460963">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460963" w:rsidRPr="00460963">
              <w:rPr>
                <w:noProof/>
                <w:sz w:val="18"/>
                <w:szCs w:val="18"/>
              </w:rPr>
              <w:t>(Zhong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460963">
              <w:rPr>
                <w:sz w:val="18"/>
                <w:szCs w:val="18"/>
              </w:rPr>
              <w:instrText>ADDIN CSL_CITATION {"citationItems":[{"id":"ITEM-1","itemData":{"DOI":"10.1016/j.placenta.2012.07.002","abstract":"Preeclampsia (PE) affects 5-8% of all pregnancies and is associated with significant maternal and fetal morbidity and mortality. Placental mitochondrial dysfunction has been reported in PE. MicroRNAs (miRNA) are small non-coding RNAs that regulate gene expression through mRNA degradation and translational repression. MiR-210 has been previously shown to be upregulated in placentas from pregnancies complicated by PE. We hypothesized that placental mitochondrial dysfunction during PE can be mediated by miR-210. Placentas were collected at term from normotensive pregnancies (CTRL) and those complicated by severe PE (n = 6 each) following c-section (no labor). Villous tissue from PE showed significantly increased levels of HIF-1α compared to CTRL with no change in corresponding mRNA expression but with reduced DNA-binding activity. Mitochondrial complex III was significantly decreased in PE along with significantly reduced protein expression in complex I and IV during PE. Among the four miRNAs tested, miR-210 showed significant up regulation in PE and significant downregulation of its target, ISCU mRNA. To understand the role of miR-210 in PE, loss- and gain-of-function studies were performed using primary trophoblasts. Trophoblasts were transfected with miR-210 inhibitor or pre-miR-210 and mitochondrial function was measured using Seahorse Extracellular Flux Analyzer. Cells transfected with pre-miR-210 showed significant reduction in oxygen consumption. In contrast, transfection of trophoblast with AntagomiR-210 was sufficient to prevent the DFO-mediated respiratory deficiency. These data collectively suggest that miR-210 overexpression during PE could be responsible for placental mitochondria dysfunction. © 2012 Elsevier Ltd. All rights reserved.","author":[{"dropping-particle":"","family":"Muralimanoharan","given":"S.","non-dropping-particle":"","parse-names":false,"suffix":""},{"dropping-particle":"","family":"Maloyan","given":"A.","non-dropping-particle":"","parse-names":false,"suffix":""},{"dropping-particle":"","family":"Mele","given":"J.","non-dropping-particle":"","parse-names":false,"suffix":""},{"dropping-particle":"","family":"Guo","given":"C.","non-dropping-particle":"","parse-names":false,"suffix":""},{"dropping-particle":"","family":"Myatt","given":"L. G.","non-dropping-particle":"","parse-names":false,"suffix":""},{"dropping-particle":"","family":"Myatt","given":"L.","non-dropping-particle":"","parse-names":false,"suffix":""}],"container-title":"Placenta","id":"ITEM-1","issue":"10","issued":{"date-parts":[["2012"]]},"page":"816-823","title":"MIR-210 modulates mitochondrial respiration in placenta with preeclampsia","type":"article-journal","volume":"33"},"uris":["http://www.mendeley.com/documents/?uuid=7d72b5a2-9c94-3b18-a187-15a436f75c4e"]}],"mendeley":{"formattedCitation":"(Muralimanoharan et al., 2012)","plainTextFormattedCitation":"(Muralimanoharan et al., 2012)","previouslyFormattedCitation":"(Muralimanoharan et al., 2012)"},"properties":{"noteIndex":0},"schema":"https://github.com/citation-style-language/schema/raw/master/csl-citation.json"}</w:instrText>
            </w:r>
            <w:r>
              <w:rPr>
                <w:sz w:val="18"/>
                <w:szCs w:val="18"/>
              </w:rPr>
              <w:fldChar w:fldCharType="separate"/>
            </w:r>
            <w:r w:rsidR="00460963" w:rsidRPr="00460963">
              <w:rPr>
                <w:noProof/>
                <w:sz w:val="18"/>
                <w:szCs w:val="18"/>
              </w:rPr>
              <w:t>(Muralimanoharan et al., 2012)</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460963">
              <w:rPr>
                <w:sz w:val="18"/>
                <w:szCs w:val="18"/>
              </w:rPr>
              <w:instrText>ADDIN CSL_CITATION {"citationItems":[{"id":"ITEM-1","itemData":{"DOI":"10.1111/febs.12037","abstract":"Pre-eclampsia is thought to be a systemic disease of maternal endothelial cell dysfunctions. miRNAs regulate various basic biological functions in cells, including stem cells. Mesenchymal stem cells exist in almost all tissues and are the key cellular source for tissue repair and regeneration. Our aims are to investigate whether miRNAs regulate MSCs in fetal-maternal interfaces to influence the pathogenesis of pre-eclampsia. The differential expression of miRNAs in decidua-derived mesenchymal stem cells of all patients with severe pre-eclampsia (n = 20) and normal groups (n = 20) was first screened by microarray analysis and validated by quantitative real-time PCR analysis. The integrated bioinformatics analysis showed that miR-16 showed the highest number of connections in the miRNA GO network and the miRNA gene network. Moreover, over-expressed miR-16 inhibited the proliferation and migration of decidua-derived mesenchymal stem cells and induced cell-cycle arrest by targeting cyclin E1. Interestingly, over-expression of miR-16 by decidua-derived mesenchymal stem cells reduced the ability of human umbilical vein endothelial cells to form blood vessels and reduced the migration of trophoblast cells. Furthermore, decidua-derived mesenchymal stem cell-expressed endothelial growth factor VEGF-A was involved in migration of trophoblast cells and human umbilical vein endothelial cells as well as tube and network formation. Importantly, the levels of cyclin E1 and VEGF-A were negatively correlated with the level of miR-16 expression in decidua-derived mesenchymal stem cells from the patients with severe pre-eclampsia. Together, these data suggest that the alteration of miR-16 expression in decidua-derived mesenchymal stem cells may be involved in the development of pre-eclampsia. © 2012 FEBS.","author":[{"dropping-particle":"","family":"Wang","given":"Yaping","non-dropping-particle":"","parse-names":false,"suffix":""},{"dropping-particle":"","family":"Fan","given":"Hongye","non-dropping-particle":"","parse-names":false,"suffix":""},{"dropping-particle":"","family":"Zhao","given":"Guangfeng","non-dropping-particle":"","parse-names":false,"suffix":""},{"dropping-particle":"","family":"Liu","given":"Dan","non-dropping-particle":"","parse-names":false,"suffix":""},{"dropping-particle":"","family":"Du","given":"Leilei","non-dropping-particle":"","parse-names":false,"suffix":""},{"dropping-particle":"","family":"Wang","given":"Zhiqun","non-dropping-particle":"","parse-names":false,"suffix":""},{"dropping-particle":"","family":"Hu","given":"Yali","non-dropping-particle":"","parse-names":false,"suffix":""},{"dropping-particle":"","family":"Hou","given":"Yayi","non-dropping-particle":"","parse-names":false,"suffix":""}],"container-title":"FEBS Journal","id":"ITEM-1","issue":"24","issued":{"date-parts":[["2012"]]},"page":"4510-4524","title":"MiR-16 inhibits the proliferation and angiogenesis-regulating potential of mesenchymal stem cells in severe pre-eclampsia","type":"article-journal","volume":"279"},"uris":["http://www.mendeley.com/documents/?uuid=8d7fde39-13d1-3398-b9a3-cbda19dd4b60"]}],"mendeley":{"formattedCitation":"(Wang et al., 2012b)","plainTextFormattedCitation":"(Wang et al., 2012b)","previouslyFormattedCitation":"(Wang et al., 2012b)"},"properties":{"noteIndex":0},"schema":"https://github.com/citation-style-language/schema/raw/master/csl-citation.json"}</w:instrText>
            </w:r>
            <w:r>
              <w:rPr>
                <w:sz w:val="18"/>
                <w:szCs w:val="18"/>
              </w:rPr>
              <w:fldChar w:fldCharType="separate"/>
            </w:r>
            <w:r w:rsidR="00460963" w:rsidRPr="00460963">
              <w:rPr>
                <w:noProof/>
                <w:sz w:val="18"/>
                <w:szCs w:val="18"/>
              </w:rPr>
              <w:t>(Wang et al., 2012b)</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{"citationItems":[{"id":"ITEM-1","itemData":{"DOI":"10.1111/j.1582-4934.2011.01291.x","abstract":"Pre-eclampsia is a leading cause of maternal and foetal morbidity and mortality worldwide. Insufficient uteroplacental oxygenation is believed to be responsible for the disease. However, what molecular events involve in hypoxic responses and how they affect placental development remain unclear. Recently, miRNAs have emerged as a new class of molecules in response to hypoxia. We show here that the expression of microRNA-210 (mir-210) is up-regulated in patients with pre-eclampsia, as well as in trophoblast cells cultured under hypoxic conditions. Ectopic expression of mir-210 inhibited the migration and invasion capability of trophoblast cells. Ephrin-A3 and Homeobox-A9, which related with cell migration and vascular remodelling, were then experimentally validated as the functional targets of mir-210 both in vivo and in vitro. Using luciferase reporter, chromatin immunoprecipitation (ChIP) and small interfering RNA (siRNA) experiments, we finally identified a new transcriptional mechanism that the overexpression of mir-210 under hypoxia was regulated by NF-κB transcriptional factor p50, apart from the well-known HIF 1α. Taken together, our study implicates an important role for mir-210 in the molecular mechanism of pre-eclampsia. © 2011 The Authors Journal of Cellular and Molecular Medicine © 2011 Foundation for Cellular and Molecular Medicine/Blackwell Publishing Ltd.","author":[{"dropping-particle":"","family":"Zhang","given":"Yi","non-dropping-particle":"","parse-names":false,"suffix":""},{"dropping-particle":"","family":"Fei","given":"Mingyu","non-dropping-particle":"","parse-names":false,"suffix":""},{"dropping-particle":"","family":"Xue","given":"Geng","non-dropping-particle":"","parse-names":false,"suffix":""},{"dropping-particle":"","family":"Zhou","given":"Qi","non-dropping-particle":"","parse-names":false,"suffix":""},{"dropping-particle":"","family":"Jia","given":"Yin","non-dropping-particle":"","parse-names":false,"suffix":""},{"dropping-particle":"","family":"Li","given":"Li","non-dropping-particle":"","parse-names":false,"suffix":""},{"dropping-particle":"","family":"Xin","given":"Hong","non-dropping-particle":"","parse-names":false,"suffix":""},{"dropping-particle":"","family":"Sun","given":"Shuhan","non-dropping-particle":"","parse-names":false,"suffix":""}],"container-title":"Journal of Cellular and Molecular Medicine","id":"ITEM-1","issue":"2","issued":{"date-parts":[["2012","2"]]},"page":"249-259","title":"Elevated levels of hypoxia-inducible microRNA-210 in pre-eclampsia: New insights into molecular mechanisms for the disease","type":"article-journal","volume":"16"},"uris":["http://www.mendeley.com/documents/?uuid=8e1e833f-02ce-34e7-a3a8-77e8f4291f24"]}],"mendeley":{"formattedCitation":"(Zhang et al., 2012)","plainTextFormattedCitation":"(Zhang et al., 2012)","previouslyFormattedCitation":"(Zhang et al., 2012)"},"properties":{"noteIndex":0},"schema":"https://github.com/citation-style-language/schema/raw/master/csl-citation.json"}</w:instrText>
            </w:r>
            <w:r>
              <w:rPr>
                <w:sz w:val="18"/>
                <w:szCs w:val="18"/>
              </w:rPr>
              <w:fldChar w:fldCharType="separate"/>
            </w:r>
            <w:r w:rsidR="00460963" w:rsidRPr="00460963">
              <w:rPr>
                <w:noProof/>
                <w:sz w:val="18"/>
                <w:szCs w:val="18"/>
              </w:rPr>
              <w:t>(Zhang et al., 2012)</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10.1161/HYPERTENSIONAHA.114.03530","author":[{"dropping-particle":"","family":"Luo","given":"R","non-dropping-particle":"","parse-names":false,"suffix":""},{"dropping-particle":"","family":"Shao","given":"X","non-dropping-particle":"","parse-names":false,"suffix":""},{"dropping-particle":"","family":"Xu","given":"P","non-dropping-particle":"","parse-names":false,"suffix":""},{"dropping-particle":"","family":"Liu","given":"Y","non-dropping-particle":"","parse-names":false,"suffix":""},{"dropping-particle":"","family":"Wang","given":"Y","non-dropping-particle":"","parse-names":false,"suffix":""},{"dropping-particle":"","family":"Zhao","given":"Y","non-dropping-particle":"","parse-names":false,"suffix":""},{"dropping-particle":"","family":"Liu","given":"M","non-dropping-particle":"","parse-names":false,"suffix":""},{"dropping-particle":"","family":"Ji","given":"L","non-dropping-particle":"","parse-names":false,"suffix":""},{"dropping-particle":"","family":"Li","given":"YX","non-dropping-particle":"","parse-names":false,"suffix":""},{"dropping-particle":"","family":"Chang","given":"C","non-dropping-particle":"","parse-names":false,"suffix":""},{"dropping-particle":"","family":"Qiao","given":"J","non-dropping-particle":"","parse-names":false,"suffix":""},{"dropping-particle":"","family":"Peng","given":"C","non-dropping-particle":"","parse-names":false,"suffix":""},{"dropping-particle":"","family":"Wang","given":"YL","non-dropping-particle":"","parse-names":false,"suffix":""}],"container-title":"Hypertension","id":"ITEM-1","issue":"4","issued":{"date-parts":[["2014"]]},"page":"839-45","title":"MicroRNA-210 Contributes to Preeclampsia by Downregulating Potassium Channel","type":"article-journal","volume":"64"},"uris":["http://www.mendeley.com/documents/?uuid=67cb5686-a93f-3921-a78b-381a0d98f67d"]}],"mendeley":{"formattedCitation":"(Luo et al., 2014)","plainTextFormattedCitation":"(Luo et al., 2014)","previouslyFormattedCitation":"(Luo et al., 2014)"},"properties":{"noteIndex":0},"schema":"https://github.com/citation-style-language/schema/raw/master/csl-citation.json"}</w:instrText>
            </w:r>
            <w:r>
              <w:rPr>
                <w:sz w:val="18"/>
                <w:szCs w:val="18"/>
              </w:rPr>
              <w:fldChar w:fldCharType="separate"/>
            </w:r>
            <w:r w:rsidR="00FA32AE" w:rsidRPr="00FA32AE">
              <w:rPr>
                <w:noProof/>
                <w:sz w:val="18"/>
                <w:szCs w:val="18"/>
              </w:rPr>
              <w:t>(Luo et al., 2014)</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10.1161/HYPERTENSIONAHA.114.03530","author":[{"dropping-particle":"","family":"Luo","given":"R","non-dropping-particle":"","parse-names":false,"suffix":""},{"dropping-particle":"","family":"Shao","given":"X","non-dropping-particle":"","parse-names":false,"suffix":""},{"dropping-particle":"","family":"Xu","given":"P","non-dropping-particle":"","parse-names":false,"suffix":""},{"dropping-particle":"","family":"Liu","given":"Y","non-dropping-particle":"","parse-names":false,"suffix":""},{"dropping-particle":"","family":"Wang","given":"Y","non-dropping-particle":"","parse-names":false,"suffix":""},{"dropping-particle":"","family":"Zhao","given":"Y","non-dropping-particle":"","parse-names":false,"suffix":""},{"dropping-particle":"","family":"Liu","given":"M","non-dropping-particle":"","parse-names":false,"suffix":""},{"dropping-particle":"","family":"Ji","given":"L","non-dropping-particle":"","parse-names":false,"suffix":""},{"dropping-particle":"","family":"Li","given":"YX","non-dropping-particle":"","parse-names":false,"suffix":""},{"dropping-particle":"","family":"Chang","given":"C","non-dropping-particle":"","parse-names":false,"suffix":""},{"dropping-particle":"","family":"Qiao","given":"J","non-dropping-particle":"","parse-names":false,"suffix":""},{"dropping-particle":"","family":"Peng","given":"C","non-dropping-particle":"","parse-names":false,"suffix":""},{"dropping-particle":"","family":"Wang","given":"YL","non-dropping-particle":"","parse-names":false,"suffix":""}],"container-title":"Hypertension","id":"ITEM-1","issue":"4","issued":{"date-parts":[["2014"]]},"page":"839-45","title":"MicroRNA-210 Contributes to Preeclampsia by Downregulating Potassium Channel","type":"article-journal","volume":"64"},"uris":["http://www.mendeley.com/documents/?uuid=67cb5686-a93f-3921-a78b-381a0d98f67d"]}],"mendeley":{"formattedCitation":"(Luo et al., 2014)","plainTextFormattedCitation":"(Luo et al., 2014)","previouslyFormattedCitation":"(Luo et al., 2014)"},"properties":{"noteIndex":0},"schema":"https://github.com/citation-style-language/schema/raw/master/csl-citation.json"}</w:instrText>
            </w:r>
            <w:r>
              <w:rPr>
                <w:sz w:val="18"/>
                <w:szCs w:val="18"/>
              </w:rPr>
              <w:fldChar w:fldCharType="separate"/>
            </w:r>
            <w:r w:rsidR="00FA32AE" w:rsidRPr="00FA32AE">
              <w:rPr>
                <w:noProof/>
                <w:sz w:val="18"/>
                <w:szCs w:val="18"/>
              </w:rPr>
              <w:t>(Luo et al., 2014)</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FA32AE" w:rsidRPr="00FA32AE">
              <w:rPr>
                <w:noProof/>
                <w:sz w:val="18"/>
                <w:szCs w:val="18"/>
              </w:rPr>
              <w:t>(Winger et al., 2015)</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A32AE" w:rsidRPr="00FA32AE">
              <w:rPr>
                <w:noProof/>
                <w:sz w:val="18"/>
                <w:szCs w:val="18"/>
              </w:rPr>
              <w:t>(Xu et al., 2014)</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A32AE" w:rsidRPr="00FA32AE">
              <w:rPr>
                <w:noProof/>
                <w:sz w:val="18"/>
                <w:szCs w:val="18"/>
              </w:rPr>
              <w:t>(Xu et al., 2014)</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A32AE" w:rsidRPr="00FA32AE">
              <w:rPr>
                <w:noProof/>
                <w:sz w:val="18"/>
                <w:szCs w:val="18"/>
              </w:rPr>
              <w:t>(Xu et al., 2014)</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FA32AE">
              <w:rPr>
                <w:rFonts w:ascii="MS Mincho" w:eastAsia="MS Mincho" w:hAnsi="MS Mincho" w:cs="MS Mincho" w:hint="eastAsia"/>
                <w:sz w:val="18"/>
                <w:szCs w:val="18"/>
              </w:rPr>
              <w:instrText>‑</w:instrText>
            </w:r>
            <w:r w:rsidR="00FA32AE">
              <w:rPr>
                <w:rFonts w:cs="Times New Roman"/>
                <w:sz w:val="18"/>
                <w:szCs w:val="18"/>
              </w:rPr>
              <w:instrText>eclampsia o</w:instrText>
            </w:r>
            <w:r w:rsidR="00FA32AE">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FA32AE" w:rsidRPr="00FA32AE">
              <w:rPr>
                <w:noProof/>
                <w:sz w:val="18"/>
                <w:szCs w:val="18"/>
              </w:rPr>
              <w:t>(Vashukova et al., 2016)</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{"citationItems":[{"id":"ITEM-1","itemData":{"DOI":"10.1016/j.gene.2016.10.014","abstract":"Background The precise origin of Pre-eclampsia (PE) remains elusive. Multiple pieces of evidence support the existence of hypoxia in PE. MiRNA-210 (miR-210), which is induced by Hypoxia-Inducible Factor-1α (HIF-1α) during hypoxia, is one of the most hypoxia sensitive miRNAs. MiR-210 mediates these functions by regulating a lot of target mRNAs. Protein tyrosine phosphatase, non-receptor type 2 (PTPN2) was one of miR-210 targets and was found to be down regulated by hypoxia. Objective To assess the levels of relative expression of miR-210 and its target PTPN2 in Egyptian women with PE. This is in order to clarify their possible role in the progression of PE and their relation to each other and to different clinicopathological factors. Study design Group1 included 35 normal primigravida and group 2 included 35 primigravida patients with PE. PE group was subdivided into—mild and severe (PE). Total RNA was extracted from placental tissue samples and Real-Time PCR was performed on the extracted RNA. Results There was a highly significant difference between the studied groups as regards fold change of placental miR-210 and PTPN2 (P &lt; 0.01). There was a highly significant negative correlation between miR-210 and PTPN2 RQ among the studied groups and among the preeclampsia group (P &lt; 0.01). Conclusion The results of this study demonstrated that placental expression of miR-210 was up regulated in pregnancies complicated with PE in comparison to normal pregnancies. This increase in miR-210 resulted in down regulation of its target PTPN2 mRNA and this can have a direct role in the pathogenesis of the PE disease. Additionally, both miR-210 &amp; PTPN2 relative expression could differentiate between mild &amp; severe PE.","author":[{"dropping-particle":"","family":"Adel","given":"Sherihan","non-dropping-particle":"","parse-names":false,"suffix":""},{"dropping-particle":"","family":"Mansour","given":"Amal","non-dropping-particle":"","parse-names":false,"suffix":""},{"dropping-particle":"","family":"Louka","given":"Manal","non-dropping-particle":"","parse-names":false,"suffix":""},{"dropping-particle":"","family":"Matboli","given":"M.","non-dropping-particle":"","parse-names":false,"suffix":""},{"dropping-particle":"","family":"Elmekkawi","given":"S. F.","non-dropping-particle":"","parse-names":false,"suffix":""},{"dropping-particle":"","family":"Swelam","given":"Nahed","non-dropping-particle":"","parse-names":false,"suffix":""}],"container-title":"Gene","id":"ITEM-1","issued":{"date-parts":[["2017"]]},"page":"105-109","title":"Evaluation of MicroRNA-210 and Protein tyrosine phosphatase, non-receptor type 2 in Pre-eclampsia","type":"article-journal","volume":"596"},"uris":["http://www.mendeley.com/documents/?uuid=b4f4e7ad-ddbe-3e69-9f30-1864e7511656"]}],"mendeley":{"formattedCitation":"(Adel et al., 2017)","plainTextFormattedCitation":"(Adel et al., 2017)","previouslyFormattedCitation":"(Adel et al., 2017)"},"properties":{"noteIndex":0},"schema":"https://github.com/citation-style-language/schema/raw/master/csl-citation.json"}</w:instrText>
            </w:r>
            <w:r>
              <w:rPr>
                <w:sz w:val="18"/>
                <w:szCs w:val="18"/>
              </w:rPr>
              <w:fldChar w:fldCharType="separate"/>
            </w:r>
            <w:r w:rsidR="00FA32AE" w:rsidRPr="00FA32AE">
              <w:rPr>
                <w:noProof/>
                <w:sz w:val="18"/>
                <w:szCs w:val="18"/>
              </w:rPr>
              <w:t>(Adel et al., 2017)</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{"citationItems":[{"id":"ITEM-1","itemData":{"DOI":"10.1016/j.ncrna.2021.03.001","ISSN":"24680540","abstract":"Preeclampsia (PE) is a multi-system disorder that is specific to human pregnancy. Inadequate oxygenation of uterus and placenta is considered as one of the leading causes for the disease. MicroRNA-210(miR-210) is one of the prime molecules that has emerged in response to hypoxia. The objective of this study was to determine miR-210 expression patterns in plasma from severe PE and mild PE patients, and how that affects the expression of miR-210 target genes. The expression levels of miR-210 were validated using reverse transcription-quantitative PCR in plasma of severe PE (15) and mild PE (15) patients in comparison to controls subjects (15) with normal pregnancy. Then, the association between miR-210 and its downstream genes was validated by using human miR-210 targets RT2 profiler PCR Array. Both the categories (mild and severe) showed significantly high miR-210 expression levels. Also out of the 84 hypoxia miR-210 associated genes screened using mRNA, 18 genes were found to be differentially expressed in severe PE whereas 16 genes in mild PE cases with varying magnitude. All the genes in both the PE groups were found downregulated in comparison to controls. These downregulated genes expressed in both the cases were shown to be participating in immunosuppression, apoptosis, cell growth, signaling, angiogenesis, DNA repair. This study provides novel data on the genes that work downstream of miR-210 and how dysregulated expression of miR-210 can affect their expression and in turn functioning which can be associated with PE risk and severity. This study is the very first to determine the effect of miR-210 expression levels on associated genes in plasma samples.","author":[{"dropping-particle":"","family":"Jairajpuri","given":"Deeba S.","non-dropping-particle":"","parse-names":false,"suffix":""},{"dropping-particle":"","family":"Malalla","given":"Zainab H.","non-dropping-particle":"","parse-names":false,"suffix":""},{"dropping-particle":"","family":"Sarray","given":"Sameh","non-dropping-particle":"","parse-names":false,"suffix":""},{"dropping-particle":"","family":"Mahmood","given":"Naeema","non-dropping-particle":"","parse-names":false,"suffix":""}],"container-title":"Non-coding RNA Research","id":"ITEM-1","issue":"1","issued":{"date-parts":[["2021","3","1"]]},"page":"51-57","publisher":"KeAi Communications Co.","title":"Analysis of differential expression of hypoxia-inducible microRNA-210 gene targets in mild and severe preeclamptic patients","type":"article-journal","volume":"6"},"uris":["http://www.mendeley.com/documents/?uuid=66ab40ba-35ea-35fd-af63-8cc9a4eed053"]}],"mendeley":{"formattedCitation":"(Jairajpuri et al., 2021)","plainTextFormattedCitation":"(Jairajpuri et al., 2021)","previouslyFormattedCitation":"(Jairajpuri et al., 2021)"},"properties":{"noteIndex":0},"schema":"https://github.com/citation-style-language/schema/raw/master/csl-citation.json"}</w:instrText>
            </w:r>
            <w:r>
              <w:rPr>
                <w:sz w:val="18"/>
                <w:szCs w:val="18"/>
              </w:rPr>
              <w:fldChar w:fldCharType="separate"/>
            </w:r>
            <w:r w:rsidR="00FA32AE" w:rsidRPr="00FA32AE">
              <w:rPr>
                <w:noProof/>
                <w:sz w:val="18"/>
                <w:szCs w:val="18"/>
              </w:rPr>
              <w:t>(Jairajpuri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w:t>
            </w:r>
          </w:p>
          <w:p w:rsidR="00460963" w:rsidRDefault="00460963" w:rsidP="009B2A14">
            <w:pPr>
              <w:spacing w:after="0"/>
              <w:jc w:val="center"/>
              <w:rPr>
                <w:sz w:val="18"/>
                <w:szCs w:val="18"/>
              </w:rPr>
            </w:pPr>
            <w:r>
              <w:rPr>
                <w:sz w:val="18"/>
                <w:szCs w:val="18"/>
              </w:rPr>
              <w:t>3</w:t>
            </w:r>
          </w:p>
          <w:p w:rsidR="00460963" w:rsidRDefault="00460963" w:rsidP="009B2A14">
            <w:pPr>
              <w:spacing w:after="0"/>
              <w:jc w:val="center"/>
              <w:rPr>
                <w:sz w:val="18"/>
                <w:szCs w:val="18"/>
              </w:rPr>
            </w:pPr>
            <w:r>
              <w:rPr>
                <w:sz w:val="18"/>
                <w:szCs w:val="18"/>
              </w:rPr>
              <w:t>17</w:t>
            </w:r>
          </w:p>
          <w:p w:rsidR="00460963" w:rsidRDefault="00460963" w:rsidP="009B2A14">
            <w:pPr>
              <w:spacing w:after="0"/>
              <w:jc w:val="center"/>
              <w:rPr>
                <w:sz w:val="18"/>
                <w:szCs w:val="18"/>
              </w:rPr>
            </w:pPr>
            <w:r>
              <w:rPr>
                <w:sz w:val="18"/>
                <w:szCs w:val="18"/>
              </w:rPr>
              <w:t>19</w:t>
            </w:r>
          </w:p>
          <w:p w:rsidR="00460963" w:rsidRDefault="00460963" w:rsidP="009B2A14">
            <w:pPr>
              <w:spacing w:after="0"/>
              <w:jc w:val="center"/>
              <w:rPr>
                <w:sz w:val="18"/>
                <w:szCs w:val="18"/>
              </w:rPr>
            </w:pPr>
            <w:r>
              <w:rPr>
                <w:sz w:val="18"/>
                <w:szCs w:val="18"/>
              </w:rPr>
              <w:t>21</w:t>
            </w:r>
          </w:p>
          <w:p w:rsidR="00460963" w:rsidRDefault="00460963" w:rsidP="009B2A14">
            <w:pPr>
              <w:spacing w:after="0"/>
              <w:jc w:val="center"/>
              <w:rPr>
                <w:sz w:val="18"/>
                <w:szCs w:val="18"/>
              </w:rPr>
            </w:pPr>
            <w:r>
              <w:rPr>
                <w:sz w:val="18"/>
                <w:szCs w:val="18"/>
              </w:rPr>
              <w:t>39</w:t>
            </w:r>
          </w:p>
          <w:p w:rsidR="00460963" w:rsidRDefault="00460963" w:rsidP="009B2A14">
            <w:pPr>
              <w:spacing w:after="0"/>
              <w:jc w:val="center"/>
              <w:rPr>
                <w:sz w:val="18"/>
                <w:szCs w:val="18"/>
              </w:rPr>
            </w:pPr>
            <w:r>
              <w:rPr>
                <w:sz w:val="18"/>
                <w:szCs w:val="18"/>
              </w:rPr>
              <w:t>39</w:t>
            </w:r>
          </w:p>
          <w:p w:rsidR="00460963" w:rsidRDefault="00460963" w:rsidP="009B2A14">
            <w:pPr>
              <w:spacing w:after="0"/>
              <w:jc w:val="center"/>
              <w:rPr>
                <w:sz w:val="18"/>
                <w:szCs w:val="18"/>
              </w:rPr>
            </w:pPr>
            <w:r>
              <w:rPr>
                <w:sz w:val="18"/>
                <w:szCs w:val="18"/>
              </w:rPr>
              <w:t>44</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74</w:t>
            </w:r>
          </w:p>
          <w:p w:rsidR="00460963" w:rsidRDefault="00460963" w:rsidP="009B2A14">
            <w:pPr>
              <w:spacing w:after="0"/>
              <w:jc w:val="center"/>
              <w:rPr>
                <w:sz w:val="18"/>
                <w:szCs w:val="18"/>
              </w:rPr>
            </w:pPr>
            <w:r>
              <w:rPr>
                <w:sz w:val="18"/>
                <w:szCs w:val="18"/>
              </w:rPr>
              <w:t>82</w:t>
            </w:r>
          </w:p>
          <w:p w:rsidR="00460963" w:rsidRPr="00F80C43" w:rsidRDefault="00460963" w:rsidP="009B2A14">
            <w:pPr>
              <w:spacing w:after="0"/>
              <w:jc w:val="center"/>
              <w:rPr>
                <w:sz w:val="18"/>
                <w:szCs w:val="18"/>
              </w:rPr>
            </w:pPr>
            <w:r>
              <w:rPr>
                <w:sz w:val="18"/>
                <w:szCs w:val="18"/>
              </w:rPr>
              <w:t>Jairajpuri 2021</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Pr>
                <w:sz w:val="18"/>
                <w:szCs w:val="18"/>
              </w:rPr>
              <w:t>210-3p</w:t>
            </w:r>
          </w:p>
        </w:tc>
        <w:tc>
          <w:tcPr>
            <w:tcW w:w="2136" w:type="dxa"/>
            <w:vAlign w:val="center"/>
          </w:tcPr>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Placenta (villi)</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at deliverz</w:t>
            </w:r>
          </w:p>
          <w:p w:rsidR="00460963" w:rsidRDefault="00460963" w:rsidP="009B2A14">
            <w:pPr>
              <w:spacing w:after="0"/>
              <w:jc w:val="center"/>
              <w:rPr>
                <w:color w:val="000000"/>
                <w:sz w:val="18"/>
                <w:szCs w:val="18"/>
              </w:rPr>
            </w:pPr>
            <w:r>
              <w:rPr>
                <w:color w:val="000000"/>
                <w:sz w:val="18"/>
                <w:szCs w:val="18"/>
              </w:rPr>
              <w:t>No difference in sPE 1 year after delivery</w:t>
            </w:r>
          </w:p>
          <w:p w:rsidR="00460963" w:rsidRDefault="00460963" w:rsidP="009B2A14">
            <w:pPr>
              <w:spacing w:after="0"/>
              <w:jc w:val="center"/>
              <w:rPr>
                <w:color w:val="000000"/>
                <w:sz w:val="18"/>
                <w:szCs w:val="18"/>
              </w:rPr>
            </w:pPr>
            <w:r>
              <w:rPr>
                <w:color w:val="000000"/>
                <w:sz w:val="18"/>
                <w:szCs w:val="18"/>
              </w:rPr>
              <w:t>No difference in EOPE</w:t>
            </w:r>
          </w:p>
          <w:p w:rsidR="00460963" w:rsidRDefault="00460963" w:rsidP="009B2A14">
            <w:pPr>
              <w:spacing w:after="0"/>
              <w:jc w:val="center"/>
              <w:rPr>
                <w:color w:val="000000"/>
                <w:sz w:val="18"/>
                <w:szCs w:val="18"/>
              </w:rPr>
            </w:pPr>
            <w:r>
              <w:rPr>
                <w:color w:val="000000"/>
                <w:sz w:val="18"/>
                <w:szCs w:val="18"/>
              </w:rPr>
              <w:t>No difference in EOPE</w:t>
            </w:r>
          </w:p>
          <w:p w:rsidR="00460963" w:rsidRPr="00F80C43" w:rsidRDefault="00460963" w:rsidP="00533244">
            <w:pPr>
              <w:spacing w:after="0"/>
              <w:jc w:val="center"/>
              <w:rPr>
                <w:color w:val="000000"/>
                <w:sz w:val="18"/>
                <w:szCs w:val="18"/>
              </w:rPr>
            </w:pPr>
            <w:r>
              <w:rPr>
                <w:color w:val="000000"/>
                <w:sz w:val="18"/>
                <w:szCs w:val="18"/>
              </w:rPr>
              <w:t>No difference in pre-term 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Pr="00F80C4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FA32AE">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FA32AE" w:rsidRPr="00FA32AE">
              <w:rPr>
                <w:noProof/>
                <w:sz w:val="18"/>
                <w:szCs w:val="18"/>
              </w:rPr>
              <w:t>(Murphy et al., 2015)</w:t>
            </w:r>
            <w:r>
              <w:rPr>
                <w:sz w:val="18"/>
                <w:szCs w:val="18"/>
              </w:rPr>
              <w:fldChar w:fldCharType="end"/>
            </w:r>
          </w:p>
          <w:p w:rsidR="00FA32AE"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FA32AE" w:rsidRPr="00FA32AE">
              <w:rPr>
                <w:noProof/>
                <w:sz w:val="18"/>
                <w:szCs w:val="18"/>
              </w:rPr>
              <w:t>(Murphy et al., 2015)</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9B4DE8" w:rsidRPr="009B4DE8">
              <w:rPr>
                <w:noProof/>
                <w:sz w:val="18"/>
                <w:szCs w:val="18"/>
              </w:rPr>
              <w:t>(Awamleh et al., 2019)</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{"citationItems":[{"id":"ITEM-1","itemData":{"DOI":"10.1016/j.clinbiochem.2020.02.012","ISSN":"18732933","PMID":"32092293","abstract":"Introduction: MicroRNAs have a significant role in the pathogenesis of preeclampsia. Circulating microRNAs could represent a potential biomarker for preeclampsia. The aim of this study was to evaluate plasma miR210-3p and miR518b in preeclampsia and healthy pregnancy for the first time by digital droplet PCR (ddPCR). Methods: Thirty-six pregnant women (seventeen healthy pregnancies, nineteen preeclampsia patients) were involved from the Clinic for Gynaecology and Obstetrics “Narodni front” in Belgrade, Serbia. Plasma miR210-3p, miR518b and cel-miR-39 as a spike-in control were measured by ddPCR. Results: MiR518b was significantly elevated in preeclampsia compared to a healthy pregnancy (P = 0.034; 0.302(0.217–0.421) vs. 0.171(0.110–0.266)). MiR210-3p showed no significant difference between the two groups (P = 0.951). The adjustment of miR518b was made for a gestational age and smoking status and the difference between the preeclampsia and healthy pregnancy group was more significant (P = 0.026; 0.300(0.216–0.419) vs. 0.172(0.121–0.245)). Plasma miR-518b was significantly higher in the group of preeclampsia patients with proteinuria above the 75th percentile for the group (P = 0.033), in women who smoked (P = 0.039), and was positively related to uric acid in preeclampsia (P = 0.018, r = 0.536). Plasma miR518b was able to significantly discriminate between preeclampsia and healthy pregnancy, yielding AUC of 0.712 (95%CI:0.539–0.891), P = 0.028. Conclusions: In this study plasma microRNA were measured for the first time in preeclampsia and healthy pregnancies with ddPCR. Placenta-specific miR-518b could serve as a potential biomarker for discriminating preeclampsia and healthy pregnancy, which should be confirmed on a larger study population. This study has failed to confirm the same potential for miR210-3p.","author":[{"dropping-particle":"","family":"Jelena","given":"Munjas","non-dropping-particle":"","parse-names":false,"suffix":""},{"dropping-particle":"","family":"Sopić","given":"Miron","non-dropping-particle":"","parse-names":false,"suffix":""},{"dropping-particle":"","family":"Joksić","given":"Ivana","non-dropping-particle":"","parse-names":false,"suffix":""},{"dropping-particle":"","family":"Zmrzljak","given":"Ursula Prosenc","non-dropping-particle":"","parse-names":false,"suffix":""},{"dropping-particle":"","family":"Karadžov-Orlić","given":"Nataša","non-dropping-particle":"","parse-names":false,"suffix":""},{"dropping-particle":"","family":"Košir","given":"Rok","non-dropping-particle":"","parse-names":false,"suffix":""},{"dropping-particle":"","family":"Egić","given":"Amira","non-dropping-particle":"","parse-names":false,"suffix":""},{"dropping-particle":"","family":"Miković","given":"Željko","non-dropping-particle":"","parse-names":false,"suffix":""},{"dropping-particle":"","family":"Ninić","given":"Ana","non-dropping-particle":"","parse-names":false,"suffix":""},{"dropping-particle":"","family":"Spasojević-Kalimanovska","given":"Vesna","non-dropping-particle":"","parse-names":false,"suffix":""}],"container-title":"Clinical Biochemistry","id":"ITEM-1","issued":{"date-parts":[["2020"]]},"page":"28-33","title":"Placenta-specific plasma miR518b is a potential biomarker for preeclampsia","type":"article-journal","volume":"79"},"uris":["http://www.mendeley.com/documents/?uuid=a0f0239a-417e-3623-b15d-ee9205131b86"]}],"mendeley":{"formattedCitation":"(Jelena et al., 2020)","plainTextFormattedCitation":"(Jelena et al., 2020)","previouslyFormattedCitation":"(Jelena et al., 2020)"},"properties":{"noteIndex":0},"schema":"https://github.com/citation-style-language/schema/raw/master/csl-citation.json"}</w:instrText>
            </w:r>
            <w:r>
              <w:rPr>
                <w:sz w:val="18"/>
                <w:szCs w:val="18"/>
              </w:rPr>
              <w:fldChar w:fldCharType="separate"/>
            </w:r>
            <w:r w:rsidR="009B4DE8" w:rsidRPr="009B4DE8">
              <w:rPr>
                <w:noProof/>
                <w:sz w:val="18"/>
                <w:szCs w:val="18"/>
              </w:rPr>
              <w:t>(Jelena et al., 2020)</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{"citationItems":[{"id":"ITEM-1","itemData":{"DOI":"10.3390/ijms22083961","ISSN":"14220067","PMID":"33921262","abstract":"Hsa-miR-210-3p has been reported to be upregulated in preeclampsia (PE); however, the functions of miR-210-3p in placental development are not fully understood, and, consequently, miR-210-3p’s role in the pathogenesis of PE is still under investigation. In this study, we found that overexpression of miR-210-3p reduced trophoblast migration and invasion, extravillous trophoblast (EVT) outgrowth in first trimester explants, expression of endovascular trophoblast (enEVT) markers and the ability of trophoblast to form endothelial-like networks. In addition, miR-210-3p overexpres-sion significantly downregulated the mRNA levels of interleukin-1B and-8, as well as CXC motif ligand 1. These cytokines have been suggested to play a role in EVT invasion and the recruitment of immune cells to the spiral artery remodeling sites. We also showed that caudal-related homeobox transcription factor 2 (CDX2) is targeted by miR-210-3p and that CDX2 downregulation mimicked the observed effects of miR-210-3p upregulation in trophoblasts. These findings suggest that miR-210-3p may play a role in regulating events associated with enEVT functions and its overexpression could impair spiral artery remodeling, thereby contributing to PE.","author":[{"dropping-particle":"","family":"Hayder","given":"Heyam","non-dropping-particle":"","parse-names":false,"suffix":""},{"dropping-particle":"","family":"Fu","given":"Guodong","non-dropping-particle":"","parse-names":false,"suffix":""},{"dropping-particle":"","family":"Nadeem","given":"Lubna","non-dropping-particle":"","parse-names":false,"suffix":""},{"dropping-particle":"","family":"O’brien","given":"Jacob A.","non-dropping-particle":"","parse-names":false,"suffix":""},{"dropping-particle":"","family":"Lye","given":"Stephen J.","non-dropping-particle":"","parse-names":false,"suffix":""},{"dropping-particle":"","family":"Peng","given":"Chun","non-dropping-particle":"","parse-names":false,"suffix":""}],"container-title":"International Journal of Molecular Sciences","id":"ITEM-1","issue":"8","issued":{"date-parts":[["2021","4","2"]]},"page":"3961","publisher":"MDPI AG","title":"Overexpression of mir-210-3p impairs extravillous trophoblast functions associated with uterine spiral artery remodeling","type":"article-journal","volume":"22"},"uris":["http://www.mendeley.com/documents/?uuid=e1619a87-3459-37ec-bad2-388925c16881"]}],"mendeley":{"formattedCitation":"(Hayder et al., 2021)","plainTextFormattedCitation":"(Hayder et al., 2021)","previouslyFormattedCitation":"(Hayder et al., 2021)"},"properties":{"noteIndex":0},"schema":"https://github.com/citation-style-language/schema/raw/master/csl-citation.json"}</w:instrText>
            </w:r>
            <w:r>
              <w:rPr>
                <w:sz w:val="18"/>
                <w:szCs w:val="18"/>
              </w:rPr>
              <w:fldChar w:fldCharType="separate"/>
            </w:r>
            <w:r w:rsidR="009B4DE8" w:rsidRPr="009B4DE8">
              <w:rPr>
                <w:noProof/>
                <w:sz w:val="18"/>
                <w:szCs w:val="18"/>
              </w:rPr>
              <w:t>(Hayder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150</w:t>
            </w:r>
          </w:p>
          <w:p w:rsidR="00460963" w:rsidRDefault="00460963" w:rsidP="009B2A14">
            <w:pPr>
              <w:spacing w:after="0"/>
              <w:jc w:val="center"/>
              <w:rPr>
                <w:sz w:val="18"/>
                <w:szCs w:val="18"/>
              </w:rPr>
            </w:pPr>
            <w:r>
              <w:rPr>
                <w:sz w:val="18"/>
                <w:szCs w:val="18"/>
              </w:rPr>
              <w:t>Jelena 2020</w:t>
            </w:r>
          </w:p>
          <w:p w:rsidR="00460963" w:rsidRDefault="00460963" w:rsidP="009B2A14">
            <w:pPr>
              <w:spacing w:after="0"/>
              <w:jc w:val="center"/>
              <w:rPr>
                <w:sz w:val="18"/>
                <w:szCs w:val="18"/>
              </w:rPr>
            </w:pPr>
            <w:r>
              <w:rPr>
                <w:sz w:val="18"/>
                <w:szCs w:val="18"/>
              </w:rPr>
              <w:t>Hayder 2021</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EB6201">
              <w:rPr>
                <w:color w:val="000000"/>
                <w:sz w:val="18"/>
                <w:szCs w:val="18"/>
              </w:rPr>
              <w:t>181a</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(chorion)</w:t>
            </w:r>
          </w:p>
          <w:p w:rsidR="00460963" w:rsidRDefault="00460963" w:rsidP="009B2A14">
            <w:pPr>
              <w:spacing w:after="0"/>
              <w:jc w:val="center"/>
              <w:rPr>
                <w:color w:val="000000"/>
                <w:sz w:val="18"/>
                <w:szCs w:val="18"/>
              </w:rPr>
            </w:pPr>
            <w:r w:rsidRPr="00EB6201">
              <w:rPr>
                <w:color w:val="000000"/>
                <w:sz w:val="18"/>
                <w:szCs w:val="18"/>
              </w:rPr>
              <w:t>UC-MSCs</w:t>
            </w:r>
          </w:p>
          <w:p w:rsidR="00460963" w:rsidRDefault="00460963" w:rsidP="009B2A14">
            <w:pPr>
              <w:spacing w:after="0"/>
              <w:jc w:val="center"/>
              <w:rPr>
                <w:color w:val="000000"/>
                <w:sz w:val="18"/>
                <w:szCs w:val="18"/>
              </w:rPr>
            </w:pPr>
            <w:r>
              <w:rPr>
                <w:color w:val="000000"/>
                <w:sz w:val="18"/>
                <w:szCs w:val="18"/>
              </w:rPr>
              <w:t>Placenta(</w:t>
            </w:r>
            <w:r>
              <w:rPr>
                <w:color w:val="000000"/>
                <w:sz w:val="18"/>
                <w:szCs w:val="18"/>
              </w:rPr>
              <w:pgNum/>
            </w:r>
            <w:r>
              <w:rPr>
                <w:color w:val="000000"/>
                <w:sz w:val="18"/>
                <w:szCs w:val="18"/>
              </w:rPr>
              <w:t>eciduas</w:t>
            </w:r>
            <w:r w:rsidRPr="00EB6201">
              <w:rPr>
                <w:color w:val="000000"/>
                <w:sz w:val="18"/>
                <w:szCs w:val="18"/>
              </w:rPr>
              <w:t>)</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w:t>
            </w:r>
          </w:p>
          <w:p w:rsidR="00460963" w:rsidRPr="00F80C43" w:rsidRDefault="00460963" w:rsidP="009B2A14">
            <w:pPr>
              <w:spacing w:after="0"/>
              <w:jc w:val="center"/>
              <w:rPr>
                <w:sz w:val="18"/>
                <w:szCs w:val="18"/>
              </w:rPr>
            </w:pPr>
            <w:r>
              <w:rPr>
                <w:color w:val="000000"/>
                <w:sz w:val="18"/>
                <w:szCs w:val="18"/>
              </w:rPr>
              <w:t>Placenta (syncytiotrophoblast)</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sz w:val="18"/>
                <w:szCs w:val="18"/>
              </w:rPr>
            </w:pPr>
            <w:r>
              <w:rPr>
                <w:sz w:val="18"/>
                <w:szCs w:val="18"/>
              </w:rPr>
              <w:t>Up in sLOPE</w:t>
            </w:r>
          </w:p>
          <w:p w:rsidR="00460963" w:rsidRDefault="00460963" w:rsidP="009B2A14">
            <w:pPr>
              <w:spacing w:after="0"/>
              <w:jc w:val="center"/>
              <w:rPr>
                <w:sz w:val="18"/>
                <w:szCs w:val="18"/>
              </w:rPr>
            </w:pPr>
            <w:r>
              <w:rPr>
                <w:sz w:val="18"/>
                <w:szCs w:val="18"/>
              </w:rPr>
              <w:t>Up in sLOPE</w:t>
            </w:r>
          </w:p>
          <w:p w:rsidR="00460963" w:rsidRDefault="00460963" w:rsidP="009B2A14">
            <w:pPr>
              <w:spacing w:after="0"/>
              <w:jc w:val="center"/>
              <w:rPr>
                <w:sz w:val="18"/>
                <w:szCs w:val="18"/>
              </w:rPr>
            </w:pPr>
            <w:r>
              <w:rPr>
                <w:sz w:val="18"/>
                <w:szCs w:val="18"/>
              </w:rPr>
              <w:t>Up in sPE</w:t>
            </w:r>
          </w:p>
          <w:p w:rsidR="00460963" w:rsidRDefault="00460963" w:rsidP="009B2A14">
            <w:pPr>
              <w:spacing w:after="0"/>
              <w:jc w:val="center"/>
              <w:rPr>
                <w:sz w:val="18"/>
                <w:szCs w:val="18"/>
              </w:rPr>
            </w:pPr>
            <w:r>
              <w:rPr>
                <w:sz w:val="18"/>
                <w:szCs w:val="18"/>
              </w:rPr>
              <w:t>NR</w:t>
            </w:r>
          </w:p>
          <w:p w:rsidR="00460963" w:rsidRPr="00F80C43" w:rsidRDefault="00460963" w:rsidP="009B2A14">
            <w:pPr>
              <w:spacing w:after="0"/>
              <w:jc w:val="center"/>
              <w:rPr>
                <w:sz w:val="18"/>
                <w:szCs w:val="18"/>
              </w:rPr>
            </w:pPr>
            <w:r>
              <w:rPr>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w:t>
            </w:r>
            <w:r w:rsidRPr="00EB6201">
              <w:rPr>
                <w:color w:val="000000"/>
                <w:sz w:val="18"/>
                <w:szCs w:val="18"/>
              </w:rPr>
              <w:t>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NR</w:t>
            </w:r>
          </w:p>
          <w:p w:rsidR="00460963" w:rsidRPr="00F80C4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sz w:val="18"/>
                <w:szCs w:val="18"/>
              </w:rPr>
              <w:fldChar w:fldCharType="separate"/>
            </w:r>
            <w:r w:rsidR="009B4DE8" w:rsidRPr="009B4DE8">
              <w:rPr>
                <w:noProof/>
                <w:sz w:val="18"/>
                <w:szCs w:val="18"/>
              </w:rPr>
              <w:t>(Hu et al., 2009)</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{"citationItems":[{"id":"ITEM-1","itemData":{"DOI":"10.1002/stem.1156","abstract":"Mesenchymal stem cells (MSCs) exhibit extensive self-renewal potential and can modulate immunocyte activation. Our previous study reported that miR-181a expression was significantly increased in placenta from women with severe preeclampsia (PE), but the mechanisms by which miR-181a regulates MSCs are unknown. In this study, we asked if and how miR-181a regulates MSCs' proliferation and immunosuppressive properties. We found that the expression of miR-181a in the MSCs derived from the umbilical cord and decidua of PE patients increased relative to MSCs derived from normal patients. Transfection with miR-181a oligos prevented MSCs proliferation but did not affect MSCs apoptosis. Overexpression of miR-181a blocked activation of the TGF-β signaling pathway and caused downregulation of target gene (TGFBR1 and TGFBRAP1) mRNA and protein expression. Reporter genes with putative miR-181a binding sites from the TGFBR1 and TGFBRAP1 3′-untranslated regions (3′-UTRs) were downregulated in the presence of miR-181a, suggesting that miR-181a binds to TGFBR1 and TGFBRAP1 3′-UTRs. In contrast, transfection of MSCs with miR-181a oligo enhanced expression of IL-6 and indoleamine 2,3-dioxygenase by activating p38 and JNK signaling pathways, respectively. MSCs transfected with miR-181a also enhanced the proliferation of T cells in a short-term culture. Additionally, treatment with control MSCs, but not miR-181a transfected MSCs, improved dextran sulfate sodium-induced experimental colitis, suggesting that miR-181a attenuates the immunosuppressive properties of MSCs in vivo. Together, our data demonstrate that miR-181a is an important endogenous regulator in the proliferation and immunosuppressive properties of MSCs. © AlphaMed Press.","author":[{"dropping-particle":"","family":"Liu","given":"Liu","non-dropping-particle":"","parse-names":false,"suffix":""},{"dropping-particle":"","family":"Wang","given":"Yaping","non-dropping-particle":"","parse-names":false,"suffix":""},{"dropping-particle":"","family":"Fan","given":"Hongye","non-dropping-particle":"","parse-names":false,"suffix":""},{"dropping-particle":"","family":"Zhao","given":"Xiaoyin","non-dropping-particle":"","parse-names":false,"suffix":""},{"dropping-particle":"","family":"Liu","given":"Dan","non-dropping-particle":"","parse-names":false,"suffix":""},{"dropping-particle":"","family":"Hu","given":"Yali","non-dropping-particle":"","parse-names":false,"suffix":""},{"dropping-particle":"","family":"Kidd","given":"Ambrose R.","non-dropping-particle":"","parse-names":false,"suffix":""},{"dropping-particle":"","family":"Bao","given":"Jianxin","non-dropping-particle":"","parse-names":false,"suffix":""},{"dropping-particle":"","family":"Hou","given":"Yayi","non-dropping-particle":"","parse-names":false,"suffix":""}],"container-title":"Stem Cells","id":"ITEM-1","issue":"8","issued":{"date-parts":[["2012"]]},"page":"1756-1770","title":"MicroRNA-181a regulates local immune balance by inhibiting proliferation and immunosuppressive properties of mesenchymal stem cells","type":"article-journal","volume":"30"},"uris":["http://www.mendeley.com/documents/?uuid=3b485af6-0210-348c-abcb-6c205ed6f446"]}],"mendeley":{"formattedCitation":"(Liu et al., 2012)","plainTextFormattedCitation":"(Liu et al., 2012)","previouslyFormattedCitation":"(Liu et al., 2012)"},"properties":{"noteIndex":0},"schema":"https://github.com/citation-style-language/schema/raw/master/csl-citation.json"}</w:instrText>
            </w:r>
            <w:r>
              <w:rPr>
                <w:sz w:val="18"/>
                <w:szCs w:val="18"/>
              </w:rPr>
              <w:fldChar w:fldCharType="separate"/>
            </w:r>
            <w:r w:rsidR="009B4DE8" w:rsidRPr="009B4DE8">
              <w:rPr>
                <w:noProof/>
                <w:sz w:val="18"/>
                <w:szCs w:val="18"/>
              </w:rPr>
              <w:t>(Liu et al., 2012)</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{"citationItems":[{"id":"ITEM-1","itemData":{"DOI":"10.1002/stem.1156","abstract":"Mesenchymal stem cells (MSCs) exhibit extensive self-renewal potential and can modulate immunocyte activation. Our previous study reported that miR-181a expression was significantly increased in placenta from women with severe preeclampsia (PE), but the mechanisms by which miR-181a regulates MSCs are unknown. In this study, we asked if and how miR-181a regulates MSCs' proliferation and immunosuppressive properties. We found that the expression of miR-181a in the MSCs derived from the umbilical cord and decidua of PE patients increased relative to MSCs derived from normal patients. Transfection with miR-181a oligos prevented MSCs proliferation but did not affect MSCs apoptosis. Overexpression of miR-181a blocked activation of the TGF-β signaling pathway and caused downregulation of target gene (TGFBR1 and TGFBRAP1) mRNA and protein expression. Reporter genes with putative miR-181a binding sites from the TGFBR1 and TGFBRAP1 3′-untranslated regions (3′-UTRs) were downregulated in the presence of miR-181a, suggesting that miR-181a binds to TGFBR1 and TGFBRAP1 3′-UTRs. In contrast, transfection of MSCs with miR-181a oligo enhanced expression of IL-6 and indoleamine 2,3-dioxygenase by activating p38 and JNK signaling pathways, respectively. MSCs transfected with miR-181a also enhanced the proliferation of T cells in a short-term culture. Additionally, treatment with control MSCs, but not miR-181a transfected MSCs, improved dextran sulfate sodium-induced experimental colitis, suggesting that miR-181a attenuates the immunosuppressive properties of MSCs in vivo. Together, our data demonstrate that miR-181a is an important endogenous regulator in the proliferation and immunosuppressive properties of MSCs. © AlphaMed Press.","author":[{"dropping-particle":"","family":"Liu","given":"Liu","non-dropping-particle":"","parse-names":false,"suffix":""},{"dropping-particle":"","family":"Wang","given":"Yaping","non-dropping-particle":"","parse-names":false,"suffix":""},{"dropping-particle":"","family":"Fan","given":"Hongye","non-dropping-particle":"","parse-names":false,"suffix":""},{"dropping-particle":"","family":"Zhao","given":"Xiaoyin","non-dropping-particle":"","parse-names":false,"suffix":""},{"dropping-particle":"","family":"Liu","given":"Dan","non-dropping-particle":"","parse-names":false,"suffix":""},{"dropping-particle":"","family":"Hu","given":"Yali","non-dropping-particle":"","parse-names":false,"suffix":""},{"dropping-particle":"","family":"Kidd","given":"Ambrose R.","non-dropping-particle":"","parse-names":false,"suffix":""},{"dropping-particle":"","family":"Bao","given":"Jianxin","non-dropping-particle":"","parse-names":false,"suffix":""},{"dropping-particle":"","family":"Hou","given":"Yayi","non-dropping-particle":"","parse-names":false,"suffix":""}],"container-title":"Stem Cells","id":"ITEM-1","issue":"8","issued":{"date-parts":[["2012"]]},"page":"1756-1770","title":"MicroRNA-181a regulates local immune balance by inhibiting proliferation and immunosuppressive properties of mesenchymal stem cells","type":"article-journal","volume":"30"},"uris":["http://www.mendeley.com/documents/?uuid=3b485af6-0210-348c-abcb-6c205ed6f446"]}],"mendeley":{"formattedCitation":"(Liu et al., 2012)","plainTextFormattedCitation":"(Liu et al., 2012)","previouslyFormattedCitation":"(Liu et al., 2012)"},"properties":{"noteIndex":0},"schema":"https://github.com/citation-style-language/schema/raw/master/csl-citation.json"}</w:instrText>
            </w:r>
            <w:r>
              <w:rPr>
                <w:sz w:val="18"/>
                <w:szCs w:val="18"/>
              </w:rPr>
              <w:fldChar w:fldCharType="separate"/>
            </w:r>
            <w:r w:rsidR="009B4DE8" w:rsidRPr="009B4DE8">
              <w:rPr>
                <w:noProof/>
                <w:sz w:val="18"/>
                <w:szCs w:val="18"/>
              </w:rPr>
              <w:t>(Liu et al., 2012)</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{"citationItems":[{"id":"ITEM-1","itemData":{"DOI":"10.1530/REP-11-0304","abstract":"Until recently, the molecular pathogenesis of preeclampsia (PE) remained largely unknown. Reports have shown that circulating microRNAs (miRNAs) are promising novel biomarkers for cancer, pregnancy, tissue injury, and other conditions. The objective of this study was to identify differentially expressed miRNAs in plasma from severe preeclamptic pregnancies compared with plasma from normal pregnancies. By mature miRNA microarray analysis, 15 miRNAs, including 13 up- and two downregulated miRNAs, were screened to be differentially expressed in plasma from women with severe PE (sPE). Seven miRNAs, namely miR-24, miR-26a, miR-103, miR-130b, miR-181a, miR-342-3p, and miR-574-5p, were validated to be elevated in plasma from severe preeclamptic pregnancies by real-time quantitative stem-loop RT-PCR analysis. Gene ontology and pathway enrichment analyses revealed that these miRNAs were involved in specific biological process categories (including regulation of metabolic processes, regulation of transcription, and cell cycle) and signaling pathways (including the MAP kinase signaling pathway, the transforming growth factor-β signaling pathway, and pathways in cancer metastasis). This study presents, for the first time, the differential expression profile of circulating miRNAs in sPE patients. The seven elevated circulating miRNAs may play critical roles in the pathogenesis of sPE, and one or more of them may become potential markers for diagnosing sPE. © 2012 Society for Reproduction and Fertility.","author":[{"dropping-particle":"","family":"Wu","given":"Liang","non-dropping-particle":"","parse-names":false,"suffix":""},{"dropping-particle":"","family":"Zhou","given":"Honghui","non-dropping-particle":"","parse-names":false,"suffix":""},{"dropping-particle":"","family":"Lin","given":"Haiyan","non-dropping-particle":"","parse-names":false,"suffix":""},{"dropping-particle":"","family":"Qi","given":"Jianguo","non-dropping-particle":"","parse-names":false,"suffix":""},{"dropping-particle":"","family":"Zhu","given":"Cheng","non-dropping-particle":"","parse-names":false,"suffix":""},{"dropping-particle":"","family":"Gao","given":"Zhiying","non-dropping-particle":"","parse-names":false,"suffix":""},{"dropping-particle":"","family":"Wang","given":"Hongmei","non-dropping-particle":"","parse-names":false,"suffix":""}],"container-title":"Reproduction","id":"ITEM-1","issue":"3","issued":{"date-parts":[["2012"]]},"page":"389-397","title":"Circulating microRNAs are elevated in plasma from severe preeclamptic pregnancies","type":"article-journal","volume":"143"},"uris":["http://www.mendeley.com/documents/?uuid=08bf4d7f-013a-306f-93ff-ab976015d3cf"]}],"mendeley":{"formattedCitation":"(Wu et al., 2012)","plainTextFormattedCitation":"(Wu et al., 2012)","previouslyFormattedCitation":"(Wu et al., 2012)"},"properties":{"noteIndex":0},"schema":"https://github.com/citation-style-language/schema/raw/master/csl-citation.json"}</w:instrText>
            </w:r>
            <w:r>
              <w:rPr>
                <w:sz w:val="18"/>
                <w:szCs w:val="18"/>
              </w:rPr>
              <w:fldChar w:fldCharType="separate"/>
            </w:r>
            <w:r w:rsidR="009B4DE8" w:rsidRPr="009B4DE8">
              <w:rPr>
                <w:noProof/>
                <w:sz w:val="18"/>
                <w:szCs w:val="18"/>
              </w:rPr>
              <w:t>(Wu et al., 2012)</w:t>
            </w:r>
            <w:r>
              <w:rPr>
                <w:sz w:val="18"/>
                <w:szCs w:val="18"/>
              </w:rPr>
              <w:fldChar w:fldCharType="end"/>
            </w:r>
          </w:p>
          <w:p w:rsidR="009B4DE8" w:rsidRDefault="00E33D6E" w:rsidP="009B4DE8">
            <w:pPr>
              <w:spacing w:after="0"/>
              <w:jc w:val="center"/>
              <w:rPr>
                <w:sz w:val="18"/>
                <w:szCs w:val="18"/>
              </w:rPr>
            </w:pPr>
            <w:r>
              <w:rPr>
                <w:sz w:val="18"/>
                <w:szCs w:val="18"/>
              </w:rPr>
              <w:fldChar w:fldCharType="begin" w:fldLock="1"/>
            </w:r>
            <w:r w:rsidR="009B4DE8">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9B4DE8" w:rsidRPr="009B4DE8">
              <w:rPr>
                <w:noProof/>
                <w:sz w:val="18"/>
                <w:szCs w:val="18"/>
              </w:rPr>
              <w:t>(Winger et al., 2015)</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{"citationItems":[{"id":"ITEM-1","itemData":{"DOI":"10.1007/s10517-018-4267-7","abstract":"The expression of microRNA-17, microRNA-181a, and microRNA-519a in the villous tree in preeclampsia was analyzed using chromogenic in situ hybridization technique (CISH). It was found that in early-onset preeclampsia, the expression of microRNA-17 in the syncytiotrophoblast was higher (p&lt;0.05) than in late preeclampsia, and the expression of microRNA-519a was higher (p&lt;0.05) than in women with preterm birth at 26-31 weeks gestation. We revealed higher level of expression of microRNA-181a (p&lt;0.05) in the cytoplasm of the syncytiotrophoblast of intermediate placental villi in the group with premature delivery in comparison with early preeclampsia. In full-term pregnancy, the expression of microRNA-181a in the vascular endothelium of placental villi was higher (p&lt;0.02) than in women with premature deliveries. Analysis of the target genes associated with these microRNAs showed that damage to the trophoblast typical of preeclampsia, especially up to 34 weeks gestation, was accompanied by selective activation of genes participating in invasion and compensatory suppression of oncoprotective genes associated with the development of malignant neoplasms.","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I.","non-dropping-particle":"","parse-names":false,"suffix":""}],"container-title":"Bulletin of Experimental Biology and Medicine","id":"ITEM-1","issue":"6","issued":{"date-parts":[["2018"]]},"page":"793-797","title":"Change in OncomicroRNA Expression in the Placenta during Preeclampsia","type":"article-journal","volume":"165"},"uris":["http://www.mendeley.com/documents/?uuid=6cf29799-cb89-32f0-b827-9d5410886217"]}],"mendeley":{"formattedCitation":"(Nizyaeva et al., 2018)","plainTextFormattedCitation":"(Nizyaeva et al., 2018)","previouslyFormattedCitation":"(Nizyaeva et al., 2018)"},"properties":{"noteIndex":0},"schema":"https://github.com/citation-style-language/schema/raw/master/csl-citation.json"}</w:instrText>
            </w:r>
            <w:r>
              <w:rPr>
                <w:sz w:val="18"/>
                <w:szCs w:val="18"/>
              </w:rPr>
              <w:fldChar w:fldCharType="separate"/>
            </w:r>
            <w:r w:rsidR="009B4DE8" w:rsidRPr="009B4DE8">
              <w:rPr>
                <w:noProof/>
                <w:sz w:val="18"/>
                <w:szCs w:val="18"/>
              </w:rPr>
              <w:t>(Nizyaeva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w:t>
            </w:r>
          </w:p>
          <w:p w:rsidR="00460963" w:rsidRDefault="00460963" w:rsidP="009B2A14">
            <w:pPr>
              <w:spacing w:after="0"/>
              <w:jc w:val="center"/>
              <w:rPr>
                <w:sz w:val="18"/>
                <w:szCs w:val="18"/>
              </w:rPr>
            </w:pPr>
            <w:r>
              <w:rPr>
                <w:sz w:val="18"/>
                <w:szCs w:val="18"/>
              </w:rPr>
              <w:t>16</w:t>
            </w:r>
          </w:p>
          <w:p w:rsidR="00460963" w:rsidRDefault="00460963" w:rsidP="009B2A14">
            <w:pPr>
              <w:spacing w:after="0"/>
              <w:jc w:val="center"/>
              <w:rPr>
                <w:sz w:val="18"/>
                <w:szCs w:val="18"/>
              </w:rPr>
            </w:pPr>
            <w:r>
              <w:rPr>
                <w:sz w:val="18"/>
                <w:szCs w:val="18"/>
              </w:rPr>
              <w:t>16</w:t>
            </w:r>
          </w:p>
          <w:p w:rsidR="00460963" w:rsidRDefault="00460963" w:rsidP="009B2A14">
            <w:pPr>
              <w:spacing w:after="0"/>
              <w:jc w:val="center"/>
              <w:rPr>
                <w:sz w:val="18"/>
                <w:szCs w:val="18"/>
              </w:rPr>
            </w:pPr>
            <w:r>
              <w:rPr>
                <w:sz w:val="18"/>
                <w:szCs w:val="18"/>
              </w:rPr>
              <w:t>20</w:t>
            </w:r>
          </w:p>
          <w:p w:rsidR="00460963" w:rsidRDefault="00460963" w:rsidP="009B2A14">
            <w:pPr>
              <w:spacing w:after="0"/>
              <w:jc w:val="center"/>
              <w:rPr>
                <w:sz w:val="18"/>
                <w:szCs w:val="18"/>
              </w:rPr>
            </w:pPr>
            <w:r>
              <w:rPr>
                <w:sz w:val="18"/>
                <w:szCs w:val="18"/>
              </w:rPr>
              <w:t>44</w:t>
            </w:r>
          </w:p>
          <w:p w:rsidR="00460963" w:rsidRPr="00F80C43" w:rsidRDefault="00460963" w:rsidP="009B2A14">
            <w:pPr>
              <w:spacing w:after="0"/>
              <w:jc w:val="center"/>
              <w:rPr>
                <w:sz w:val="18"/>
                <w:szCs w:val="18"/>
              </w:rPr>
            </w:pPr>
            <w:r>
              <w:rPr>
                <w:sz w:val="18"/>
                <w:szCs w:val="18"/>
              </w:rPr>
              <w:t>139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181a-1,2</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EB6201"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Pr="00EB6201"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No </w:t>
            </w:r>
          </w:p>
        </w:tc>
        <w:tc>
          <w:tcPr>
            <w:tcW w:w="2977" w:type="dxa"/>
          </w:tcPr>
          <w:p w:rsidR="00460963" w:rsidRDefault="00E33D6E" w:rsidP="009B2A14">
            <w:pPr>
              <w:spacing w:after="0"/>
              <w:jc w:val="center"/>
              <w:rPr>
                <w:sz w:val="18"/>
                <w:szCs w:val="18"/>
              </w:rPr>
            </w:pPr>
            <w:r>
              <w:rPr>
                <w:sz w:val="18"/>
                <w:szCs w:val="18"/>
              </w:rPr>
              <w:fldChar w:fldCharType="begin" w:fldLock="1"/>
            </w:r>
            <w:r w:rsidR="009B4DE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B4DE8" w:rsidRPr="009B4DE8">
              <w:rPr>
                <w:noProof/>
                <w:sz w:val="18"/>
                <w:szCs w:val="18"/>
              </w:rPr>
              <w:t>(Xu et al., 2014)</w:t>
            </w:r>
            <w:r>
              <w:rPr>
                <w:sz w:val="18"/>
                <w:szCs w:val="18"/>
              </w:rPr>
              <w:fldChar w:fldCharType="end"/>
            </w:r>
          </w:p>
          <w:p w:rsidR="009B4DE8" w:rsidRDefault="00E33D6E" w:rsidP="009B2A14">
            <w:pPr>
              <w:spacing w:after="0"/>
              <w:jc w:val="center"/>
              <w:rPr>
                <w:sz w:val="18"/>
                <w:szCs w:val="18"/>
              </w:rPr>
            </w:pPr>
            <w:r>
              <w:rPr>
                <w:sz w:val="18"/>
                <w:szCs w:val="18"/>
              </w:rPr>
              <w:fldChar w:fldCharType="begin" w:fldLock="1"/>
            </w:r>
            <w:r w:rsidR="00932CA1">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B4DE8" w:rsidRPr="009B4DE8">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181a-5p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at delivery</w:t>
            </w:r>
          </w:p>
          <w:p w:rsidR="00460963" w:rsidRDefault="00460963" w:rsidP="009B2A14">
            <w:pPr>
              <w:spacing w:after="0"/>
              <w:jc w:val="center"/>
              <w:rPr>
                <w:color w:val="000000"/>
                <w:sz w:val="18"/>
                <w:szCs w:val="18"/>
              </w:rPr>
            </w:pPr>
            <w:r>
              <w:rPr>
                <w:color w:val="000000"/>
                <w:sz w:val="18"/>
                <w:szCs w:val="18"/>
              </w:rPr>
              <w:t>No difference in sPE 1 year after</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932CA1">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932CA1" w:rsidRPr="00932CA1">
              <w:rPr>
                <w:noProof/>
                <w:sz w:val="18"/>
                <w:szCs w:val="18"/>
              </w:rPr>
              <w:t>(Murphy et al., 2015)</w:t>
            </w:r>
            <w:r>
              <w:rPr>
                <w:sz w:val="18"/>
                <w:szCs w:val="18"/>
              </w:rPr>
              <w:fldChar w:fldCharType="end"/>
            </w:r>
          </w:p>
          <w:p w:rsidR="00932CA1" w:rsidRDefault="00E33D6E" w:rsidP="009B2A14">
            <w:pPr>
              <w:spacing w:after="0"/>
              <w:jc w:val="center"/>
              <w:rPr>
                <w:sz w:val="18"/>
                <w:szCs w:val="18"/>
              </w:rPr>
            </w:pPr>
            <w:r>
              <w:rPr>
                <w:sz w:val="18"/>
                <w:szCs w:val="18"/>
              </w:rPr>
              <w:fldChar w:fldCharType="begin" w:fldLock="1"/>
            </w:r>
            <w:r w:rsidR="00932CA1">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932CA1" w:rsidRPr="00932CA1">
              <w:rPr>
                <w:noProof/>
                <w:sz w:val="18"/>
                <w:szCs w:val="18"/>
              </w:rPr>
              <w:t>(Murphy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EB6201">
              <w:rPr>
                <w:color w:val="000000"/>
                <w:sz w:val="18"/>
                <w:szCs w:val="18"/>
              </w:rPr>
              <w:lastRenderedPageBreak/>
              <w:t>195</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(chorion)</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w:t>
            </w:r>
          </w:p>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UC blood</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 (plasma)</w:t>
            </w:r>
          </w:p>
          <w:p w:rsidR="00460963" w:rsidRPr="00F80C43" w:rsidRDefault="00460963" w:rsidP="009B2A14">
            <w:pPr>
              <w:spacing w:after="0"/>
              <w:jc w:val="center"/>
              <w:rPr>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 (15-18gw)</w:t>
            </w:r>
          </w:p>
          <w:p w:rsidR="00460963" w:rsidRPr="00F80C43" w:rsidRDefault="00460963" w:rsidP="009B2A14">
            <w:pPr>
              <w:spacing w:after="0"/>
              <w:jc w:val="center"/>
              <w:rPr>
                <w:sz w:val="18"/>
                <w:szCs w:val="18"/>
              </w:rPr>
            </w:pPr>
            <w:r>
              <w:rPr>
                <w:color w:val="000000"/>
                <w:sz w:val="18"/>
                <w:szCs w:val="18"/>
              </w:rPr>
              <w:t>Down in sPE (35-39gw)</w:t>
            </w:r>
          </w:p>
        </w:tc>
        <w:tc>
          <w:tcPr>
            <w:tcW w:w="1173" w:type="dxa"/>
            <w:vAlign w:val="center"/>
          </w:tcPr>
          <w:p w:rsidR="00460963" w:rsidRDefault="00460963" w:rsidP="009B2A14">
            <w:pPr>
              <w:spacing w:after="0"/>
              <w:jc w:val="center"/>
              <w:rPr>
                <w:color w:val="000000"/>
                <w:sz w:val="18"/>
                <w:szCs w:val="18"/>
              </w:rPr>
            </w:pPr>
            <w:r>
              <w:rPr>
                <w:color w:val="000000"/>
                <w:sz w:val="18"/>
                <w:szCs w:val="18"/>
              </w:rPr>
              <w:t>Y</w:t>
            </w:r>
            <w:r w:rsidRPr="00EB6201">
              <w:rPr>
                <w:color w:val="000000"/>
                <w:sz w:val="18"/>
                <w:szCs w:val="18"/>
              </w:rPr>
              <w:t>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NR</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No</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NR</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Pr="00F80C4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932CA1">
              <w:rPr>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sz w:val="18"/>
                <w:szCs w:val="18"/>
              </w:rPr>
              <w:fldChar w:fldCharType="separate"/>
            </w:r>
            <w:r w:rsidR="00932CA1" w:rsidRPr="00932CA1">
              <w:rPr>
                <w:noProof/>
                <w:sz w:val="18"/>
                <w:szCs w:val="18"/>
              </w:rPr>
              <w:t>(Hu et al., 2009)</w:t>
            </w:r>
            <w:r>
              <w:rPr>
                <w:sz w:val="18"/>
                <w:szCs w:val="18"/>
              </w:rPr>
              <w:fldChar w:fldCharType="end"/>
            </w:r>
          </w:p>
          <w:p w:rsidR="00932CA1" w:rsidRDefault="00E33D6E" w:rsidP="009B2A14">
            <w:pPr>
              <w:spacing w:after="0"/>
              <w:jc w:val="center"/>
              <w:rPr>
                <w:sz w:val="18"/>
                <w:szCs w:val="18"/>
              </w:rPr>
            </w:pPr>
            <w:r>
              <w:rPr>
                <w:sz w:val="18"/>
                <w:szCs w:val="18"/>
              </w:rPr>
              <w:fldChar w:fldCharType="begin" w:fldLock="1"/>
            </w:r>
            <w:r w:rsidR="00932CA1">
              <w:rPr>
                <w:sz w:val="18"/>
                <w:szCs w:val="18"/>
              </w:rPr>
              <w:instrText>ADDIN CSL_CITATION {"citationItems":[{"id":"ITEM-1","itemData":{"DOI":"10.1371/journal.pone.0038875","abstract":"Background: Preeclampsia (PE) is a pregnancy-specific syndrome manifested by on-set of hypertension and proteinuria after 20 weeks of gestation. Abnormal placenta development has been generally accepted as initial cause of the disorder. Recently, miR-195 was found to be down-regulated in preeclamptic placentas compared with normal pregnant ones, indicating possible association of this small molecule with placental pathology of preeclampsia. By far the function of miR-195 in the development of placenta remains unknown. Methodology/Principal Findings: Bioinformatic assay predicted ActRIIA as one of the targets for miR-195. By using Real-time PCR, Western blotting and Dual Luciferase Assay, we validated that ActRIIA was the direct target of miR-195 in human trophoblast cells. Transwell insert invasion assay showed that miR-195 could promote cell invasion in trophoblast cell line, HTR8/SVneo cells, and the effect could be abrogated by overexpressed ActRIIA. In preeclamptic placenta tissues, pri-miR-195 and mature miR-195 expressions were down-regulated, whereas ActRIIA level appeared to be increased when compared with that in gestational-week-matched normal placentas. Conclusions/Significance: This is the first report on the function of miR-195 in human placental trophoblast cells which reveals an invasion-promoting effect of the small RNA via repressing ActRIIA. Aberrant expression of miR-195 may contribute to the occurrence of preeclampsia through interfering with Activin/Nodal signaling mediated by ActRIIA in human placenta. © 2012 Bai et al.","author":[{"dropping-particle":"","family":"Bai","given":"Yang","non-dropping-particle":"","parse-names":false,"suffix":""},{"dropping-particle":"","family":"Yang","given":"Weiwei","non-dropping-particle":"","parse-names":false,"suffix":""},{"dropping-particle":"","family":"Yang","given":"Hui xia","non-dropping-particle":"","parse-names":false,"suffix":""},{"dropping-particle":"","family":"Liao","given":"Qinping","non-dropping-particle":"","parse-names":false,"suffix":""},{"dropping-particle":"","family":"Ye","given":"Gang","non-dropping-particle":"","parse-names":false,"suffix":""},{"dropping-particle":"","family":"Fu","given":"Guodong","non-dropping-particle":"","parse-names":false,"suffix":""},{"dropping-particle":"","family":"Ji","given":"Lei","non-dropping-particle":"","parse-names":false,"suffix":""},{"dropping-particle":"","family":"Xu","given":"Peng","non-dropping-particle":"","parse-names":false,"suffix":""},{"dropping-particle":"","family":"Wang","given":"Hao","non-dropping-particle":"","parse-names":false,"suffix":""},{"dropping-particle":"","family":"Li","given":"Yu xia","non-dropping-particle":"","parse-names":false,"suffix":""},{"dropping-particle":"","family":"Peng","given":"Chun","non-dropping-particle":"","parse-names":false,"suffix":""},{"dropping-particle":"","family":"Wang","given":"Yan ling","non-dropping-particle":"","parse-names":false,"suffix":""}],"container-title":"PLoS ONE","id":"ITEM-1","issue":"6","issued":{"date-parts":[["2012"]]},"page":"e38875","title":"Downregulated miR-195 detected in Preeclamptic Placenta affects trophoblast cell invasion via modulating ActRIIA expression","type":"article-journal","volume":"7"},"uris":["http://www.mendeley.com/documents/?uuid=6487de34-569c-3778-bec2-480d8ca6122f"]}],"mendeley":{"formattedCitation":"(Bai et al., 2012)","plainTextFormattedCitation":"(Bai et al., 2012)","previouslyFormattedCitation":"(Bai et al., 2012)"},"properties":{"noteIndex":0},"schema":"https://github.com/citation-style-language/schema/raw/master/csl-citation.json"}</w:instrText>
            </w:r>
            <w:r>
              <w:rPr>
                <w:sz w:val="18"/>
                <w:szCs w:val="18"/>
              </w:rPr>
              <w:fldChar w:fldCharType="separate"/>
            </w:r>
            <w:r w:rsidR="00932CA1" w:rsidRPr="00932CA1">
              <w:rPr>
                <w:noProof/>
                <w:sz w:val="18"/>
                <w:szCs w:val="18"/>
              </w:rPr>
              <w:t>(Bai et al., 2012)</w:t>
            </w:r>
            <w:r>
              <w:rPr>
                <w:sz w:val="18"/>
                <w:szCs w:val="18"/>
              </w:rPr>
              <w:fldChar w:fldCharType="end"/>
            </w:r>
          </w:p>
          <w:p w:rsidR="00932CA1" w:rsidRDefault="00E33D6E" w:rsidP="00932CA1">
            <w:pPr>
              <w:spacing w:after="0"/>
              <w:jc w:val="center"/>
              <w:rPr>
                <w:sz w:val="18"/>
                <w:szCs w:val="18"/>
              </w:rPr>
            </w:pPr>
            <w:r>
              <w:rPr>
                <w:sz w:val="18"/>
                <w:szCs w:val="18"/>
              </w:rPr>
              <w:fldChar w:fldCharType="begin" w:fldLock="1"/>
            </w:r>
            <w:r w:rsidR="00932CA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932CA1" w:rsidRPr="00FA32AE">
              <w:rPr>
                <w:noProof/>
                <w:sz w:val="18"/>
                <w:szCs w:val="18"/>
              </w:rPr>
              <w:t>(Winger et al., 2015)</w:t>
            </w:r>
            <w:r>
              <w:rPr>
                <w:sz w:val="18"/>
                <w:szCs w:val="18"/>
              </w:rPr>
              <w:fldChar w:fldCharType="end"/>
            </w:r>
          </w:p>
          <w:p w:rsidR="00932CA1" w:rsidRDefault="00E33D6E" w:rsidP="00932CA1">
            <w:pPr>
              <w:spacing w:after="0"/>
              <w:jc w:val="center"/>
              <w:rPr>
                <w:sz w:val="18"/>
                <w:szCs w:val="18"/>
              </w:rPr>
            </w:pPr>
            <w:r>
              <w:rPr>
                <w:sz w:val="18"/>
                <w:szCs w:val="18"/>
              </w:rPr>
              <w:fldChar w:fldCharType="begin" w:fldLock="1"/>
            </w:r>
            <w:r w:rsidR="00932CA1">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32CA1" w:rsidRPr="00FA32AE">
              <w:rPr>
                <w:noProof/>
                <w:sz w:val="18"/>
                <w:szCs w:val="18"/>
              </w:rPr>
              <w:t>(Xu et al., 2014)</w:t>
            </w:r>
            <w:r>
              <w:rPr>
                <w:sz w:val="18"/>
                <w:szCs w:val="18"/>
              </w:rPr>
              <w:fldChar w:fldCharType="end"/>
            </w:r>
          </w:p>
          <w:p w:rsidR="00932CA1" w:rsidRDefault="00E33D6E" w:rsidP="00932CA1">
            <w:pPr>
              <w:spacing w:after="0"/>
              <w:jc w:val="center"/>
              <w:rPr>
                <w:sz w:val="18"/>
                <w:szCs w:val="18"/>
              </w:rPr>
            </w:pPr>
            <w:r>
              <w:rPr>
                <w:sz w:val="18"/>
                <w:szCs w:val="18"/>
              </w:rPr>
              <w:fldChar w:fldCharType="begin" w:fldLock="1"/>
            </w:r>
            <w:r w:rsidR="00932CA1">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32CA1" w:rsidRPr="00FA32AE">
              <w:rPr>
                <w:noProof/>
                <w:sz w:val="18"/>
                <w:szCs w:val="18"/>
              </w:rPr>
              <w:t>(Xu et al., 2014)</w:t>
            </w:r>
            <w:r>
              <w:rPr>
                <w:sz w:val="18"/>
                <w:szCs w:val="18"/>
              </w:rPr>
              <w:fldChar w:fldCharType="end"/>
            </w:r>
          </w:p>
          <w:p w:rsidR="00932CA1" w:rsidRDefault="00E33D6E" w:rsidP="00932CA1">
            <w:pPr>
              <w:spacing w:after="0"/>
              <w:jc w:val="center"/>
              <w:rPr>
                <w:sz w:val="18"/>
                <w:szCs w:val="18"/>
              </w:rPr>
            </w:pPr>
            <w:r>
              <w:rPr>
                <w:sz w:val="18"/>
                <w:szCs w:val="18"/>
              </w:rPr>
              <w:fldChar w:fldCharType="begin" w:fldLock="1"/>
            </w:r>
            <w:r w:rsidR="00932CA1">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932CA1">
              <w:rPr>
                <w:rFonts w:ascii="MS Mincho" w:eastAsia="MS Mincho" w:hAnsi="MS Mincho" w:cs="MS Mincho" w:hint="eastAsia"/>
                <w:sz w:val="18"/>
                <w:szCs w:val="18"/>
              </w:rPr>
              <w:instrText>‑</w:instrText>
            </w:r>
            <w:r w:rsidR="00932CA1">
              <w:rPr>
                <w:rFonts w:cs="Times New Roman"/>
                <w:sz w:val="18"/>
                <w:szCs w:val="18"/>
              </w:rPr>
              <w:instrText>eclampsia o</w:instrText>
            </w:r>
            <w:r w:rsidR="00932CA1">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932CA1" w:rsidRPr="00FA32AE">
              <w:rPr>
                <w:noProof/>
                <w:sz w:val="18"/>
                <w:szCs w:val="18"/>
              </w:rPr>
              <w:t>(Vashukova et al., 2016)</w:t>
            </w:r>
            <w:r>
              <w:rPr>
                <w:sz w:val="18"/>
                <w:szCs w:val="18"/>
              </w:rPr>
              <w:fldChar w:fldCharType="end"/>
            </w:r>
          </w:p>
          <w:p w:rsidR="00932CA1"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932CA1" w:rsidRPr="00932CA1">
              <w:rPr>
                <w:noProof/>
                <w:sz w:val="18"/>
                <w:szCs w:val="18"/>
              </w:rPr>
              <w:t>(Hromadnikova et al., 2017)</w:t>
            </w:r>
            <w:r>
              <w:rPr>
                <w:sz w:val="18"/>
                <w:szCs w:val="18"/>
              </w:rPr>
              <w:fldChar w:fldCharType="end"/>
            </w:r>
          </w:p>
          <w:p w:rsidR="00BB7CB7"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{"citationItems":[{"id":"ITEM-1","itemData":{"DOI":"10.1080/14767058.2018.1508439","abstract":"Purpose: Preeclampsia (PE) is a pregnancy specific disease soon after 20 weeks of gestation where major symptoms are hypertension and proteinuria. The underlying pathology is believed to be abnormal placentation. Epigenetic and genetic factors have significant roles in abnormal placental development. MicroRNA’s (miRNAs), being one of the most important epigenetic regulators, take part in abnormal placentation. Hsa-miR-195 is a molecule associated with abnormal placental growth mechanisms such as impaired cellular proliferation, inadequate trophoblastic invasion causing defective spiral artery remodeling, and apoptosis. We aimed to evaluate miRNA functions, namely miR-195 expression profile, in order to divulge PE pathogenesis. Methods: In this study, we extracted circulating miRNAs from maternal plasma and placenta from 20 PE patients and 20 normotensive pregnant women. miR-195 was quantified using quantitative real time reverse transcriptase PCR (qRT-PCR). The target genes of miR-195 were predicted by Diana Tools-mirPath, TargetScan, and miRDB databases. Results: We found that miR-195 levels were downregulated (3.83-fold decrease, p &lt;.05) in preeclamptic placenta samples, however miR-195 were undetected in preeclamptic and normotensive plasma samples. The steep down-regulation of miR-195 points to its importance of PE pathogenesis. Conclusion: miR-195 is suggested to regulate PE via its target genes manipulating biological processes such as placental proliferation, apoptosis, and angiogenesis. We propose that detection of decreased miR-195 levels in preeclamptic placentas could be used to enlighten the pathophysiology of PE.","author":[{"dropping-particle":"","family":"Gunel","given":"Tuba","non-dropping-particle":"","parse-names":false,"suffix":""},{"dropping-particle":"","family":"Kamali","given":"Nilufer","non-dropping-particle":"","parse-names":false,"suffix":""},{"dropping-particle":"","family":"Hosseini","given":"Mohammad K.","non-dropping-particle":"","parse-names":false,"suffix":""},{"dropping-particle":"","family":"Gumusoglu","given":"Ece","non-dropping-particle":"","parse-names":false,"suffix":""},{"dropping-particle":"","family":"Benian","given":"Ali","non-dropping-particle":"","parse-names":false,"suffix":""},{"dropping-particle":"","family":"Aydinli","given":"Kilic","non-dropping-particle":"","parse-names":false,"suffix":""}],"container-title":"Journal of Maternal-Fetal and Neonatal Medicine","id":"ITEM-1","issue":"6","issued":{"date-parts":[["2020"]]},"page":"901-908","title":"Regulatory effect of miR-195 in the placental dysfunction of preeclampsia","type":"article-journal","volume":"33"},"uris":["http://www.mendeley.com/documents/?uuid=a26f6a1b-a599-3ed3-a4d7-e65c533212fc"]}],"mendeley":{"formattedCitation":"(Gunel et al., 2020)","plainTextFormattedCitation":"(Gunel et al., 2020)","previouslyFormattedCitation":"(Gunel et al., 2020)"},"properties":{"noteIndex":0},"schema":"https://github.com/citation-style-language/schema/raw/master/csl-citation.json"}</w:instrText>
            </w:r>
            <w:r>
              <w:rPr>
                <w:sz w:val="18"/>
                <w:szCs w:val="18"/>
              </w:rPr>
              <w:fldChar w:fldCharType="separate"/>
            </w:r>
            <w:r w:rsidR="00BB7CB7" w:rsidRPr="00BB7CB7">
              <w:rPr>
                <w:noProof/>
                <w:sz w:val="18"/>
                <w:szCs w:val="18"/>
              </w:rPr>
              <w:t>(Gunel et al., 2020)</w:t>
            </w:r>
            <w:r>
              <w:rPr>
                <w:sz w:val="18"/>
                <w:szCs w:val="18"/>
              </w:rPr>
              <w:fldChar w:fldCharType="end"/>
            </w:r>
          </w:p>
          <w:p w:rsidR="00BB7CB7"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{"citationItems":[{"id":"ITEM-1","itemData":{"DOI":"10.1080/14767058.2018.1508439","abstract":"Purpose: Preeclampsia (PE) is a pregnancy specific disease soon after 20 weeks of gestation where major symptoms are hypertension and proteinuria. The underlying pathology is believed to be abnormal placentation. Epigenetic and genetic factors have significant roles in abnormal placental development. MicroRNA’s (miRNAs), being one of the most important epigenetic regulators, take part in abnormal placentation. Hsa-miR-195 is a molecule associated with abnormal placental growth mechanisms such as impaired cellular proliferation, inadequate trophoblastic invasion causing defective spiral artery remodeling, and apoptosis. We aimed to evaluate miRNA functions, namely miR-195 expression profile, in order to divulge PE pathogenesis. Methods: In this study, we extracted circulating miRNAs from maternal plasma and placenta from 20 PE patients and 20 normotensive pregnant women. miR-195 was quantified using quantitative real time reverse transcriptase PCR (qRT-PCR). The target genes of miR-195 were predicted by Diana Tools-mirPath, TargetScan, and miRDB databases. Results: We found that miR-195 levels were downregulated (3.83-fold decrease, p &lt;.05) in preeclamptic placenta samples, however miR-195 were undetected in preeclamptic and normotensive plasma samples. The steep down-regulation of miR-195 points to its importance of PE pathogenesis. Conclusion: miR-195 is suggested to regulate PE via its target genes manipulating biological processes such as placental proliferation, apoptosis, and angiogenesis. We propose that detection of decreased miR-195 levels in preeclamptic placentas could be used to enlighten the pathophysiology of PE.","author":[{"dropping-particle":"","family":"Gunel","given":"Tuba","non-dropping-particle":"","parse-names":false,"suffix":""},{"dropping-particle":"","family":"Kamali","given":"Nilufer","non-dropping-particle":"","parse-names":false,"suffix":""},{"dropping-particle":"","family":"Hosseini","given":"Mohammad K.","non-dropping-particle":"","parse-names":false,"suffix":""},{"dropping-particle":"","family":"Gumusoglu","given":"Ece","non-dropping-particle":"","parse-names":false,"suffix":""},{"dropping-particle":"","family":"Benian","given":"Ali","non-dropping-particle":"","parse-names":false,"suffix":""},{"dropping-particle":"","family":"Aydinli","given":"Kilic","non-dropping-particle":"","parse-names":false,"suffix":""}],"container-title":"Journal of Maternal-Fetal and Neonatal Medicine","id":"ITEM-1","issue":"6","issued":{"date-parts":[["2020"]]},"page":"901-908","title":"Regulatory effect of miR-195 in the placental dysfunction of preeclampsia","type":"article-journal","volume":"33"},"uris":["http://www.mendeley.com/documents/?uuid=a26f6a1b-a599-3ed3-a4d7-e65c533212fc"]}],"mendeley":{"formattedCitation":"(Gunel et al., 2020)","plainTextFormattedCitation":"(Gunel et al., 2020)","previouslyFormattedCitation":"(Gunel et al., 2020)"},"properties":{"noteIndex":0},"schema":"https://github.com/citation-style-language/schema/raw/master/csl-citation.json"}</w:instrText>
            </w:r>
            <w:r>
              <w:rPr>
                <w:sz w:val="18"/>
                <w:szCs w:val="18"/>
              </w:rPr>
              <w:fldChar w:fldCharType="separate"/>
            </w:r>
            <w:r w:rsidR="00BB7CB7" w:rsidRPr="00BB7CB7">
              <w:rPr>
                <w:noProof/>
                <w:sz w:val="18"/>
                <w:szCs w:val="18"/>
              </w:rPr>
              <w:t>(Gunel et al., 2020)</w:t>
            </w:r>
            <w:r>
              <w:rPr>
                <w:sz w:val="18"/>
                <w:szCs w:val="18"/>
              </w:rPr>
              <w:fldChar w:fldCharType="end"/>
            </w:r>
          </w:p>
          <w:p w:rsidR="00BB7CB7"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{"citationItems":[{"id":"ITEM-1","itemData":{"DOI":"10.1097/HJH.0000000000001529","abstract":"Objective: Preeclampsia is a severe pregnancy-specific syndrome defined as newly onset hypertension and proteinuria. Abnormal placental development has been generally accepted as the initial cause of the disorder. Recently, miR-195 was identified as one of the downregulated small RNAs in preeclamptic placentas. Methods: The potential targets of miR-195 in human trophoblast cells were screened by isobaric tags for relative and absolute quantification-based mass spectrum analysis. Localization of miR-195 and its targets was examined by in-situ hybridization and immunohistochemistry in human placenta. Real-Time PCR, western blotting and luciferase assay were used for target validation. Apoptosis was accessed by Annexin V/PI costaining, whereas mitochondrial function by ATP measurement and tetramethylrhodamine ethyl ester fluorescence. Results: Two mitochondria-Associated proteins, flavin adenine dinucleotide-dependent oxidoreductase domain-containing protein 1 (FOXRED1) and pyruvate dehydrogenase phosphatase regulatory subunit (PDPR), were identified as targets of miR-195. Overexpression of miR-195 in HTR8/SVneo cells resulted in enhanced apoptosis, decreased mitochondrial membrane potential and cellular ATP content upon hydrogen peroxide stimulation. The effects could be partially rescued by FOXRED1 or PDPR. In preeclamptic patients, lowered circulating level of miR-195 were found at early-To-mid gestation and term pregnancy, and marked increase in FOXRED1 and PDPR expression were observed in the placenta when compared with gestational week-matched controls. In addition, chronic hydrogen peroxide stimuli suppressed miR-195 expression in trophoblast cells. Conclusion: MiR-195 could suppress mitochondrial energy production via targeting FOXRED1 and PDPR, and lead to trophoblast cell apoptosis under oxidative stress. In preeclamptic placenta, lowered level of miR-195 might be induced by chorionic oxidative stress and subsequently form a compensation mechanism to defend the disturbed energy production and cell apoptosis upon oxidative stress.","author":[{"dropping-particle":"","family":"Wang","given":"Hao","non-dropping-particle":"","parse-names":false,"suffix":""},{"dropping-particle":"","family":"Zhang","given":"Lanmei","non-dropping-particle":"","parse-names":false,"suffix":""},{"dropping-particle":"","family":"Guo","given":"Xuejiang","non-dropping-particle":"","parse-names":false,"suffix":""},{"dropping-particle":"","family":"Bai","given":"Yang","non-dropping-particle":"","parse-names":false,"suffix":""},{"dropping-particle":"","family":"Li","given":"Yu Xia","non-dropping-particle":"","parse-names":false,"suffix":""},{"dropping-particle":"","family":"Sha","given":"Jiahao","non-dropping-particle":"","parse-names":false,"suffix":""},{"dropping-particle":"","family":"Peng","given":"Chun","non-dropping-particle":"","parse-names":false,"suffix":""},{"dropping-particle":"","family":"Wang","given":"Yan Ling","non-dropping-particle":"","parse-names":false,"suffix":""},{"dropping-particle":"","family":"Liu","given":"Ming","non-dropping-particle":"","parse-names":false,"suffix":""}],"container-title":"Journal of Hypertension","id":"ITEM-1","issue":"2","issued":{"date-parts":[["2018"]]},"page":"306-318","title":"MiR-195 modulates oxidative stress-induced apoptosis and mitochondrial energy production in human trophoblasts via flavin adenine dinucleotide-dependent oxidoreductase domain-containing protein 1 and pyruvate dehydrogenase phosphatase regulatory subunit","type":"article-journal","volume":"36"},"uris":["http://www.mendeley.com/documents/?uuid=175f2098-272f-3d60-9b4d-1564648f9bca"]}],"mendeley":{"formattedCitation":"(Wang et al., 2018a)","plainTextFormattedCitation":"(Wang et al., 2018a)","previouslyFormattedCitation":"(Wang et al., 2018a)"},"properties":{"noteIndex":0},"schema":"https://github.com/citation-style-language/schema/raw/master/csl-citation.json"}</w:instrText>
            </w:r>
            <w:r>
              <w:rPr>
                <w:sz w:val="18"/>
                <w:szCs w:val="18"/>
              </w:rPr>
              <w:fldChar w:fldCharType="separate"/>
            </w:r>
            <w:r w:rsidR="00BB7CB7" w:rsidRPr="00BB7CB7">
              <w:rPr>
                <w:noProof/>
                <w:sz w:val="18"/>
                <w:szCs w:val="18"/>
              </w:rPr>
              <w:t>(Wang et al., 2018a)</w:t>
            </w:r>
            <w:r>
              <w:rPr>
                <w:sz w:val="18"/>
                <w:szCs w:val="18"/>
              </w:rPr>
              <w:fldChar w:fldCharType="end"/>
            </w:r>
          </w:p>
          <w:p w:rsidR="00BB7CB7"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{"citationItems":[{"id":"ITEM-1","itemData":{"DOI":"10.1097/HJH.0000000000001529","abstract":"Objective: Preeclampsia is a severe pregnancy-specific syndrome defined as newly onset hypertension and proteinuria. Abnormal placental development has been generally accepted as the initial cause of the disorder. Recently, miR-195 was identified as one of the downregulated small RNAs in preeclamptic placentas. Methods: The potential targets of miR-195 in human trophoblast cells were screened by isobaric tags for relative and absolute quantification-based mass spectrum analysis. Localization of miR-195 and its targets was examined by in-situ hybridization and immunohistochemistry in human placenta. Real-Time PCR, western blotting and luciferase assay were used for target validation. Apoptosis was accessed by Annexin V/PI costaining, whereas mitochondrial function by ATP measurement and tetramethylrhodamine ethyl ester fluorescence. Results: Two mitochondria-Associated proteins, flavin adenine dinucleotide-dependent oxidoreductase domain-containing protein 1 (FOXRED1) and pyruvate dehydrogenase phosphatase regulatory subunit (PDPR), were identified as targets of miR-195. Overexpression of miR-195 in HTR8/SVneo cells resulted in enhanced apoptosis, decreased mitochondrial membrane potential and cellular ATP content upon hydrogen peroxide stimulation. The effects could be partially rescued by FOXRED1 or PDPR. In preeclamptic patients, lowered circulating level of miR-195 were found at early-To-mid gestation and term pregnancy, and marked increase in FOXRED1 and PDPR expression were observed in the placenta when compared with gestational week-matched controls. In addition, chronic hydrogen peroxide stimuli suppressed miR-195 expression in trophoblast cells. Conclusion: MiR-195 could suppress mitochondrial energy production via targeting FOXRED1 and PDPR, and lead to trophoblast cell apoptosis under oxidative stress. In preeclamptic placenta, lowered level of miR-195 might be induced by chorionic oxidative stress and subsequently form a compensation mechanism to defend the disturbed energy production and cell apoptosis upon oxidative stress.","author":[{"dropping-particle":"","family":"Wang","given":"Hao","non-dropping-particle":"","parse-names":false,"suffix":""},{"dropping-particle":"","family":"Zhang","given":"Lanmei","non-dropping-particle":"","parse-names":false,"suffix":""},{"dropping-particle":"","family":"Guo","given":"Xuejiang","non-dropping-particle":"","parse-names":false,"suffix":""},{"dropping-particle":"","family":"Bai","given":"Yang","non-dropping-particle":"","parse-names":false,"suffix":""},{"dropping-particle":"","family":"Li","given":"Yu Xia","non-dropping-particle":"","parse-names":false,"suffix":""},{"dropping-particle":"","family":"Sha","given":"Jiahao","non-dropping-particle":"","parse-names":false,"suffix":""},{"dropping-particle":"","family":"Peng","given":"Chun","non-dropping-particle":"","parse-names":false,"suffix":""},{"dropping-particle":"","family":"Wang","given":"Yan Ling","non-dropping-particle":"","parse-names":false,"suffix":""},{"dropping-particle":"","family":"Liu","given":"Ming","non-dropping-particle":"","parse-names":false,"suffix":""}],"container-title":"Journal of Hypertension","id":"ITEM-1","issue":"2","issued":{"date-parts":[["2018"]]},"page":"306-318","title":"MiR-195 modulates oxidative stress-induced apoptosis and mitochondrial energy production in human trophoblasts via flavin adenine dinucleotide-dependent oxidoreductase domain-containing protein 1 and pyruvate dehydrogenase phosphatase regulatory subunit","type":"article-journal","volume":"36"},"uris":["http://www.mendeley.com/documents/?uuid=175f2098-272f-3d60-9b4d-1564648f9bca"]}],"mendeley":{"formattedCitation":"(Wang et al., 2018a)","plainTextFormattedCitation":"(Wang et al., 2018a)","previouslyFormattedCitation":"(Wang et al., 2018a)"},"properties":{"noteIndex":0},"schema":"https://github.com/citation-style-language/schema/raw/master/csl-citation.json"}</w:instrText>
            </w:r>
            <w:r>
              <w:rPr>
                <w:sz w:val="18"/>
                <w:szCs w:val="18"/>
              </w:rPr>
              <w:fldChar w:fldCharType="separate"/>
            </w:r>
            <w:r w:rsidR="00BB7CB7" w:rsidRPr="00BB7CB7">
              <w:rPr>
                <w:noProof/>
                <w:sz w:val="18"/>
                <w:szCs w:val="18"/>
              </w:rPr>
              <w:t>(Wang et al., 2018a)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w:t>
            </w:r>
          </w:p>
          <w:p w:rsidR="00460963" w:rsidRDefault="00460963" w:rsidP="009B2A14">
            <w:pPr>
              <w:spacing w:after="0"/>
              <w:jc w:val="center"/>
              <w:rPr>
                <w:sz w:val="18"/>
                <w:szCs w:val="18"/>
              </w:rPr>
            </w:pPr>
            <w:r>
              <w:rPr>
                <w:sz w:val="18"/>
                <w:szCs w:val="18"/>
              </w:rPr>
              <w:t>12</w:t>
            </w:r>
          </w:p>
          <w:p w:rsidR="00460963" w:rsidRDefault="00460963" w:rsidP="009B2A14">
            <w:pPr>
              <w:spacing w:after="0"/>
              <w:jc w:val="center"/>
              <w:rPr>
                <w:sz w:val="18"/>
                <w:szCs w:val="18"/>
              </w:rPr>
            </w:pPr>
            <w:r>
              <w:rPr>
                <w:sz w:val="18"/>
                <w:szCs w:val="18"/>
              </w:rPr>
              <w:t>44</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74</w:t>
            </w:r>
          </w:p>
          <w:p w:rsidR="00460963" w:rsidRDefault="00460963" w:rsidP="009B2A14">
            <w:pPr>
              <w:spacing w:after="0"/>
              <w:jc w:val="center"/>
              <w:rPr>
                <w:sz w:val="18"/>
                <w:szCs w:val="18"/>
              </w:rPr>
            </w:pPr>
            <w:r>
              <w:rPr>
                <w:sz w:val="18"/>
                <w:szCs w:val="18"/>
              </w:rPr>
              <w:t>92</w:t>
            </w:r>
          </w:p>
          <w:p w:rsidR="00460963" w:rsidRDefault="00460963" w:rsidP="009B2A14">
            <w:pPr>
              <w:spacing w:after="0"/>
              <w:jc w:val="center"/>
              <w:rPr>
                <w:sz w:val="18"/>
                <w:szCs w:val="18"/>
              </w:rPr>
            </w:pPr>
            <w:r>
              <w:rPr>
                <w:sz w:val="18"/>
                <w:szCs w:val="18"/>
              </w:rPr>
              <w:t>127</w:t>
            </w:r>
          </w:p>
          <w:p w:rsidR="00460963" w:rsidRDefault="00460963" w:rsidP="009B2A14">
            <w:pPr>
              <w:spacing w:after="0"/>
              <w:jc w:val="center"/>
              <w:rPr>
                <w:sz w:val="18"/>
                <w:szCs w:val="18"/>
              </w:rPr>
            </w:pPr>
            <w:r>
              <w:rPr>
                <w:sz w:val="18"/>
                <w:szCs w:val="18"/>
              </w:rPr>
              <w:t>127</w:t>
            </w:r>
          </w:p>
          <w:p w:rsidR="00460963" w:rsidRDefault="00460963" w:rsidP="009B2A14">
            <w:pPr>
              <w:spacing w:after="0"/>
              <w:jc w:val="center"/>
              <w:rPr>
                <w:sz w:val="18"/>
                <w:szCs w:val="18"/>
              </w:rPr>
            </w:pPr>
            <w:r>
              <w:rPr>
                <w:sz w:val="18"/>
                <w:szCs w:val="18"/>
              </w:rPr>
              <w:t>143</w:t>
            </w:r>
          </w:p>
          <w:p w:rsidR="00460963" w:rsidRPr="00F80C43" w:rsidRDefault="00460963" w:rsidP="009B2A14">
            <w:pPr>
              <w:spacing w:after="0"/>
              <w:jc w:val="center"/>
              <w:rPr>
                <w:sz w:val="18"/>
                <w:szCs w:val="18"/>
              </w:rPr>
            </w:pPr>
            <w:r>
              <w:rPr>
                <w:sz w:val="18"/>
                <w:szCs w:val="18"/>
              </w:rPr>
              <w:t>143</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195-5p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Pr="00EB6201" w:rsidRDefault="00460963" w:rsidP="009B2A14">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Pr="00EB6201"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No </w:t>
            </w:r>
          </w:p>
        </w:tc>
        <w:tc>
          <w:tcPr>
            <w:tcW w:w="2977" w:type="dxa"/>
          </w:tcPr>
          <w:p w:rsidR="00BB7CB7" w:rsidRDefault="00E33D6E" w:rsidP="00BB7CB7">
            <w:pPr>
              <w:spacing w:after="0"/>
              <w:jc w:val="center"/>
              <w:rPr>
                <w:sz w:val="18"/>
                <w:szCs w:val="18"/>
              </w:rPr>
            </w:pPr>
            <w:r>
              <w:rPr>
                <w:sz w:val="18"/>
                <w:szCs w:val="18"/>
              </w:rPr>
              <w:fldChar w:fldCharType="begin" w:fldLock="1"/>
            </w:r>
            <w:r w:rsidR="00BB7CB7">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BB7CB7"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BB7CB7" w:rsidRPr="00BB7CB7">
              <w:rPr>
                <w:noProof/>
                <w:sz w:val="18"/>
                <w:szCs w:val="18"/>
              </w:rPr>
              <w:t>(Hromadnikova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66</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EB6201">
              <w:rPr>
                <w:color w:val="000000"/>
                <w:sz w:val="18"/>
                <w:szCs w:val="18"/>
              </w:rPr>
              <w:t>222</w:t>
            </w:r>
          </w:p>
        </w:tc>
        <w:tc>
          <w:tcPr>
            <w:tcW w:w="2136" w:type="dxa"/>
            <w:vAlign w:val="center"/>
          </w:tcPr>
          <w:p w:rsidR="00460963" w:rsidRPr="00F80C43" w:rsidRDefault="00460963" w:rsidP="009B2A14">
            <w:pPr>
              <w:spacing w:after="0"/>
              <w:jc w:val="center"/>
              <w:rPr>
                <w:sz w:val="18"/>
                <w:szCs w:val="18"/>
              </w:rPr>
            </w:pPr>
            <w:r>
              <w:rPr>
                <w:color w:val="000000"/>
                <w:sz w:val="18"/>
                <w:szCs w:val="18"/>
              </w:rPr>
              <w:t>Placenta</w:t>
            </w:r>
            <w:r w:rsidRPr="00EB6201">
              <w:rPr>
                <w:color w:val="000000"/>
                <w:sz w:val="18"/>
                <w:szCs w:val="18"/>
              </w:rPr>
              <w:t xml:space="preserve"> (chorion)</w:t>
            </w:r>
          </w:p>
        </w:tc>
        <w:tc>
          <w:tcPr>
            <w:tcW w:w="2859" w:type="dxa"/>
            <w:vAlign w:val="center"/>
          </w:tcPr>
          <w:p w:rsidR="00460963" w:rsidRPr="00F80C43" w:rsidRDefault="00460963" w:rsidP="009B2A14">
            <w:pPr>
              <w:spacing w:after="0"/>
              <w:jc w:val="center"/>
              <w:rPr>
                <w:sz w:val="18"/>
                <w:szCs w:val="18"/>
              </w:rPr>
            </w:pPr>
            <w:r w:rsidRPr="00EB6201">
              <w:rPr>
                <w:color w:val="000000"/>
                <w:sz w:val="18"/>
                <w:szCs w:val="18"/>
              </w:rPr>
              <w:t>Up in sPE</w:t>
            </w:r>
          </w:p>
        </w:tc>
        <w:tc>
          <w:tcPr>
            <w:tcW w:w="1173" w:type="dxa"/>
            <w:vAlign w:val="center"/>
          </w:tcPr>
          <w:p w:rsidR="00460963" w:rsidRPr="00F80C43" w:rsidRDefault="00460963" w:rsidP="009B2A14">
            <w:pPr>
              <w:spacing w:after="0"/>
              <w:jc w:val="center"/>
              <w:rPr>
                <w:sz w:val="18"/>
                <w:szCs w:val="18"/>
              </w:rPr>
            </w:pPr>
            <w:r w:rsidRPr="00EB6201">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sz w:val="18"/>
                <w:szCs w:val="18"/>
              </w:rPr>
              <w:fldChar w:fldCharType="separate"/>
            </w:r>
            <w:r w:rsidR="00BB7CB7" w:rsidRPr="00932CA1">
              <w:rPr>
                <w:noProof/>
                <w:sz w:val="18"/>
                <w:szCs w:val="18"/>
              </w:rPr>
              <w:t>(Hu et al., 2009)</w:t>
            </w:r>
            <w:r>
              <w:rPr>
                <w:sz w:val="18"/>
                <w:szCs w:val="18"/>
              </w:rPr>
              <w:fldChar w:fldCharType="end"/>
            </w:r>
          </w:p>
        </w:tc>
        <w:tc>
          <w:tcPr>
            <w:tcW w:w="1791" w:type="dxa"/>
            <w:vAlign w:val="center"/>
          </w:tcPr>
          <w:p w:rsidR="00460963" w:rsidRPr="00F80C43" w:rsidRDefault="00460963" w:rsidP="009B2A14">
            <w:pPr>
              <w:spacing w:after="0"/>
              <w:jc w:val="center"/>
              <w:rPr>
                <w:sz w:val="18"/>
                <w:szCs w:val="18"/>
              </w:rPr>
            </w:pPr>
            <w:r>
              <w:rPr>
                <w:sz w:val="18"/>
                <w:szCs w:val="18"/>
              </w:rPr>
              <w:t>2</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222-3p</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at delivery</w:t>
            </w:r>
          </w:p>
          <w:p w:rsidR="00460963" w:rsidRPr="00EB6201" w:rsidRDefault="00460963" w:rsidP="009B2A14">
            <w:pPr>
              <w:spacing w:after="0"/>
              <w:jc w:val="center"/>
              <w:rPr>
                <w:color w:val="000000"/>
                <w:sz w:val="18"/>
                <w:szCs w:val="18"/>
              </w:rPr>
            </w:pPr>
            <w:r>
              <w:rPr>
                <w:color w:val="000000"/>
                <w:sz w:val="18"/>
                <w:szCs w:val="18"/>
              </w:rPr>
              <w:t>No difference 1 year after delivery</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BB7CB7" w:rsidRDefault="00E33D6E" w:rsidP="00BB7CB7">
            <w:pPr>
              <w:spacing w:after="0"/>
              <w:jc w:val="center"/>
              <w:rPr>
                <w:sz w:val="18"/>
                <w:szCs w:val="18"/>
              </w:rPr>
            </w:pPr>
            <w:r>
              <w:rPr>
                <w:sz w:val="18"/>
                <w:szCs w:val="18"/>
              </w:rPr>
              <w:fldChar w:fldCharType="begin" w:fldLock="1"/>
            </w:r>
            <w:r w:rsidR="00BB7CB7">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BB7CB7"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BB7CB7" w:rsidRPr="00932CA1">
              <w:rPr>
                <w:noProof/>
                <w:sz w:val="18"/>
                <w:szCs w:val="18"/>
              </w:rPr>
              <w:t>(Murphy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EB6201">
              <w:rPr>
                <w:color w:val="000000"/>
                <w:sz w:val="18"/>
                <w:szCs w:val="18"/>
              </w:rPr>
              <w:t>16</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(chorion)</w:t>
            </w:r>
          </w:p>
          <w:p w:rsidR="00460963" w:rsidRDefault="00460963" w:rsidP="009B2A14">
            <w:pPr>
              <w:spacing w:after="0"/>
              <w:jc w:val="center"/>
              <w:rPr>
                <w:color w:val="000000"/>
                <w:sz w:val="18"/>
                <w:szCs w:val="18"/>
              </w:rPr>
            </w:pPr>
            <w:r>
              <w:rPr>
                <w:color w:val="000000"/>
                <w:sz w:val="18"/>
                <w:szCs w:val="18"/>
              </w:rPr>
              <w:t>Placenta (deciduas-MSCs)</w:t>
            </w:r>
          </w:p>
          <w:p w:rsidR="00460963" w:rsidRDefault="00460963" w:rsidP="009B2A14">
            <w:pPr>
              <w:spacing w:after="0"/>
              <w:jc w:val="center"/>
              <w:rPr>
                <w:color w:val="000000"/>
                <w:sz w:val="18"/>
                <w:szCs w:val="18"/>
              </w:rPr>
            </w:pPr>
            <w:r>
              <w:rPr>
                <w:color w:val="000000"/>
                <w:sz w:val="18"/>
                <w:szCs w:val="18"/>
              </w:rPr>
              <w:t>MPB</w:t>
            </w:r>
          </w:p>
          <w:p w:rsidR="00460963" w:rsidRDefault="00460963" w:rsidP="009B2A14">
            <w:pPr>
              <w:spacing w:after="0"/>
              <w:jc w:val="center"/>
              <w:rPr>
                <w:color w:val="000000"/>
                <w:sz w:val="18"/>
                <w:szCs w:val="18"/>
              </w:rPr>
            </w:pPr>
            <w:r>
              <w:rPr>
                <w:color w:val="000000"/>
                <w:sz w:val="18"/>
                <w:szCs w:val="18"/>
              </w:rPr>
              <w:t>Placenta (deciduas MSCs)</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MPB (serum)</w:t>
            </w:r>
          </w:p>
          <w:p w:rsidR="00460963" w:rsidRPr="00F80C43" w:rsidRDefault="00460963" w:rsidP="009B2A14">
            <w:pPr>
              <w:spacing w:after="0"/>
              <w:jc w:val="center"/>
              <w:rPr>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No difference in EOPE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Down in sEOPE</w:t>
            </w:r>
          </w:p>
          <w:p w:rsidR="00460963" w:rsidRDefault="00460963" w:rsidP="009B2A14">
            <w:pPr>
              <w:spacing w:after="0"/>
              <w:jc w:val="center"/>
              <w:rPr>
                <w:color w:val="000000"/>
                <w:sz w:val="18"/>
                <w:szCs w:val="18"/>
              </w:rPr>
            </w:pPr>
            <w:r>
              <w:rPr>
                <w:color w:val="000000"/>
                <w:sz w:val="18"/>
                <w:szCs w:val="18"/>
              </w:rPr>
              <w:t>Up in EOPE</w:t>
            </w:r>
          </w:p>
          <w:p w:rsidR="00460963" w:rsidRPr="00F80C43" w:rsidRDefault="00460963" w:rsidP="009B2A14">
            <w:pPr>
              <w:spacing w:after="0"/>
              <w:jc w:val="center"/>
              <w:rPr>
                <w:sz w:val="18"/>
                <w:szCs w:val="18"/>
              </w:rPr>
            </w:pPr>
            <w:r>
              <w:rPr>
                <w:color w:val="000000"/>
                <w:sz w:val="18"/>
                <w:szCs w:val="18"/>
              </w:rPr>
              <w:t>Up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w:t>
            </w:r>
            <w:r w:rsidRPr="00EB6201">
              <w:rPr>
                <w:color w:val="000000"/>
                <w:sz w:val="18"/>
                <w:szCs w:val="18"/>
              </w:rPr>
              <w:t>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NR</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No</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Pr="00F80C4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sz w:val="18"/>
                <w:szCs w:val="18"/>
              </w:rPr>
              <w:fldChar w:fldCharType="separate"/>
            </w:r>
            <w:r w:rsidR="00BB7CB7" w:rsidRPr="00932CA1">
              <w:rPr>
                <w:noProof/>
                <w:sz w:val="18"/>
                <w:szCs w:val="18"/>
              </w:rPr>
              <w:t>(Hu et al., 2009)</w:t>
            </w:r>
            <w:r>
              <w:rPr>
                <w:sz w:val="18"/>
                <w:szCs w:val="18"/>
              </w:rPr>
              <w:fldChar w:fldCharType="end"/>
            </w:r>
          </w:p>
          <w:p w:rsidR="00BB7CB7" w:rsidRDefault="00E33D6E" w:rsidP="00BB7CB7">
            <w:pPr>
              <w:spacing w:after="0"/>
              <w:jc w:val="center"/>
              <w:rPr>
                <w:sz w:val="18"/>
                <w:szCs w:val="18"/>
              </w:rPr>
            </w:pPr>
            <w:r>
              <w:rPr>
                <w:sz w:val="18"/>
                <w:szCs w:val="18"/>
              </w:rPr>
              <w:fldChar w:fldCharType="begin" w:fldLock="1"/>
            </w:r>
            <w:r w:rsidR="00BB7CB7">
              <w:rPr>
                <w:sz w:val="18"/>
                <w:szCs w:val="18"/>
              </w:rPr>
              <w:instrText>ADDIN CSL_CITATION {"citationItems":[{"id":"ITEM-1","itemData":{"DOI":"10.1111/febs.12037","abstract":"Pre-eclampsia is thought to be a systemic disease of maternal endothelial cell dysfunctions. miRNAs regulate various basic biological functions in cells, including stem cells. Mesenchymal stem cells exist in almost all tissues and are the key cellular source for tissue repair and regeneration. Our aims are to investigate whether miRNAs regulate MSCs in fetal-maternal interfaces to influence the pathogenesis of pre-eclampsia. The differential expression of miRNAs in decidua-derived mesenchymal stem cells of all patients with severe pre-eclampsia (n = 20) and normal groups (n = 20) was first screened by microarray analysis and validated by quantitative real-time PCR analysis. The integrated bioinformatics analysis showed that miR-16 showed the highest number of connections in the miRNA GO network and the miRNA gene network. Moreover, over-expressed miR-16 inhibited the proliferation and migration of decidua-derived mesenchymal stem cells and induced cell-cycle arrest by targeting cyclin E1. Interestingly, over-expression of miR-16 by decidua-derived mesenchymal stem cells reduced the ability of human umbilical vein endothelial cells to form blood vessels and reduced the migration of trophoblast cells. Furthermore, decidua-derived mesenchymal stem cell-expressed endothelial growth factor VEGF-A was involved in migration of trophoblast cells and human umbilical vein endothelial cells as well as tube and network formation. Importantly, the levels of cyclin E1 and VEGF-A were negatively correlated with the level of miR-16 expression in decidua-derived mesenchymal stem cells from the patients with severe pre-eclampsia. Together, these data suggest that the alteration of miR-16 expression in decidua-derived mesenchymal stem cells may be involved in the development of pre-eclampsia. © 2012 FEBS.","author":[{"dropping-particle":"","family":"Wang","given":"Yaping","non-dropping-particle":"","parse-names":false,"suffix":""},{"dropping-particle":"","family":"Fan","given":"Hongye","non-dropping-particle":"","parse-names":false,"suffix":""},{"dropping-particle":"","family":"Zhao","given":"Guangfeng","non-dropping-particle":"","parse-names":false,"suffix":""},{"dropping-particle":"","family":"Liu","given":"Dan","non-dropping-particle":"","parse-names":false,"suffix":""},{"dropping-particle":"","family":"Du","given":"Leilei","non-dropping-particle":"","parse-names":false,"suffix":""},{"dropping-particle":"","family":"Wang","given":"Zhiqun","non-dropping-particle":"","parse-names":false,"suffix":""},{"dropping-particle":"","family":"Hu","given":"Yali","non-dropping-particle":"","parse-names":false,"suffix":""},{"dropping-particle":"","family":"Hou","given":"Yayi","non-dropping-particle":"","parse-names":false,"suffix":""}],"container-title":"FEBS Journal","id":"ITEM-1","issue":"24","issued":{"date-parts":[["2012"]]},"page":"4510-4524","title":"MiR-16 inhibits the proliferation and angiogenesis-regulating potential of mesenchymal stem cells in severe pre-eclampsia","type":"article-journal","volume":"279"},"uris":["http://www.mendeley.com/documents/?uuid=8d7fde39-13d1-3398-b9a3-cbda19dd4b60"]}],"mendeley":{"formattedCitation":"(Wang et al., 2012b)","plainTextFormattedCitation":"(Wang et al., 2012b)","previouslyFormattedCitation":"(Wang et al., 2012b)"},"properties":{"noteIndex":0},"schema":"https://github.com/citation-style-language/schema/raw/master/csl-citation.json"}</w:instrText>
            </w:r>
            <w:r>
              <w:rPr>
                <w:sz w:val="18"/>
                <w:szCs w:val="18"/>
              </w:rPr>
              <w:fldChar w:fldCharType="separate"/>
            </w:r>
            <w:r w:rsidR="00BB7CB7" w:rsidRPr="00460963">
              <w:rPr>
                <w:noProof/>
                <w:sz w:val="18"/>
                <w:szCs w:val="18"/>
              </w:rPr>
              <w:t>(Wang et al., 2012b)</w:t>
            </w:r>
            <w:r>
              <w:rPr>
                <w:sz w:val="18"/>
                <w:szCs w:val="18"/>
              </w:rPr>
              <w:fldChar w:fldCharType="end"/>
            </w:r>
          </w:p>
          <w:p w:rsidR="00BB7CB7" w:rsidRDefault="00E33D6E" w:rsidP="00BB7CB7">
            <w:pPr>
              <w:spacing w:after="0"/>
              <w:jc w:val="center"/>
              <w:rPr>
                <w:sz w:val="18"/>
                <w:szCs w:val="18"/>
              </w:rPr>
            </w:pPr>
            <w:r>
              <w:rPr>
                <w:sz w:val="18"/>
                <w:szCs w:val="18"/>
              </w:rPr>
              <w:fldChar w:fldCharType="begin" w:fldLock="1"/>
            </w:r>
            <w:r w:rsidR="00BB7CB7">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BB7CB7" w:rsidRPr="00FA32AE">
              <w:rPr>
                <w:noProof/>
                <w:sz w:val="18"/>
                <w:szCs w:val="18"/>
              </w:rPr>
              <w:t>(Winger et al., 2015)</w:t>
            </w:r>
            <w:r>
              <w:rPr>
                <w:sz w:val="18"/>
                <w:szCs w:val="18"/>
              </w:rPr>
              <w:fldChar w:fldCharType="end"/>
            </w:r>
          </w:p>
          <w:p w:rsidR="00BB7CB7" w:rsidRDefault="00E33D6E" w:rsidP="009B2A14">
            <w:pPr>
              <w:spacing w:after="0"/>
              <w:jc w:val="center"/>
              <w:rPr>
                <w:sz w:val="18"/>
                <w:szCs w:val="18"/>
              </w:rPr>
            </w:pPr>
            <w:r>
              <w:rPr>
                <w:sz w:val="18"/>
                <w:szCs w:val="18"/>
              </w:rPr>
              <w:fldChar w:fldCharType="begin" w:fldLock="1"/>
            </w:r>
            <w:r w:rsidR="00BB7CB7">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BB7CB7" w:rsidRPr="00BB7CB7">
              <w:rPr>
                <w:noProof/>
                <w:sz w:val="18"/>
                <w:szCs w:val="18"/>
              </w:rPr>
              <w:t>(Zhao et al., 2014)</w:t>
            </w:r>
            <w:r>
              <w:rPr>
                <w:sz w:val="18"/>
                <w:szCs w:val="18"/>
              </w:rPr>
              <w:fldChar w:fldCharType="end"/>
            </w:r>
          </w:p>
          <w:p w:rsidR="00BB7CB7" w:rsidRDefault="00E33D6E" w:rsidP="009B2A14">
            <w:pPr>
              <w:spacing w:after="0"/>
              <w:jc w:val="center"/>
              <w:rPr>
                <w:sz w:val="18"/>
                <w:szCs w:val="18"/>
              </w:rPr>
            </w:pPr>
            <w:r>
              <w:rPr>
                <w:sz w:val="18"/>
                <w:szCs w:val="18"/>
              </w:rPr>
              <w:fldChar w:fldCharType="begin" w:fldLock="1"/>
            </w:r>
            <w:r w:rsidR="00B00CA2">
              <w:rPr>
                <w:sz w:val="18"/>
                <w:szCs w:val="18"/>
              </w:rPr>
              <w:instrText>ADDIN CSL_CITATION {"citationItems":[{"id":"ITEM-1","itemData":{"DOI":"10.1016/j.preghy.2019.05.013","abstract":"MicroRNAs (miRNAs/miRs) are highly stable in circulating, which suppress target gene expression by base-pairing to the 3′-untranslated region. We compared the expressions of 3 circulating miRs (miR-31, miR-21, and miR-16), which are related to the control of cell apoptosis, invasion, angiogenesis and immune tolerance in non-pregnancy (n = 10), 20–34 gestational weeks normal pregnancy (20–34 GW NP, n = 20), early onset preeclampsia (EOPE, n = 20), 34–41 gestational weeks normal pregnancy (34–41 GW NP, n = 20) and late onset preeclampsia (LOPE, n = 20). Using quantitative RT-PCR, we found the levels of miR-31, miR-21 and miR-16 changed throughout different stages of pregnancy with the non-pregnancy as the calibrator. The plasma miR-31 levels were significantly down-regulated in EOPE rather than in LOPE when compared to gestational age matched normal pregnancy (P &lt; 0.001). MiR-21 levels were significantly lower in LOPE compared to healthy controls (P &lt; 0.001), while no significant difference was found between EOPE and 20–34 gestational weeks normal pregnancy (P = 0.376). The miR-16 expressions were at similar levels between preeclampsia (PE) and normal pregnancy. Receiver operating characteristic (ROC) curve analyses indicated the miR-31 differentiated EOPE patients from healthy controls with an area under the curve (AUC) of 0.875 with 95.0% sensitivity and 70.0% specificity. ROC curves also discriminated the LOPE patients from healthy pregnancy with an AUC of 0.793, 65.1% sensitivity and 90.3% specificity for plasma miR-21 levels. This study is the first to demonstrate the difference, and circulating miR-31 may serve as a diagnostic biomarker for early onset preeclampsia meanwhile miR-21 might be a diagnostic biomarker for late onset preeclampsia.","author":[{"dropping-particle":"","family":"Dong","given":"Kun","non-dropping-particle":"","parse-names":false,"suffix":""},{"dropping-particle":"","family":"Zhang","given":"Xiangli","non-dropping-particle":"","parse-names":false,"suffix":""},{"dropping-particle":"","family":"Ma","given":"Lijuan","non-dropping-particle":"","parse-names":false,"suffix":""},{"dropping-particle":"","family":"Gao","given":"Na","non-dropping-particle":"","parse-names":false,"suffix":""},{"dropping-particle":"","family":"Tang","given":"Haiyang","non-dropping-particle":"","parse-names":false,"suffix":""},{"dropping-particle":"","family":"Jian","given":"Feng","non-dropping-particle":"","parse-names":false,"suffix":""},{"dropping-particle":"","family":"Ma","given":"Yuyan","non-dropping-particle":"","parse-names":false,"suffix":""}],"container-title":"Pregnancy Hypertension","id":"ITEM-1","issued":{"date-parts":[["2019"]]},"page":"59-63","title":"Downregulations of circulating miR-31 and miR-21 are associated with preeclampsia","type":"article-journal","volume":"17"},"uris":["http://www.mendeley.com/documents/?uuid=0b184015-3d45-3041-bdc9-41d1d163d454"]}],"mendeley":{"formattedCitation":"(Dong et al., 2019)","plainTextFormattedCitation":"(Dong et al., 2019)","previouslyFormattedCitation":"(Dong et al., 2019)"},"properties":{"noteIndex":0},"schema":"https://github.com/citation-style-language/schema/raw/master/csl-citation.json"}</w:instrText>
            </w:r>
            <w:r>
              <w:rPr>
                <w:sz w:val="18"/>
                <w:szCs w:val="18"/>
              </w:rPr>
              <w:fldChar w:fldCharType="separate"/>
            </w:r>
            <w:r w:rsidR="00BB7CB7" w:rsidRPr="00BB7CB7">
              <w:rPr>
                <w:noProof/>
                <w:sz w:val="18"/>
                <w:szCs w:val="18"/>
              </w:rPr>
              <w:t>(Dong et al., 2019)</w:t>
            </w:r>
            <w:r>
              <w:rPr>
                <w:sz w:val="18"/>
                <w:szCs w:val="18"/>
              </w:rPr>
              <w:fldChar w:fldCharType="end"/>
            </w:r>
          </w:p>
          <w:p w:rsidR="00B00CA2" w:rsidRDefault="00E33D6E" w:rsidP="009B2A14">
            <w:pPr>
              <w:spacing w:after="0"/>
              <w:jc w:val="center"/>
              <w:rPr>
                <w:sz w:val="18"/>
                <w:szCs w:val="18"/>
              </w:rPr>
            </w:pPr>
            <w:r>
              <w:rPr>
                <w:sz w:val="18"/>
                <w:szCs w:val="18"/>
              </w:rPr>
              <w:fldChar w:fldCharType="begin" w:fldLock="1"/>
            </w:r>
            <w:r w:rsidR="00B00CA2">
              <w:rPr>
                <w:sz w:val="18"/>
                <w:szCs w:val="18"/>
              </w:rPr>
              <w:instrText>ADDIN CSL_CITATION {"citationItems":[{"id":"ITEM-1","itemData":{"DOI":"10.14715/cmb/2020.66.3.14","ISSN":"1165158X","PMID":"32538753","abstract":"This study aimed to investigate the expression and clinical diagnostic value of miR-383 in patients with severe preeclampsia. Thirty patients with severe preeclampsia from July 2017 to December 2018 were selected as a research group, twenty healthy pregnant women undergoing physical examination at the same period were selected as a control group, and miR-383 and miR-16 in placenta tissue of the two groups were detected by qRT-PCR. ROC curve was drawn to evaluate the predictive value of diagnostic efficiency, Spearman test was used for correlation analysis, and Logistic univariate and multivariate analysis was performed on the risk factors related to the metastasis of severe preeclampsia. The miR-383 expression in the research group was significantly lower than that in the control group (P&lt; 0.001), while the miR-16 expression in the research group was significantly higher than that in the control group (P&lt; 0.001). The miR-383 and miR-16 expression levels were tied to TNM staging and metastasis (P&lt; 0.001). The sensitivity, specificity and AUC of miR-383 single diagnosis were 75.00%, 83.33% and 0.847 respectively, and those of miR-16 single diagnosis were 65.00%, 63.33% and 0.728 respectively. The relative expression of miR-383 in placenta tissue was negatively correlated with APACHE II score of severe preeclampsia (r = -0.4129, P= 0.0233), but the relative expression of miR-16 in placenta tissue was positively correlated with APACHE II score of severe preeclampsia (r = 0.9833, P&lt; 0.001). Blood pressure, miR-383, miR-16 at the admission of pregnant women were independent risk factors for severe preeclampsia. miR-383 and miR-16 might participate in the process of occurrence, development and metastasis of severe preeclampsia, and could be used as potential biomarkers of placental tissue for its diagnosis and disease assessment of metastasis.","author":[{"dropping-particle":"","family":"Li","given":"Ting","non-dropping-particle":"","parse-names":false,"suffix":""},{"dropping-particle":"","family":"Zhou","given":"Bing","non-dropping-particle":"","parse-names":false,"suffix":""},{"dropping-particle":"","family":"He","given":"Yijing","non-dropping-particle":"","parse-names":false,"suffix":""},{"dropping-particle":"","family":"Liu","given":"Jue","non-dropping-particle":"","parse-names":false,"suffix":""},{"dropping-particle":"","family":"Li","given":"Yun","non-dropping-particle":"","parse-names":false,"suffix":""}],"container-title":"Cellular and Molecular Biology","id":"ITEM-1","issue":"3","issued":{"date-parts":[["2020"]]},"page":"92-100","title":"Expression and clinical diagnostic value of miR-383 in patients with severe preeclampsia","type":"article-journal","volume":"66"},"uris":["http://www.mendeley.com/documents/?uuid=ca0e1487-3fc4-3201-8d3a-0fbd546d6df1"]}],"mendeley":{"formattedCitation":"(Li et al., 2020)","plainTextFormattedCitation":"(Li et al., 2020)","previouslyFormattedCitation":"(Li et al., 2020)"},"properties":{"noteIndex":0},"schema":"https://github.com/citation-style-language/schema/raw/master/csl-citation.json"}</w:instrText>
            </w:r>
            <w:r>
              <w:rPr>
                <w:sz w:val="18"/>
                <w:szCs w:val="18"/>
              </w:rPr>
              <w:fldChar w:fldCharType="separate"/>
            </w:r>
            <w:r w:rsidR="00B00CA2" w:rsidRPr="00B00CA2">
              <w:rPr>
                <w:noProof/>
                <w:sz w:val="18"/>
                <w:szCs w:val="18"/>
              </w:rPr>
              <w:t>(Li et al., 2020)</w:t>
            </w:r>
            <w:r>
              <w:rPr>
                <w:sz w:val="18"/>
                <w:szCs w:val="18"/>
              </w:rPr>
              <w:fldChar w:fldCharType="end"/>
            </w:r>
          </w:p>
          <w:p w:rsidR="00B00CA2" w:rsidRDefault="00E33D6E" w:rsidP="009B2A14">
            <w:pPr>
              <w:spacing w:after="0"/>
              <w:jc w:val="center"/>
              <w:rPr>
                <w:sz w:val="18"/>
                <w:szCs w:val="18"/>
              </w:rPr>
            </w:pPr>
            <w:r>
              <w:rPr>
                <w:sz w:val="18"/>
                <w:szCs w:val="18"/>
              </w:rPr>
              <w:fldChar w:fldCharType="begin" w:fldLock="1"/>
            </w:r>
            <w:r w:rsidR="00B00CA2">
              <w:rPr>
                <w:sz w:val="18"/>
                <w:szCs w:val="18"/>
              </w:rPr>
              <w:instrText>ADDIN CSL_CITATION {"citationItems":[{"id":"ITEM-1","itemData":{"DOI":"10.1038/s41598-020-73783-w","ISSN":"20452322","PMID":"33093531","abstract":"Preeclampsia is a pregnancy complication associated with angiogenic dysbalance, maternal endothelial dysfunction and end-organ injury. A predictive test to identify those who will develop preeclampsia could substantially decrease morbidity and mortality. MicroRNAs (miRs) are small RNA molecules involved in post-transcriptional gene regulation. We screened for circulating miRs differentially expressed at 36 weeks’ gestation in pregnancies before the development of preeclampsia. We used a case–control group (198 controls, 34 pre-preeclampsia diagnosis) selected from a prospective cohort (n = 2015) and performed a PCR-based microarray to measure the expression of 41 miRs. We found six circulating miRs (miRs 363, 149, 18a, 1283, 16, 424) at 36 weeks' had significantly reduced expression (p &lt; 0.0001–0.04). miR363 was significantly downregulated at 28 weeks’ gestation, 10–12 weeks before the onset of clinical disease. In the circulation of another cohort of 34 participants with established preterm preeclampsia (vs 23 controls), we found miRs363, 18a, 149 and 16 were significantly down regulated (p &lt; 0.0001–0.04). Combined expression of miRs149 and 363 in the circulation at 36 weeks’ gestation provides a test with 45% sensitivity (at a specificity of 90%) which suggests measuring both miRs may have promise as part of a multi-marker test to predict preeclampsia.","author":[{"dropping-particle":"","family":"Whigham","given":"Carole Anne","non-dropping-particle":"","parse-names":false,"suffix":""},{"dropping-particle":"","family":"MacDonald","given":"Teresa M.","non-dropping-particle":"","parse-names":false,"suffix":""},{"dropping-particle":"","family":"Walker","given":"Susan P.","non-dropping-particle":"","parse-names":false,"suffix":""},{"dropping-particle":"","family":"Hiscock","given":"Richard","non-dropping-particle":"","parse-names":false,"suffix":""},{"dropping-particle":"","family":"Hannan","given":"Natalie J.","non-dropping-particle":"","parse-names":false,"suffix":""},{"dropping-particle":"","family":"Pritchard","given":"Natasha","non-dropping-particle":"","parse-names":false,"suffix":""},{"dropping-particle":"","family":"Cannon","given":"Ping","non-dropping-particle":"","parse-names":false,"suffix":""},{"dropping-particle":"","family":"Nguyen","given":"Tuong Vi","non-dropping-particle":"","parse-names":false,"suffix":""},{"dropping-particle":"","family":"Miranda","given":"Manisha","non-dropping-particle":"","parse-names":false,"suffix":""},{"dropping-particle":"","family":"Tong","given":"Stephen","non-dropping-particle":"","parse-names":false,"suffix":""},{"dropping-particle":"","family":"Kaitu’u-Lino","given":"Tu’uhevaha J.","non-dropping-particle":"","parse-names":false,"suffix":""}],"container-title":"Scientific Reports","id":"ITEM-1","issue":"1","issued":{"date-parts":[["2020","12","1"]]},"page":"18077","publisher":"Nature Research","title":"MicroRNAs 363 and 149 are differentially expressed in the maternal circulation preceding a diagnosis of preeclampsia","type":"article-journal","volume":"10"},"uris":["http://www.mendeley.com/documents/?uuid=168474e8-6878-3384-830b-0d80f3999b8b"]}],"mendeley":{"formattedCitation":"(Whigham et al., 2020)","plainTextFormattedCitation":"(Whigham et al., 2020)","previouslyFormattedCitation":"(Whigham et al., 2020)"},"properties":{"noteIndex":0},"schema":"https://github.com/citation-style-language/schema/raw/master/csl-citation.json"}</w:instrText>
            </w:r>
            <w:r>
              <w:rPr>
                <w:sz w:val="18"/>
                <w:szCs w:val="18"/>
              </w:rPr>
              <w:fldChar w:fldCharType="separate"/>
            </w:r>
            <w:r w:rsidR="00B00CA2" w:rsidRPr="00B00CA2">
              <w:rPr>
                <w:noProof/>
                <w:sz w:val="18"/>
                <w:szCs w:val="18"/>
              </w:rPr>
              <w:t>(Whigham et al., 2020)</w:t>
            </w:r>
            <w:r>
              <w:rPr>
                <w:sz w:val="18"/>
                <w:szCs w:val="18"/>
              </w:rPr>
              <w:fldChar w:fldCharType="end"/>
            </w:r>
          </w:p>
          <w:p w:rsidR="00B00CA2" w:rsidRDefault="00E33D6E" w:rsidP="009B2A14">
            <w:pPr>
              <w:spacing w:after="0"/>
              <w:jc w:val="center"/>
              <w:rPr>
                <w:sz w:val="18"/>
                <w:szCs w:val="18"/>
              </w:rPr>
            </w:pPr>
            <w:r>
              <w:rPr>
                <w:sz w:val="18"/>
                <w:szCs w:val="18"/>
              </w:rPr>
              <w:fldChar w:fldCharType="begin" w:fldLock="1"/>
            </w:r>
            <w:r w:rsidR="00B00CA2">
              <w:rPr>
                <w:sz w:val="18"/>
                <w:szCs w:val="18"/>
              </w:rPr>
              <w:instrText>ADDIN CSL_CITATION {"citationItems":[{"id":"ITEM-1","itemData":{"DOI":"10.47391/JPMA.1171","ISSN":"00309982","PMID":"34580516","abstract":"Objective: To measure and compare micro ribonucleic acid-16, survivin and tumour protein p53-regulated apoptosis-inducing protein 1 expression levels in preeclamptic and normotensive pregnancies, and to check the correlation of micro ribonucleic acid-16 with messenger ribonucleic acid expression of survivin and tumour protein p53. Method: The observational cross-sectional comparative study was conducted at the Department of Physiology and Cell Biology, University of Health Sciences, Lahore, Pakistan, from 2016 to 2018, and comprised preeclamptic women in group A and normotensive women in group B. The preeclamptic patients were further categorised into early-onset preeclampsia subgroup A1and late-onset preeclampsia group A2. Expression of micro ribonucleic acid-16, messenger ribonucleic acid expression of survivin and tumour protein p53 in preeclamptic and normotensive pregnancies were analysed using real-time polymerase chain reaction. Data was analysed using SPSS 22. Results: Of the 54 patients, 27(50%) were in each of the two groups. Within group A, 14(52%) patients were in group A1 and 13(48%) in group A2. The expression of micro ribonucleic acid-16 showed significant increase in group A compared to group B (p&lt;0.05). The difference was not significant between the subgroups A1 and A2. The levels of messenger ribonucleic acid expression of survivin and tumour protein p53 were deregulated in group A, with a decrease in survivin and an increase in tumour protein p53. The messenger ribonucleic acid expression of survivin and tumour protein p53 showed statistically significant differences across subgroups A1 and A2 (p&lt;0.05). The micro ribonucleic acid-16 expression correlated negatively with messenger ribonucleic acid expression of survivin, but exhibited a positive correlation with tumour protein p53. Conclusion: Deregulated micro ribonucleic acid-16 along with differentially expressed apoptotic genes, survivin and tumour protein p53 might result in altered apoptosis implicated in the pathogenesis of preeclampsia.","author":[{"dropping-particle":"","family":"Ali","given":"Zaima","non-dropping-particle":"","parse-names":false,"suffix":""},{"dropping-particle":"","family":"Zafar","given":"Uzma","non-dropping-particle":"","parse-names":false,"suffix":""},{"dropping-particle":"","family":"Zaki","given":"Saima","non-dropping-particle":"","parse-names":false,"suffix":""},{"dropping-particle":"","family":"Ahmad","given":"Sadia","non-dropping-particle":"","parse-names":false,"suffix":""},{"dropping-particle":"","family":"Khaliq","given":"Saba","non-dropping-particle":"","parse-names":false,"suffix":""},{"dropping-particle":"","family":"Lone","given":"Khalid Pervaiz","non-dropping-particle":"","parse-names":false,"suffix":""}],"container-title":"Journal of the Pakistan Medical Association","id":"ITEM-1","issue":"9","issued":{"date-parts":[["2021","9","1"]]},"page":"2208-2213","publisher":"Pakistan Medical Association","title":"Expression levels of MiRNA-16, SURVIVIN and TP53 in Preeclamptic and Normotensive women","type":"article-journal","volume":"71"},"uris":["http://www.mendeley.com/documents/?uuid=fd28f2c1-efa3-368b-a5dd-abfa6c3f50a9"]}],"mendeley":{"formattedCitation":"(Ali et al., 2021)","plainTextFormattedCitation":"(Ali et al., 2021)","previouslyFormattedCitation":"(Ali et al., 2021)"},"properties":{"noteIndex":0},"schema":"https://github.com/citation-style-language/schema/raw/master/csl-citation.json"}</w:instrText>
            </w:r>
            <w:r>
              <w:rPr>
                <w:sz w:val="18"/>
                <w:szCs w:val="18"/>
              </w:rPr>
              <w:fldChar w:fldCharType="separate"/>
            </w:r>
            <w:r w:rsidR="00B00CA2" w:rsidRPr="00B00CA2">
              <w:rPr>
                <w:noProof/>
                <w:sz w:val="18"/>
                <w:szCs w:val="18"/>
              </w:rPr>
              <w:t>(Ali et al., 2021)</w:t>
            </w:r>
            <w:r>
              <w:rPr>
                <w:sz w:val="18"/>
                <w:szCs w:val="18"/>
              </w:rPr>
              <w:fldChar w:fldCharType="end"/>
            </w:r>
          </w:p>
          <w:p w:rsidR="00B00CA2" w:rsidRDefault="00E33D6E" w:rsidP="009B2A14">
            <w:pPr>
              <w:spacing w:after="0"/>
              <w:jc w:val="center"/>
              <w:rPr>
                <w:sz w:val="18"/>
                <w:szCs w:val="18"/>
              </w:rPr>
            </w:pPr>
            <w:r>
              <w:rPr>
                <w:sz w:val="18"/>
                <w:szCs w:val="18"/>
              </w:rPr>
              <w:fldChar w:fldCharType="begin" w:fldLock="1"/>
            </w:r>
            <w:r w:rsidR="00B00CA2">
              <w:rPr>
                <w:sz w:val="18"/>
                <w:szCs w:val="18"/>
              </w:rPr>
              <w:instrText>ADDIN CSL_CITATION {"citationItems":[{"id":"ITEM-1","itemData":{"DOI":"10.1042/BSR20210874","ISSN":"15734935","PMID":"34318873","abstract":"In preeclampsia (PE), pre-existent maternal endothelial dysfunction leads to impaired placentation and vascular maladaptation. The vascular endothelial growth factor (VEGF) pathway is essential in the placentation process and VEGF expression is regulated through post-transcriptional modification by microRNAs (miRNAs). We investigated the expression of VEGF-related circulating miR-16, miR-29b, miR-126, miR-155 and miR-200c in PE vs healthy pregnancies (HPs), and their relation with vascular function, oxidative stress (OS) and systemic inflammation. In this case-control study, 24 women with early PE (&lt;34 weeks) were compared with 30 women with HP. Circulating microRNA levels (RT-qPCR), OS and systemic inflammation were assessed in plasma samples (PE 29.5 vs HP 25.8 weeks) and related to extensive in vivo vascular function (flow-mediated dilatation (FMD), modified FMD (mFMD), carotid-femoral pulse wave velocity (CF-PWV), heart rate corrected augmentation index (AIx75) and reactive hyperemia index (RHI)). FMD, CF-PWV, AIx75 and RHI were all significantly impaired in PE (P&lt;0.05). PE patients had reduced levels of miR-16 (5.53 +− 0.36 vs 5.84 +− 0.61) and increased levels of miR-200c (1.34 +− 0.57 vs 0.97 +− 0.68) (P&lt;0.05). Independent of age and parity, miR-16 was related to impaired FMD (β 2.771, 95% C.I.: 0.023-5.519, P=0.048) and mFMD (β 3.401, 95% C.I.: 0.201-6.602, P=0.038). Likewise, miR-200c was independently associated with CF-PWV (β 0.513, 95% C.I.: 0.034-0.992, P=0.036). In conclusion, circulating levels of miR-16 were lower in PE, which correlated with impaired endothelial function. Circulating miR-200c was increased in PE and correlated with higher arterial stiffness. These findings suggest a post-transcriptional dysregulation of the VEGF pathway in PE and identify miR-16 and miR-200c as possible diagnostic biomarkers for PE.","author":[{"dropping-particle":"","family":"Witvrouwen","given":"Isabel","non-dropping-particle":"","parse-names":false,"suffix":""},{"dropping-particle":"","family":"Mannaerts","given":"Dominique","non-dropping-particle":"","parse-names":false,"suffix":""},{"dropping-particle":"","family":"Ratajczak","given":"Jessica","non-dropping-particle":"","parse-names":false,"suffix":""},{"dropping-particle":"","family":"Boeren","given":"Evi","non-dropping-particle":"","parse-names":false,"suffix":""},{"dropping-particle":"","family":"Faes","given":"Ellen","non-dropping-particle":"","parse-names":false,"suffix":""},{"dropping-particle":"","family":"Craenenbroeck","given":"Amaryllis H.","non-dropping-particle":"van","parse-names":false,"suffix":""},{"dropping-particle":"","family":"Jacquemyn","given":"Yves","non-dropping-particle":"","parse-names":false,"suffix":""},{"dropping-particle":"","family":"Craenenbroeck","given":"Emeline M.","non-dropping-particle":"van","parse-names":false,"suffix":""}],"container-title":"Bioscience Reports","id":"ITEM-1","issue":"8","issued":{"date-parts":[["2021","8","1"]]},"page":"BSR20210874","publisher":"Portland Press Ltd","title":"MicroRNAs targeting VEGF are related to vascular dysfunction in preeclampsia","type":"article-journal","volume":"41"},"uris":["http://www.mendeley.com/documents/?uuid=5f138707-1204-3809-a0e3-46422e1b0d59"]}],"mendeley":{"formattedCitation":"(Witvrouwen et al., 2021)","plainTextFormattedCitation":"(Witvrouwen et al., 2021)","previouslyFormattedCitation":"(Witvrouwen et al., 2021)"},"properties":{"noteIndex":0},"schema":"https://github.com/citation-style-language/schema/raw/master/csl-citation.json"}</w:instrText>
            </w:r>
            <w:r>
              <w:rPr>
                <w:sz w:val="18"/>
                <w:szCs w:val="18"/>
              </w:rPr>
              <w:fldChar w:fldCharType="separate"/>
            </w:r>
            <w:r w:rsidR="00B00CA2" w:rsidRPr="00B00CA2">
              <w:rPr>
                <w:noProof/>
                <w:sz w:val="18"/>
                <w:szCs w:val="18"/>
              </w:rPr>
              <w:t>(Witvrouwen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w:t>
            </w:r>
          </w:p>
          <w:p w:rsidR="00460963" w:rsidRDefault="00460963" w:rsidP="009B2A14">
            <w:pPr>
              <w:spacing w:after="0"/>
              <w:jc w:val="center"/>
              <w:rPr>
                <w:sz w:val="18"/>
                <w:szCs w:val="18"/>
              </w:rPr>
            </w:pPr>
            <w:r>
              <w:rPr>
                <w:sz w:val="18"/>
                <w:szCs w:val="18"/>
              </w:rPr>
              <w:t>19</w:t>
            </w:r>
          </w:p>
          <w:p w:rsidR="00460963" w:rsidRDefault="00460963" w:rsidP="009B2A14">
            <w:pPr>
              <w:spacing w:after="0"/>
              <w:jc w:val="center"/>
              <w:rPr>
                <w:sz w:val="18"/>
                <w:szCs w:val="18"/>
              </w:rPr>
            </w:pPr>
            <w:r>
              <w:rPr>
                <w:sz w:val="18"/>
                <w:szCs w:val="18"/>
              </w:rPr>
              <w:t>44</w:t>
            </w:r>
          </w:p>
          <w:p w:rsidR="00460963" w:rsidRDefault="00460963" w:rsidP="009B2A14">
            <w:pPr>
              <w:spacing w:after="0"/>
              <w:jc w:val="center"/>
              <w:rPr>
                <w:sz w:val="18"/>
                <w:szCs w:val="18"/>
              </w:rPr>
            </w:pPr>
            <w:r>
              <w:rPr>
                <w:sz w:val="18"/>
                <w:szCs w:val="18"/>
              </w:rPr>
              <w:t>46</w:t>
            </w:r>
          </w:p>
          <w:p w:rsidR="00460963" w:rsidRDefault="00460963" w:rsidP="009B2A14">
            <w:pPr>
              <w:spacing w:after="0"/>
              <w:jc w:val="center"/>
              <w:rPr>
                <w:sz w:val="18"/>
                <w:szCs w:val="18"/>
              </w:rPr>
            </w:pPr>
            <w:r>
              <w:rPr>
                <w:sz w:val="18"/>
                <w:szCs w:val="18"/>
              </w:rPr>
              <w:t>154</w:t>
            </w:r>
          </w:p>
          <w:p w:rsidR="00460963" w:rsidRDefault="00460963" w:rsidP="009B2A14">
            <w:pPr>
              <w:spacing w:after="0"/>
              <w:jc w:val="center"/>
              <w:rPr>
                <w:sz w:val="18"/>
                <w:szCs w:val="18"/>
              </w:rPr>
            </w:pPr>
            <w:r>
              <w:rPr>
                <w:sz w:val="18"/>
                <w:szCs w:val="18"/>
              </w:rPr>
              <w:t>Li T, 2020</w:t>
            </w:r>
          </w:p>
          <w:p w:rsidR="00460963" w:rsidRDefault="00460963" w:rsidP="009B2A14">
            <w:pPr>
              <w:spacing w:after="0"/>
              <w:jc w:val="center"/>
              <w:rPr>
                <w:sz w:val="18"/>
                <w:szCs w:val="18"/>
              </w:rPr>
            </w:pPr>
            <w:r>
              <w:rPr>
                <w:sz w:val="18"/>
                <w:szCs w:val="18"/>
              </w:rPr>
              <w:t>Whigham 2020</w:t>
            </w:r>
          </w:p>
          <w:p w:rsidR="00460963" w:rsidRDefault="00460963" w:rsidP="009B2A14">
            <w:pPr>
              <w:spacing w:after="0"/>
              <w:jc w:val="center"/>
              <w:rPr>
                <w:sz w:val="18"/>
                <w:szCs w:val="18"/>
              </w:rPr>
            </w:pPr>
            <w:r>
              <w:rPr>
                <w:sz w:val="18"/>
                <w:szCs w:val="18"/>
              </w:rPr>
              <w:t>Ali 2021</w:t>
            </w:r>
          </w:p>
          <w:p w:rsidR="00460963" w:rsidRPr="00F80C43" w:rsidRDefault="00460963" w:rsidP="009B2A14">
            <w:pPr>
              <w:spacing w:after="0"/>
              <w:jc w:val="center"/>
              <w:rPr>
                <w:sz w:val="18"/>
                <w:szCs w:val="18"/>
              </w:rPr>
            </w:pPr>
            <w:r>
              <w:rPr>
                <w:sz w:val="18"/>
                <w:szCs w:val="18"/>
              </w:rPr>
              <w:t>Witvrouwen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16-5p</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No difference in sPE at delivery and 1 year after</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B00CA2">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B00CA2" w:rsidRPr="00932CA1">
              <w:rPr>
                <w:noProof/>
                <w:sz w:val="18"/>
                <w:szCs w:val="18"/>
              </w:rPr>
              <w:t>(Murphy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Pr="00860A98" w:rsidRDefault="00460963" w:rsidP="009B2A14">
            <w:pPr>
              <w:spacing w:after="0"/>
              <w:jc w:val="center"/>
              <w:rPr>
                <w:color w:val="000000"/>
                <w:sz w:val="18"/>
                <w:szCs w:val="18"/>
              </w:rPr>
            </w:pPr>
            <w:r w:rsidRPr="00EB6201">
              <w:rPr>
                <w:color w:val="000000"/>
                <w:sz w:val="18"/>
                <w:szCs w:val="18"/>
              </w:rPr>
              <w:t>29b</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(chorion)</w:t>
            </w:r>
          </w:p>
          <w:p w:rsidR="00460963"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eciduas-MSCs)</w:t>
            </w:r>
          </w:p>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(chorion)</w:t>
            </w:r>
          </w:p>
          <w:p w:rsidR="00460963"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 MSCs)</w:t>
            </w:r>
          </w:p>
          <w:p w:rsidR="00460963" w:rsidRPr="00892C98"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sz w:val="18"/>
                <w:szCs w:val="18"/>
              </w:rPr>
            </w:pPr>
            <w:r>
              <w:rPr>
                <w:sz w:val="18"/>
                <w:szCs w:val="18"/>
              </w:rPr>
              <w:t>Up in sPE</w:t>
            </w:r>
          </w:p>
          <w:p w:rsidR="00460963" w:rsidRDefault="00460963" w:rsidP="009B2A14">
            <w:pPr>
              <w:spacing w:after="0"/>
              <w:jc w:val="center"/>
              <w:rPr>
                <w:sz w:val="18"/>
                <w:szCs w:val="18"/>
              </w:rPr>
            </w:pPr>
            <w:r>
              <w:rPr>
                <w:sz w:val="18"/>
                <w:szCs w:val="18"/>
              </w:rPr>
              <w:t>Up in sLOPE</w:t>
            </w:r>
          </w:p>
          <w:p w:rsidR="00460963" w:rsidRDefault="00460963" w:rsidP="009B2A14">
            <w:pPr>
              <w:spacing w:after="0"/>
              <w:jc w:val="center"/>
              <w:rPr>
                <w:sz w:val="18"/>
                <w:szCs w:val="18"/>
              </w:rPr>
            </w:pPr>
            <w:r>
              <w:rPr>
                <w:sz w:val="18"/>
                <w:szCs w:val="18"/>
              </w:rPr>
              <w:t>Up in sPE</w:t>
            </w:r>
          </w:p>
          <w:p w:rsidR="00460963" w:rsidRPr="00F80C43" w:rsidRDefault="00460963" w:rsidP="009B2A14">
            <w:pPr>
              <w:spacing w:after="0"/>
              <w:jc w:val="center"/>
              <w:rPr>
                <w:sz w:val="18"/>
                <w:szCs w:val="18"/>
              </w:rPr>
            </w:pPr>
            <w:r>
              <w:rPr>
                <w:sz w:val="18"/>
                <w:szCs w:val="18"/>
              </w:rPr>
              <w:t>No difference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w:t>
            </w:r>
            <w:r w:rsidRPr="00EB6201">
              <w:rPr>
                <w:color w:val="000000"/>
                <w:sz w:val="18"/>
                <w:szCs w:val="18"/>
              </w:rPr>
              <w:t>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Pr="00892C98" w:rsidRDefault="00460963" w:rsidP="009B2A14">
            <w:pPr>
              <w:spacing w:after="0"/>
              <w:jc w:val="center"/>
              <w:rPr>
                <w:color w:val="000000"/>
                <w:sz w:val="18"/>
                <w:szCs w:val="18"/>
              </w:rPr>
            </w:pPr>
            <w:r>
              <w:rPr>
                <w:color w:val="000000"/>
                <w:sz w:val="18"/>
                <w:szCs w:val="18"/>
              </w:rPr>
              <w:t>No</w:t>
            </w:r>
          </w:p>
        </w:tc>
        <w:tc>
          <w:tcPr>
            <w:tcW w:w="2977" w:type="dxa"/>
          </w:tcPr>
          <w:p w:rsidR="00B00CA2" w:rsidRDefault="00E33D6E" w:rsidP="00B00CA2">
            <w:pPr>
              <w:spacing w:after="0"/>
              <w:jc w:val="center"/>
              <w:rPr>
                <w:sz w:val="18"/>
                <w:szCs w:val="18"/>
              </w:rPr>
            </w:pPr>
            <w:r>
              <w:rPr>
                <w:sz w:val="18"/>
                <w:szCs w:val="18"/>
              </w:rPr>
              <w:fldChar w:fldCharType="begin" w:fldLock="1"/>
            </w:r>
            <w:r w:rsidR="00B00CA2">
              <w:rPr>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sz w:val="18"/>
                <w:szCs w:val="18"/>
              </w:rPr>
              <w:fldChar w:fldCharType="separate"/>
            </w:r>
            <w:r w:rsidR="00B00CA2" w:rsidRPr="00932CA1">
              <w:rPr>
                <w:noProof/>
                <w:sz w:val="18"/>
                <w:szCs w:val="18"/>
              </w:rPr>
              <w:t>(Hu et al., 2009)</w:t>
            </w:r>
            <w:r>
              <w:rPr>
                <w:sz w:val="18"/>
                <w:szCs w:val="18"/>
              </w:rPr>
              <w:fldChar w:fldCharType="end"/>
            </w:r>
          </w:p>
          <w:p w:rsidR="00B00CA2" w:rsidRDefault="00E33D6E" w:rsidP="00B00CA2">
            <w:pPr>
              <w:spacing w:after="0"/>
              <w:jc w:val="center"/>
              <w:rPr>
                <w:sz w:val="18"/>
                <w:szCs w:val="18"/>
              </w:rPr>
            </w:pPr>
            <w:r>
              <w:rPr>
                <w:sz w:val="18"/>
                <w:szCs w:val="18"/>
              </w:rPr>
              <w:fldChar w:fldCharType="begin" w:fldLock="1"/>
            </w:r>
            <w:r w:rsidR="00B00CA2">
              <w:rPr>
                <w:sz w:val="18"/>
                <w:szCs w:val="18"/>
              </w:rPr>
              <w:instrText>ADDIN CSL_CITATION {"citationItems":[{"id":"ITEM-1","itemData":{"DOI":"10.1111/febs.12037","abstract":"Pre-eclampsia is thought to be a systemic disease of maternal endothelial cell dysfunctions. miRNAs regulate various basic biological functions in cells, including stem cells. Mesenchymal stem cells exist in almost all tissues and are the key cellular source for tissue repair and regeneration. Our aims are to investigate whether miRNAs regulate MSCs in fetal-maternal interfaces to influence the pathogenesis of pre-eclampsia. The differential expression of miRNAs in decidua-derived mesenchymal stem cells of all patients with severe pre-eclampsia (n = 20) and normal groups (n = 20) was first screened by microarray analysis and validated by quantitative real-time PCR analysis. The integrated bioinformatics analysis showed that miR-16 showed the highest number of connections in the miRNA GO network and the miRNA gene network. Moreover, over-expressed miR-16 inhibited the proliferation and migration of decidua-derived mesenchymal stem cells and induced cell-cycle arrest by targeting cyclin E1. Interestingly, over-expression of miR-16 by decidua-derived mesenchymal stem cells reduced the ability of human umbilical vein endothelial cells to form blood vessels and reduced the migration of trophoblast cells. Furthermore, decidua-derived mesenchymal stem cell-expressed endothelial growth factor VEGF-A was involved in migration of trophoblast cells and human umbilical vein endothelial cells as well as tube and network formation. Importantly, the levels of cyclin E1 and VEGF-A were negatively correlated with the level of miR-16 expression in decidua-derived mesenchymal stem cells from the patients with severe pre-eclampsia. Together, these data suggest that the alteration of miR-16 expression in decidua-derived mesenchymal stem cells may be involved in the development of pre-eclampsia. © 2012 FEBS.","author":[{"dropping-particle":"","family":"Wang","given":"Yaping","non-dropping-particle":"","parse-names":false,"suffix":""},{"dropping-particle":"","family":"Fan","given":"Hongye","non-dropping-particle":"","parse-names":false,"suffix":""},{"dropping-particle":"","family":"Zhao","given":"Guangfeng","non-dropping-particle":"","parse-names":false,"suffix":""},{"dropping-particle":"","family":"Liu","given":"Dan","non-dropping-particle":"","parse-names":false,"suffix":""},{"dropping-particle":"","family":"Du","given":"Leilei","non-dropping-particle":"","parse-names":false,"suffix":""},{"dropping-particle":"","family":"Wang","given":"Zhiqun","non-dropping-particle":"","parse-names":false,"suffix":""},{"dropping-particle":"","family":"Hu","given":"Yali","non-dropping-particle":"","parse-names":false,"suffix":""},{"dropping-particle":"","family":"Hou","given":"Yayi","non-dropping-particle":"","parse-names":false,"suffix":""}],"container-title":"FEBS Journal","id":"ITEM-1","issue":"24","issued":{"date-parts":[["2012"]]},"page":"4510-4524","title":"MiR-16 inhibits the proliferation and angiogenesis-regulating potential of mesenchymal stem cells in severe pre-eclampsia","type":"article-journal","volume":"279"},"uris":["http://www.mendeley.com/documents/?uuid=8d7fde39-13d1-3398-b9a3-cbda19dd4b60"]}],"mendeley":{"formattedCitation":"(Wang et al., 2012b)","plainTextFormattedCitation":"(Wang et al., 2012b)","previouslyFormattedCitation":"(Wang et al., 2012b)"},"properties":{"noteIndex":0},"schema":"https://github.com/citation-style-language/schema/raw/master/csl-citation.json"}</w:instrText>
            </w:r>
            <w:r>
              <w:rPr>
                <w:sz w:val="18"/>
                <w:szCs w:val="18"/>
              </w:rPr>
              <w:fldChar w:fldCharType="separate"/>
            </w:r>
            <w:r w:rsidR="00B00CA2" w:rsidRPr="00460963">
              <w:rPr>
                <w:noProof/>
                <w:sz w:val="18"/>
                <w:szCs w:val="18"/>
              </w:rPr>
              <w:t>(Wang et al., 2012b)</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{"citationItems":[{"id":"ITEM-1","itemData":{"DOI":"10.1042/CS20120121","abstract":"PE (pre-eclampsia), a pregnancy-specific disorder, is characterized by increased trophoblast cell death and deficient trophoblast invasion and reduced trophoblast-mediated remodelling of spiral arteries. The present study was performed to determine the function of miR-29b (microRNA-29b) in trophoblast cells and its underlying role in the pathogenesisof PE. The prediction of miR-29b target genes was performed using computer-based programs, including Targetscan, Pictar andmiRBase. The function of these target genes was analysed further by gene ontology (GO). The effects of miR-29b on apoptosis, and invasion and angiogenesis of trophoblast cell lines (HTR-8/SVneo, BeWo and JAR) were examined by flow cytometryand Matrigel assay respectively. We found that miR-29b induced apoptosis and inhibited invasion and angiogenesis of trophoblast cells. Further studies confirmed that miR-29b regulated the expression of MCL1 (myeloid cell leukaemia sequence 1), MMP2 (encoding matrix metallproteinase 2), VEGFA (vascular endothelial growth factor A) and ITGB1 (integrin β1) genes by directly binding to their 3'-UTRs (untranslated regions). Moreover, we identified that there was an inverse correlation between miR-29b and its target genes in subjects with PE. Taken together, these findings support a novel role for miR-29b in invasion, apoptosis and angiogenesis of trophoblast cells, and miR-29b may become a new potential therapeutictarget for PE. © The Authors Journal compilation © 2013 Biochemical Society.","author":[{"dropping-particle":"","family":"Li","given":"Pengfei","non-dropping-particle":"","parse-names":false,"suffix":""},{"dropping-particle":"","family":"Guo","given":"Wei","non-dropping-particle":"","parse-names":false,"suffix":""},{"dropping-particle":"","family":"Du","given":"Leilei","non-dropping-particle":"","parse-names":false,"suffix":""},{"dropping-particle":"","family":"Zhao","given":"Junli","non-dropping-particle":"","parse-names":false,"suffix":""},{"dropping-particle":"","family":"Wang","given":"Yaping","non-dropping-particle":"","parse-names":false,"suffix":""},{"dropping-particle":"","family":"Liu","given":"Liu","non-dropping-particle":"","parse-names":false,"suffix":""},{"dropping-particle":"","family":"Hu","given":"Yali","non-dropping-particle":"","parse-names":false,"suffix":""},{"dropping-particle":"","family":"Hou","given":"Yayi","non-dropping-particle":"","parse-names":false,"suffix":""}],"container-title":"Clinical Science","id":"ITEM-1","issue":"1","issued":{"date-parts":[["2013"]]},"page":"27-40","title":"MicroRNA-29b contributes to pre-eclampsia through its effects on apoptosis, invasion and angiogenesis of trophoblast cells","type":"article-journal","volume":"124"},"uris":["http://www.mendeley.com/documents/?uuid=341c0020-23a7-3d53-889a-61170cc949ef"]}],"mendeley":{"formattedCitation":"(Li et al., 2013b)","plainTextFormattedCitation":"(Li et al., 2013b)","previouslyFormattedCitation":"(Li et al., 2013b)"},"properties":{"noteIndex":0},"schema":"https://github.com/citation-style-language/schema/raw/master/csl-citation.json"}</w:instrText>
            </w:r>
            <w:r>
              <w:rPr>
                <w:sz w:val="18"/>
                <w:szCs w:val="18"/>
              </w:rPr>
              <w:fldChar w:fldCharType="separate"/>
            </w:r>
            <w:r w:rsidR="00B00CA2" w:rsidRPr="00B00CA2">
              <w:rPr>
                <w:noProof/>
                <w:sz w:val="18"/>
                <w:szCs w:val="18"/>
              </w:rPr>
              <w:t>(Li et al., 2013b)</w:t>
            </w:r>
            <w:r>
              <w:rPr>
                <w:sz w:val="18"/>
                <w:szCs w:val="18"/>
              </w:rPr>
              <w:fldChar w:fldCharType="end"/>
            </w:r>
          </w:p>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FF4CEA" w:rsidRPr="00BB7CB7">
              <w:rPr>
                <w:noProof/>
                <w:sz w:val="18"/>
                <w:szCs w:val="18"/>
              </w:rPr>
              <w:t>(Zhao et al., 2014)</w:t>
            </w:r>
            <w:r>
              <w:rPr>
                <w:sz w:val="18"/>
                <w:szCs w:val="18"/>
              </w:rPr>
              <w:fldChar w:fldCharType="end"/>
            </w:r>
          </w:p>
          <w:p w:rsidR="00FF4CEA"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{"citationItems":[{"id":"ITEM-1","itemData":{"DOI":"10.1042/BSR20210874","ISSN":"15734935","PMID":"34318873","abstract":"In preeclampsia (PE), pre-existent maternal endothelial dysfunction leads to impaired placentation and vascular maladaptation. The vascular endothelial growth factor (VEGF) pathway is essential in the placentation process and VEGF expression is regulated through post-transcriptional modification by microRNAs (miRNAs). We investigated the expression of VEGF-related circulating miR-16, miR-29b, miR-126, miR-155 and miR-200c in PE vs healthy pregnancies (HPs), and their relation with vascular function, oxidative stress (OS) and systemic inflammation. In this case-control study, 24 women with early PE (&lt;34 weeks) were compared with 30 women with HP. Circulating microRNA levels (RT-qPCR), OS and systemic inflammation were assessed in plasma samples (PE 29.5 vs HP 25.8 weeks) and related to extensive in vivo vascular function (flow-mediated dilatation (FMD), modified FMD (mFMD), carotid-femoral pulse wave velocity (CF-PWV), heart rate corrected augmentation index (AIx75) and reactive hyperemia index (RHI)). FMD, CF-PWV, AIx75 and RHI were all significantly impaired in PE (P&lt;0.05). PE patients had reduced levels of miR-16 (5.53 +− 0.36 vs 5.84 +− 0.61) and increased levels of miR-200c (1.34 +− 0.57 vs 0.97 +− 0.68) (P&lt;0.05). Independent of age and parity, miR-16 was related to impaired FMD (β 2.771, 95% C.I.: 0.023-5.519, P=0.048) and mFMD (β 3.401, 95% C.I.: 0.201-6.602, P=0.038). Likewise, miR-200c was independently associated with CF-PWV (β 0.513, 95% C.I.: 0.034-0.992, P=0.036). In conclusion, circulating levels of miR-16 were lower in PE, which correlated with impaired endothelial function. Circulating miR-200c was increased in PE and correlated with higher arterial stiffness. These findings suggest a post-transcriptional dysregulation of the VEGF pathway in PE and identify miR-16 and miR-200c as possible diagnostic biomarkers for PE.","author":[{"dropping-particle":"","family":"Witvrouwen","given":"Isabel","non-dropping-particle":"","parse-names":false,"suffix":""},{"dropping-particle":"","family":"Mannaerts","given":"Dominique","non-dropping-particle":"","parse-names":false,"suffix":""},{"dropping-particle":"","family":"Ratajczak","given":"Jessica","non-dropping-particle":"","parse-names":false,"suffix":""},{"dropping-particle":"","family":"Boeren","given":"Evi","non-dropping-particle":"","parse-names":false,"suffix":""},{"dropping-particle":"","family":"Faes","given":"Ellen","non-dropping-particle":"","parse-names":false,"suffix":""},{"dropping-particle":"","family":"Craenenbroeck","given":"Amaryllis H.","non-dropping-particle":"van","parse-names":false,"suffix":""},{"dropping-particle":"","family":"Jacquemyn","given":"Yves","non-dropping-particle":"","parse-names":false,"suffix":""},{"dropping-particle":"","family":"Craenenbroeck","given":"Emeline M.","non-dropping-particle":"van","parse-names":false,"suffix":""}],"container-title":"Bioscience Reports","id":"ITEM-1","issue":"8","issued":{"date-parts":[["2021","8","1"]]},"page":"BSR20210874","publisher":"Portland Press Ltd","title":"MicroRNAs targeting VEGF are related to vascular dysfunction in preeclampsia","type":"article-journal","volume":"41"},"uris":["http://www.mendeley.com/documents/?uuid=5f138707-1204-3809-a0e3-46422e1b0d59"]}],"mendeley":{"formattedCitation":"(Witvrouwen et al., 2021)","plainTextFormattedCitation":"(Witvrouwen et al., 2021)","previouslyFormattedCitation":"(Witvrouwen et al., 2021)"},"properties":{"noteIndex":0},"schema":"https://github.com/citation-style-language/schema/raw/master/csl-citation.json"}</w:instrText>
            </w:r>
            <w:r>
              <w:rPr>
                <w:sz w:val="18"/>
                <w:szCs w:val="18"/>
              </w:rPr>
              <w:fldChar w:fldCharType="separate"/>
            </w:r>
            <w:r w:rsidR="00FF4CEA" w:rsidRPr="00B00CA2">
              <w:rPr>
                <w:noProof/>
                <w:sz w:val="18"/>
                <w:szCs w:val="18"/>
              </w:rPr>
              <w:t>(Witvrouwen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w:t>
            </w:r>
          </w:p>
          <w:p w:rsidR="00460963" w:rsidRDefault="00460963" w:rsidP="009B2A14">
            <w:pPr>
              <w:spacing w:after="0"/>
              <w:jc w:val="center"/>
              <w:rPr>
                <w:sz w:val="18"/>
                <w:szCs w:val="18"/>
              </w:rPr>
            </w:pPr>
            <w:r>
              <w:rPr>
                <w:sz w:val="18"/>
                <w:szCs w:val="18"/>
              </w:rPr>
              <w:t>19</w:t>
            </w:r>
          </w:p>
          <w:p w:rsidR="00460963" w:rsidRDefault="00460963" w:rsidP="009B2A14">
            <w:pPr>
              <w:spacing w:after="0"/>
              <w:jc w:val="center"/>
              <w:rPr>
                <w:sz w:val="18"/>
                <w:szCs w:val="18"/>
              </w:rPr>
            </w:pPr>
            <w:r>
              <w:rPr>
                <w:sz w:val="18"/>
                <w:szCs w:val="18"/>
              </w:rPr>
              <w:t>30</w:t>
            </w:r>
          </w:p>
          <w:p w:rsidR="00460963" w:rsidRDefault="00460963" w:rsidP="009B2A14">
            <w:pPr>
              <w:spacing w:after="0"/>
              <w:jc w:val="center"/>
              <w:rPr>
                <w:sz w:val="18"/>
                <w:szCs w:val="18"/>
              </w:rPr>
            </w:pPr>
            <w:r>
              <w:rPr>
                <w:sz w:val="18"/>
                <w:szCs w:val="18"/>
              </w:rPr>
              <w:t>46</w:t>
            </w:r>
          </w:p>
          <w:p w:rsidR="00460963" w:rsidRPr="00F80C43" w:rsidRDefault="00460963" w:rsidP="009B2A14">
            <w:pPr>
              <w:spacing w:after="0"/>
              <w:jc w:val="center"/>
              <w:rPr>
                <w:sz w:val="18"/>
                <w:szCs w:val="18"/>
              </w:rPr>
            </w:pPr>
            <w:r>
              <w:rPr>
                <w:sz w:val="18"/>
                <w:szCs w:val="18"/>
              </w:rPr>
              <w:t>Witvrouwen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29b-3p</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at delivery</w:t>
            </w:r>
          </w:p>
          <w:p w:rsidR="00460963" w:rsidRPr="00EB6201" w:rsidRDefault="00460963" w:rsidP="009B2A14">
            <w:pPr>
              <w:spacing w:after="0"/>
              <w:jc w:val="center"/>
              <w:rPr>
                <w:color w:val="000000"/>
                <w:sz w:val="18"/>
                <w:szCs w:val="18"/>
              </w:rPr>
            </w:pPr>
            <w:r>
              <w:rPr>
                <w:color w:val="000000"/>
                <w:sz w:val="18"/>
                <w:szCs w:val="18"/>
              </w:rPr>
              <w:t>No difference in sPE 1 year after</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FF4CEA" w:rsidRPr="00932CA1">
              <w:rPr>
                <w:noProof/>
                <w:sz w:val="18"/>
                <w:szCs w:val="18"/>
              </w:rPr>
              <w:t>(Murphy et al., 2015)</w:t>
            </w:r>
            <w:r>
              <w:rPr>
                <w:sz w:val="18"/>
                <w:szCs w:val="18"/>
              </w:rPr>
              <w:fldChar w:fldCharType="end"/>
            </w:r>
          </w:p>
          <w:p w:rsidR="00FF4CEA"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FF4CEA" w:rsidRPr="00932CA1">
              <w:rPr>
                <w:noProof/>
                <w:sz w:val="18"/>
                <w:szCs w:val="18"/>
              </w:rPr>
              <w:t>(Murphy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EB6201">
              <w:rPr>
                <w:color w:val="000000"/>
                <w:sz w:val="18"/>
                <w:szCs w:val="18"/>
              </w:rPr>
              <w:t>26b</w:t>
            </w:r>
          </w:p>
        </w:tc>
        <w:tc>
          <w:tcPr>
            <w:tcW w:w="2136" w:type="dxa"/>
            <w:vAlign w:val="center"/>
          </w:tcPr>
          <w:p w:rsidR="00460963" w:rsidRPr="00F80C43" w:rsidRDefault="00460963" w:rsidP="009B2A14">
            <w:pPr>
              <w:spacing w:after="0"/>
              <w:jc w:val="center"/>
              <w:rPr>
                <w:sz w:val="18"/>
                <w:szCs w:val="18"/>
              </w:rPr>
            </w:pPr>
            <w:r>
              <w:rPr>
                <w:color w:val="000000"/>
                <w:sz w:val="18"/>
                <w:szCs w:val="18"/>
              </w:rPr>
              <w:t>Placenta</w:t>
            </w:r>
            <w:r w:rsidRPr="00EB6201">
              <w:rPr>
                <w:color w:val="000000"/>
                <w:sz w:val="18"/>
                <w:szCs w:val="18"/>
              </w:rPr>
              <w:t xml:space="preserve"> (chorion)</w:t>
            </w:r>
          </w:p>
        </w:tc>
        <w:tc>
          <w:tcPr>
            <w:tcW w:w="2859" w:type="dxa"/>
            <w:vAlign w:val="center"/>
          </w:tcPr>
          <w:p w:rsidR="00460963" w:rsidRPr="00F80C43" w:rsidRDefault="00460963" w:rsidP="009B2A14">
            <w:pPr>
              <w:spacing w:after="0"/>
              <w:jc w:val="center"/>
              <w:rPr>
                <w:sz w:val="18"/>
                <w:szCs w:val="18"/>
              </w:rPr>
            </w:pPr>
            <w:r w:rsidRPr="00EB6201">
              <w:rPr>
                <w:color w:val="000000"/>
                <w:sz w:val="18"/>
                <w:szCs w:val="18"/>
              </w:rPr>
              <w:t>Up in sPE</w:t>
            </w:r>
          </w:p>
        </w:tc>
        <w:tc>
          <w:tcPr>
            <w:tcW w:w="1173" w:type="dxa"/>
            <w:vAlign w:val="center"/>
          </w:tcPr>
          <w:p w:rsidR="00460963" w:rsidRPr="00F80C43" w:rsidRDefault="00460963" w:rsidP="009B2A14">
            <w:pPr>
              <w:spacing w:after="0"/>
              <w:jc w:val="center"/>
              <w:rPr>
                <w:sz w:val="18"/>
                <w:szCs w:val="18"/>
              </w:rPr>
            </w:pPr>
            <w:r w:rsidRPr="00EB6201">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sz w:val="18"/>
                <w:szCs w:val="18"/>
              </w:rPr>
              <w:fldChar w:fldCharType="separate"/>
            </w:r>
            <w:r w:rsidR="00FF4CEA" w:rsidRPr="00932CA1">
              <w:rPr>
                <w:noProof/>
                <w:sz w:val="18"/>
                <w:szCs w:val="18"/>
              </w:rPr>
              <w:t>(Hu et al., 2009)</w:t>
            </w:r>
            <w:r>
              <w:rPr>
                <w:sz w:val="18"/>
                <w:szCs w:val="18"/>
              </w:rPr>
              <w:fldChar w:fldCharType="end"/>
            </w:r>
          </w:p>
        </w:tc>
        <w:tc>
          <w:tcPr>
            <w:tcW w:w="1791" w:type="dxa"/>
            <w:vAlign w:val="center"/>
          </w:tcPr>
          <w:p w:rsidR="00460963" w:rsidRPr="00F80C43" w:rsidRDefault="00460963" w:rsidP="009B2A14">
            <w:pPr>
              <w:spacing w:after="0"/>
              <w:jc w:val="center"/>
              <w:rPr>
                <w:sz w:val="18"/>
                <w:szCs w:val="18"/>
              </w:rPr>
            </w:pPr>
            <w:r>
              <w:rPr>
                <w:sz w:val="18"/>
                <w:szCs w:val="18"/>
              </w:rPr>
              <w:t>2</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26b-5p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FF4CEA"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F80C43" w:rsidRDefault="00460963" w:rsidP="009B2A14">
            <w:pPr>
              <w:spacing w:after="0"/>
              <w:jc w:val="center"/>
              <w:rPr>
                <w:sz w:val="18"/>
                <w:szCs w:val="18"/>
              </w:rPr>
            </w:pPr>
            <w:r w:rsidRPr="00EB6201">
              <w:rPr>
                <w:color w:val="000000"/>
                <w:sz w:val="18"/>
                <w:szCs w:val="18"/>
              </w:rPr>
              <w:t>335</w:t>
            </w:r>
          </w:p>
        </w:tc>
        <w:tc>
          <w:tcPr>
            <w:tcW w:w="2136" w:type="dxa"/>
            <w:vAlign w:val="center"/>
          </w:tcPr>
          <w:p w:rsidR="00460963" w:rsidRPr="00F80C43" w:rsidRDefault="00460963" w:rsidP="009B2A14">
            <w:pPr>
              <w:spacing w:after="0"/>
              <w:jc w:val="center"/>
              <w:rPr>
                <w:sz w:val="18"/>
                <w:szCs w:val="18"/>
              </w:rPr>
            </w:pPr>
            <w:r>
              <w:rPr>
                <w:color w:val="000000"/>
                <w:sz w:val="18"/>
                <w:szCs w:val="18"/>
              </w:rPr>
              <w:t>Placenta</w:t>
            </w:r>
            <w:r w:rsidRPr="00EB6201">
              <w:rPr>
                <w:color w:val="000000"/>
                <w:sz w:val="18"/>
                <w:szCs w:val="18"/>
              </w:rPr>
              <w:t xml:space="preserve"> (chorion)</w:t>
            </w:r>
          </w:p>
        </w:tc>
        <w:tc>
          <w:tcPr>
            <w:tcW w:w="2859" w:type="dxa"/>
            <w:vAlign w:val="center"/>
          </w:tcPr>
          <w:p w:rsidR="00460963" w:rsidRPr="00F80C43" w:rsidRDefault="00460963" w:rsidP="009B2A14">
            <w:pPr>
              <w:spacing w:after="0"/>
              <w:jc w:val="center"/>
              <w:rPr>
                <w:sz w:val="18"/>
                <w:szCs w:val="18"/>
              </w:rPr>
            </w:pPr>
            <w:r w:rsidRPr="00EB6201">
              <w:rPr>
                <w:color w:val="000000"/>
                <w:sz w:val="18"/>
                <w:szCs w:val="18"/>
              </w:rPr>
              <w:t>Up in sPE</w:t>
            </w:r>
          </w:p>
        </w:tc>
        <w:tc>
          <w:tcPr>
            <w:tcW w:w="1173" w:type="dxa"/>
            <w:vAlign w:val="center"/>
          </w:tcPr>
          <w:p w:rsidR="00460963" w:rsidRPr="00F80C43" w:rsidRDefault="00460963" w:rsidP="009B2A14">
            <w:pPr>
              <w:spacing w:after="0"/>
              <w:jc w:val="center"/>
              <w:rPr>
                <w:sz w:val="18"/>
                <w:szCs w:val="18"/>
              </w:rPr>
            </w:pPr>
            <w:r w:rsidRPr="00EB6201">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{"citationItems":[{"id":"ITEM-1","itemData":{"DOI":"10.1515/CCLM.2009.228","abstract":"Background: The pathogenesis of pre-eclampsia (PE) is incompletely understood. The placenta is considered to play a key role in this disease. Recent research showed that many microRNAs (miRNAs) are expressed in human placenta. Our aim in this study was to determine differential expression of miRNAs in placenta with severe PE, and normal placenta. Methods: Differential expression of miRNAs in placenta (four severe PE and a control group of four normal pregnant women) was first screened using microarray analysis. Following this, some differential miRNAs were selected and validated using real-time quantitative reverse transcription-polymerase chain reaction in placenta from women with severe PE (n=24), and a healthy control group (n=26). Results: We found the following miRNAs were significantly increased in placenta from women with severe PE: miR-16, miR-29b, miR-195, miR-26b, miR-181a, miR-335 and miR-222. Gene ontology analysis of the target genes revealed enrichment for specific biological process categories, i.e., regulation of cellular physiological process including miR-16, miR-29b, miR-195, miR-26b and miR-335, and signal transduction including miR-181a and miR-222. Conclusions: These different miRNAs may play an important role in pathogenesis of PE and may become diagnostic markers for PE. © 2009 by Walter de Gruyter.","author":[{"dropping-particle":"","family":"Hu","given":"Yali","non-dropping-particle":"","parse-names":false,"suffix":""},{"dropping-particle":"","family":"Li","given":"Pengfei","non-dropping-particle":"","parse-names":false,"suffix":""},{"dropping-particle":"","family":"Hao","given":"Sha","non-dropping-particle":"","parse-names":false,"suffix":""},{"dropping-particle":"","family":"Liu","given":"Liu","non-dropping-particle":"","parse-names":false,"suffix":""},{"dropping-particle":"","family":"Zhao","given":"Junli","non-dropping-particle":"","parse-names":false,"suffix":""},{"dropping-particle":"","family":"Hou","given":"Yayi","non-dropping-particle":"","parse-names":false,"suffix":""}],"container-title":"Clinical Chemistry and Laboratory Medicine","id":"ITEM-1","issue":"8","issued":{"date-parts":[["2009"]]},"page":"923-929","title":"Differential expression of microRNAs in the placentae of Chinese patients with severe pre-eclampsia","type":"article-journal","volume":"47"},"uris":["http://www.mendeley.com/documents/?uuid=77552362-e332-3476-a7b7-f280f880922e"]}],"mendeley":{"formattedCitation":"(Hu et al., 2009)","plainTextFormattedCitation":"(Hu et al., 2009)","previouslyFormattedCitation":"(Hu et al., 2009)"},"properties":{"noteIndex":0},"schema":"https://github.com/citation-style-language/schema/raw/master/csl-citation.json"}</w:instrText>
            </w:r>
            <w:r>
              <w:rPr>
                <w:sz w:val="18"/>
                <w:szCs w:val="18"/>
              </w:rPr>
              <w:fldChar w:fldCharType="separate"/>
            </w:r>
            <w:r w:rsidR="00FF4CEA" w:rsidRPr="00932CA1">
              <w:rPr>
                <w:noProof/>
                <w:sz w:val="18"/>
                <w:szCs w:val="18"/>
              </w:rPr>
              <w:t>(Hu et al., 2009)</w:t>
            </w:r>
            <w:r>
              <w:rPr>
                <w:sz w:val="18"/>
                <w:szCs w:val="18"/>
              </w:rPr>
              <w:fldChar w:fldCharType="end"/>
            </w:r>
          </w:p>
        </w:tc>
        <w:tc>
          <w:tcPr>
            <w:tcW w:w="1791" w:type="dxa"/>
            <w:vAlign w:val="center"/>
          </w:tcPr>
          <w:p w:rsidR="00460963" w:rsidRPr="00F80C43" w:rsidRDefault="00460963" w:rsidP="009B2A14">
            <w:pPr>
              <w:spacing w:after="0"/>
              <w:jc w:val="center"/>
              <w:rPr>
                <w:sz w:val="18"/>
                <w:szCs w:val="18"/>
              </w:rPr>
            </w:pPr>
            <w:r>
              <w:rPr>
                <w:sz w:val="18"/>
                <w:szCs w:val="18"/>
              </w:rPr>
              <w:t>2</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lastRenderedPageBreak/>
              <w:t>152</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9D4BA6">
              <w:rPr>
                <w:color w:val="000000"/>
                <w:sz w:val="18"/>
                <w:szCs w:val="18"/>
              </w:rPr>
              <w:t xml:space="preserve"> (villi)</w:t>
            </w:r>
          </w:p>
          <w:p w:rsidR="00460963" w:rsidRPr="00EB6201"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eciduas-MSCs)</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w:t>
            </w:r>
            <w:r w:rsidRPr="00EB6201">
              <w:rPr>
                <w:color w:val="000000"/>
                <w:sz w:val="18"/>
                <w:szCs w:val="18"/>
              </w:rPr>
              <w:t>es</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FF4CEA" w:rsidRPr="00460963">
              <w:rPr>
                <w:noProof/>
                <w:sz w:val="18"/>
                <w:szCs w:val="18"/>
              </w:rPr>
              <w:t>(Zhong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{"citationItems":[{"id":"ITEM-1","itemData":{"DOI":"10.1111/febs.12037","abstract":"Pre-eclampsia is thought to be a systemic disease of maternal endothelial cell dysfunctions. miRNAs regulate various basic biological functions in cells, including stem cells. Mesenchymal stem cells exist in almost all tissues and are the key cellular source for tissue repair and regeneration. Our aims are to investigate whether miRNAs regulate MSCs in fetal-maternal interfaces to influence the pathogenesis of pre-eclampsia. The differential expression of miRNAs in decidua-derived mesenchymal stem cells of all patients with severe pre-eclampsia (n = 20) and normal groups (n = 20) was first screened by microarray analysis and validated by quantitative real-time PCR analysis. The integrated bioinformatics analysis showed that miR-16 showed the highest number of connections in the miRNA GO network and the miRNA gene network. Moreover, over-expressed miR-16 inhibited the proliferation and migration of decidua-derived mesenchymal stem cells and induced cell-cycle arrest by targeting cyclin E1. Interestingly, over-expression of miR-16 by decidua-derived mesenchymal stem cells reduced the ability of human umbilical vein endothelial cells to form blood vessels and reduced the migration of trophoblast cells. Furthermore, decidua-derived mesenchymal stem cell-expressed endothelial growth factor VEGF-A was involved in migration of trophoblast cells and human umbilical vein endothelial cells as well as tube and network formation. Importantly, the levels of cyclin E1 and VEGF-A were negatively correlated with the level of miR-16 expression in decidua-derived mesenchymal stem cells from the patients with severe pre-eclampsia. Together, these data suggest that the alteration of miR-16 expression in decidua-derived mesenchymal stem cells may be involved in the development of pre-eclampsia. © 2012 FEBS.","author":[{"dropping-particle":"","family":"Wang","given":"Yaping","non-dropping-particle":"","parse-names":false,"suffix":""},{"dropping-particle":"","family":"Fan","given":"Hongye","non-dropping-particle":"","parse-names":false,"suffix":""},{"dropping-particle":"","family":"Zhao","given":"Guangfeng","non-dropping-particle":"","parse-names":false,"suffix":""},{"dropping-particle":"","family":"Liu","given":"Dan","non-dropping-particle":"","parse-names":false,"suffix":""},{"dropping-particle":"","family":"Du","given":"Leilei","non-dropping-particle":"","parse-names":false,"suffix":""},{"dropping-particle":"","family":"Wang","given":"Zhiqun","non-dropping-particle":"","parse-names":false,"suffix":""},{"dropping-particle":"","family":"Hu","given":"Yali","non-dropping-particle":"","parse-names":false,"suffix":""},{"dropping-particle":"","family":"Hou","given":"Yayi","non-dropping-particle":"","parse-names":false,"suffix":""}],"container-title":"FEBS Journal","id":"ITEM-1","issue":"24","issued":{"date-parts":[["2012"]]},"page":"4510-4524","title":"MiR-16 inhibits the proliferation and angiogenesis-regulating potential of mesenchymal stem cells in severe pre-eclampsia","type":"article-journal","volume":"279"},"uris":["http://www.mendeley.com/documents/?uuid=8d7fde39-13d1-3398-b9a3-cbda19dd4b60"]}],"mendeley":{"formattedCitation":"(Wang et al., 2012b)","plainTextFormattedCitation":"(Wang et al., 2012b)","previouslyFormattedCitation":"(Wang et al., 2012b)"},"properties":{"noteIndex":0},"schema":"https://github.com/citation-style-language/schema/raw/master/csl-citation.json"}</w:instrText>
            </w:r>
            <w:r>
              <w:rPr>
                <w:sz w:val="18"/>
                <w:szCs w:val="18"/>
              </w:rPr>
              <w:fldChar w:fldCharType="separate"/>
            </w:r>
            <w:r w:rsidR="00FF4CEA" w:rsidRPr="00460963">
              <w:rPr>
                <w:noProof/>
                <w:sz w:val="18"/>
                <w:szCs w:val="18"/>
              </w:rPr>
              <w:t>(Wang et al., 2012b)</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w:t>
            </w:r>
          </w:p>
          <w:p w:rsidR="00460963" w:rsidRDefault="00460963" w:rsidP="009B2A14">
            <w:pPr>
              <w:spacing w:after="0"/>
              <w:jc w:val="center"/>
              <w:rPr>
                <w:sz w:val="18"/>
                <w:szCs w:val="18"/>
              </w:rPr>
            </w:pPr>
            <w:r>
              <w:rPr>
                <w:sz w:val="18"/>
                <w:szCs w:val="18"/>
              </w:rPr>
              <w:t>19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411</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9D4BA6">
              <w:rPr>
                <w:color w:val="000000"/>
                <w:sz w:val="18"/>
                <w:szCs w:val="18"/>
              </w:rPr>
              <w:t xml:space="preserve"> (villi)</w:t>
            </w:r>
          </w:p>
          <w:p w:rsidR="00460963" w:rsidRDefault="00460963" w:rsidP="009B2A14">
            <w:pPr>
              <w:spacing w:after="0"/>
              <w:jc w:val="center"/>
              <w:rPr>
                <w:color w:val="000000"/>
                <w:sz w:val="18"/>
                <w:szCs w:val="18"/>
              </w:rPr>
            </w:pPr>
            <w:r>
              <w:rPr>
                <w:color w:val="000000"/>
                <w:sz w:val="18"/>
                <w:szCs w:val="18"/>
              </w:rPr>
              <w:t>Placenta (chorionic plate)</w:t>
            </w:r>
          </w:p>
          <w:p w:rsidR="00460963" w:rsidRPr="00EB6201"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w:t>
            </w:r>
          </w:p>
          <w:p w:rsidR="00460963" w:rsidRPr="00EB6201"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 xml:space="preserve">Yes </w:t>
            </w:r>
          </w:p>
        </w:tc>
        <w:tc>
          <w:tcPr>
            <w:tcW w:w="2977" w:type="dxa"/>
          </w:tcPr>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FF4CEA" w:rsidRPr="00460963">
              <w:rPr>
                <w:noProof/>
                <w:sz w:val="18"/>
                <w:szCs w:val="18"/>
              </w:rPr>
              <w:t>(Zhong et al., 2019)</w:t>
            </w:r>
            <w:r>
              <w:rPr>
                <w:sz w:val="18"/>
                <w:szCs w:val="18"/>
              </w:rPr>
              <w:fldChar w:fldCharType="end"/>
            </w:r>
          </w:p>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F4CEA"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F4CEA"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377</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9D4BA6">
              <w:rPr>
                <w:color w:val="000000"/>
                <w:sz w:val="18"/>
                <w:szCs w:val="18"/>
              </w:rPr>
              <w:t xml:space="preserve"> (villi)</w:t>
            </w:r>
          </w:p>
          <w:p w:rsidR="00460963" w:rsidRPr="00EB620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Down in sPE</w:t>
            </w:r>
          </w:p>
          <w:p w:rsidR="00460963" w:rsidRPr="00EB6201" w:rsidRDefault="00460963" w:rsidP="009B2A14">
            <w:pPr>
              <w:spacing w:after="0"/>
              <w:jc w:val="center"/>
              <w:rPr>
                <w:color w:val="000000"/>
                <w:sz w:val="18"/>
                <w:szCs w:val="18"/>
              </w:rPr>
            </w:pPr>
            <w:r>
              <w:rPr>
                <w:color w:val="000000"/>
                <w:sz w:val="18"/>
                <w:szCs w:val="18"/>
              </w:rPr>
              <w:t>No difference in preterm 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FF4CEA" w:rsidRPr="00460963">
              <w:rPr>
                <w:noProof/>
                <w:sz w:val="18"/>
                <w:szCs w:val="18"/>
              </w:rPr>
              <w:t>(Zhong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{"citationItems":[{"id":"ITEM-1","itemData":{"DOI":"10.1590/1414-431X20197546","abstract":"Preeclampsia is a major reason of morbidity and mortality in pregnant women and perinatal fetus. Hence, it is of prime importance that diagnostic markers are defined to predict chances of preeclampsia in pregnant women. It has been previously shown that microRNA (miRNA)-376c expression is decreased in the placenta of preeclampsia patients at term. Even though this decrease was not mimicked in the placenta at the pre-term stage, miR-376c expression was decreased in the plasma of these patients as early as the second trimester. Plasma and placenta specimens were obtained from pregnant women having unifetal gestation undergoing perinatal care between January 2014 and December 2016 (n=49). Early trimester placentas were collected from patients undergoing terminated pregnancies through dilation and curettage procedure. Our results showed that in addition to miR-376c, miR-441 levels were decreased in the placenta of preeclampsia patients, and this decrease occurred both at pre-term and at term. This decrease is also mimicked in the plasma levels at both early and late weeks of pregnancy, highlighting that miR-441 levels can serve as a diagnostic marker of risk of preeclampsia in pregnant women. Overexpression of the miR-441, as well as miR-376c, promoted cell viability, migration, and invasion in the human immortalized cytotrophoblast cell line HTR8/ SVneo, indicating that their decrease in pregnant women would result in anomalous apoptosis and functional imbalance resulting in premature abortion and other complications. MiR-441 level can thus potentially serve as diagnostic marker of preeclampsia in pregnant women.","author":[{"dropping-particle":"","family":"Yang","given":"Hui Li","non-dropping-particle":"","parse-names":false,"suffix":""},{"dropping-particle":"","family":"Zhang","given":"Hong Zhi","non-dropping-particle":"","parse-names":false,"suffix":""},{"dropping-particle":"","family":"Meng","given":"Fan Rong","non-dropping-particle":"","parse-names":false,"suffix":""},{"dropping-particle":"","family":"Han","given":"Shu Yi","non-dropping-particle":"","parse-names":false,"suffix":""},{"dropping-particle":"","family":"Zhang","given":"Miao","non-dropping-particle":"","parse-names":false,"suffix":""}],"container-title":"Brazilian Journal of Medical and Biological Research","id":"ITEM-1","issue":"4","issued":{"date-parts":[["2019"]]},"page":"e7546","title":"Differential expression of microRNA-411 and 376c is associated with hypertension in pregnancy","type":"article-journal","volume":"52"},"uris":["http://www.mendeley.com/documents/?uuid=f076a5a1-7108-3069-9c7a-bd8d17f88b69"]}],"mendeley":{"formattedCitation":"(Yang et al., 2019a)","plainTextFormattedCitation":"(Yang et al., 2019a)","previouslyFormattedCitation":"(Yang et al., 2019a)"},"properties":{"noteIndex":0},"schema":"https://github.com/citation-style-language/schema/raw/master/csl-citation.json"}</w:instrText>
            </w:r>
            <w:r>
              <w:rPr>
                <w:sz w:val="18"/>
                <w:szCs w:val="18"/>
              </w:rPr>
              <w:fldChar w:fldCharType="separate"/>
            </w:r>
            <w:r w:rsidR="00FF4CEA" w:rsidRPr="00FF4CEA">
              <w:rPr>
                <w:noProof/>
                <w:sz w:val="18"/>
                <w:szCs w:val="18"/>
              </w:rPr>
              <w:t>(Yang et al., 2019a)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w:t>
            </w:r>
          </w:p>
          <w:p w:rsidR="00460963" w:rsidRDefault="00460963" w:rsidP="009B2A14">
            <w:pPr>
              <w:spacing w:after="0"/>
              <w:jc w:val="center"/>
              <w:rPr>
                <w:sz w:val="18"/>
                <w:szCs w:val="18"/>
              </w:rPr>
            </w:pPr>
            <w:r>
              <w:rPr>
                <w:sz w:val="18"/>
                <w:szCs w:val="18"/>
              </w:rPr>
              <w:t>186</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519b</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Placenta</w:t>
            </w:r>
            <w:r w:rsidRPr="009D4BA6">
              <w:rPr>
                <w:color w:val="000000"/>
                <w:sz w:val="18"/>
                <w:szCs w:val="18"/>
              </w:rPr>
              <w:t xml:space="preserve"> (villi)</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Up in sPE</w:t>
            </w:r>
          </w:p>
        </w:tc>
        <w:tc>
          <w:tcPr>
            <w:tcW w:w="1173" w:type="dxa"/>
            <w:vAlign w:val="center"/>
          </w:tcPr>
          <w:p w:rsidR="00460963" w:rsidRPr="00EB6201" w:rsidRDefault="00460963" w:rsidP="009B2A14">
            <w:pPr>
              <w:spacing w:after="0"/>
              <w:jc w:val="center"/>
              <w:rPr>
                <w:color w:val="000000"/>
                <w:sz w:val="18"/>
                <w:szCs w:val="18"/>
              </w:rPr>
            </w:pPr>
            <w:r w:rsidRPr="00EB6201">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FF4CEA">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FF4CEA" w:rsidRPr="00460963">
              <w:rPr>
                <w:noProof/>
                <w:sz w:val="18"/>
                <w:szCs w:val="18"/>
              </w:rPr>
              <w:t>(Zhong et al., 2019)</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18a</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9D4BA6">
              <w:rPr>
                <w:color w:val="000000"/>
                <w:sz w:val="18"/>
                <w:szCs w:val="18"/>
              </w:rPr>
              <w:t xml:space="preserve"> (villi)</w:t>
            </w:r>
          </w:p>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Pr="00EB6201" w:rsidRDefault="00460963" w:rsidP="003B19E2">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Down in sEOPE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FF4CEA" w:rsidRPr="00460963">
              <w:rPr>
                <w:noProof/>
                <w:sz w:val="18"/>
                <w:szCs w:val="18"/>
              </w:rPr>
              <w:t>(Zhong et al., 2019)</w:t>
            </w:r>
            <w:r>
              <w:rPr>
                <w:sz w:val="18"/>
                <w:szCs w:val="18"/>
              </w:rPr>
              <w:fldChar w:fldCharType="end"/>
            </w:r>
          </w:p>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F4CEA" w:rsidRPr="00FA32AE">
              <w:rPr>
                <w:noProof/>
                <w:sz w:val="18"/>
                <w:szCs w:val="18"/>
              </w:rPr>
              <w:t>(Xu et al., 2014)</w:t>
            </w:r>
            <w:r>
              <w:rPr>
                <w:sz w:val="18"/>
                <w:szCs w:val="18"/>
              </w:rPr>
              <w:fldChar w:fldCharType="end"/>
            </w:r>
          </w:p>
          <w:p w:rsidR="00460963"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F4CEA" w:rsidRPr="00FA32AE">
              <w:rPr>
                <w:noProof/>
                <w:sz w:val="18"/>
                <w:szCs w:val="18"/>
              </w:rPr>
              <w:t>(Xu et al., 2014)</w:t>
            </w:r>
            <w:r>
              <w:rPr>
                <w:sz w:val="18"/>
                <w:szCs w:val="18"/>
              </w:rPr>
              <w:fldChar w:fldCharType="end"/>
            </w:r>
          </w:p>
          <w:p w:rsidR="00FF4CEA" w:rsidRDefault="00E33D6E" w:rsidP="00FF4CEA">
            <w:pPr>
              <w:spacing w:after="0"/>
              <w:jc w:val="center"/>
              <w:rPr>
                <w:sz w:val="18"/>
                <w:szCs w:val="18"/>
              </w:rPr>
            </w:pPr>
            <w:r>
              <w:rPr>
                <w:sz w:val="18"/>
                <w:szCs w:val="18"/>
              </w:rPr>
              <w:fldChar w:fldCharType="begin" w:fldLock="1"/>
            </w:r>
            <w:r w:rsidR="00FF4CE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FF4CEA" w:rsidRPr="00FA32AE">
              <w:rPr>
                <w:noProof/>
                <w:sz w:val="18"/>
                <w:szCs w:val="18"/>
              </w:rPr>
              <w:t>(Xu et al., 2014)</w:t>
            </w:r>
            <w:r>
              <w:rPr>
                <w:sz w:val="18"/>
                <w:szCs w:val="18"/>
              </w:rPr>
              <w:fldChar w:fldCharType="end"/>
            </w:r>
            <w:r w:rsidR="00FF4CEA">
              <w:rPr>
                <w:sz w:val="18"/>
                <w:szCs w:val="18"/>
              </w:rPr>
              <w:t xml:space="preserve"> </w:t>
            </w:r>
          </w:p>
          <w:p w:rsidR="00FF4CEA" w:rsidRDefault="00E33D6E" w:rsidP="00FF4CEA">
            <w:pPr>
              <w:spacing w:after="0"/>
              <w:jc w:val="center"/>
              <w:rPr>
                <w:sz w:val="18"/>
                <w:szCs w:val="18"/>
              </w:rPr>
            </w:pPr>
            <w:r>
              <w:rPr>
                <w:sz w:val="18"/>
                <w:szCs w:val="18"/>
              </w:rPr>
              <w:fldChar w:fldCharType="begin" w:fldLock="1"/>
            </w:r>
            <w:r w:rsidR="00947753">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947753">
              <w:rPr>
                <w:rFonts w:ascii="Cambria Math" w:hAnsi="Cambria Math" w:cs="Cambria Math"/>
                <w:sz w:val="18"/>
                <w:szCs w:val="18"/>
              </w:rPr>
              <w:instrText>∗</w:instrText>
            </w:r>
            <w:r w:rsidR="00947753">
              <w:rPr>
                <w:rFonts w:cs="Times New Roman"/>
                <w:sz w:val="18"/>
                <w:szCs w:val="18"/>
              </w:rPr>
              <w:instrText>, miR-130a, miR-135b, miR-142-3p, miR-149, miR-188</w:instrText>
            </w:r>
            <w:r w:rsidR="00947753">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FF4CEA" w:rsidRPr="00FF4CEA">
              <w:rPr>
                <w:noProof/>
                <w:sz w:val="18"/>
                <w:szCs w:val="18"/>
              </w:rPr>
              <w:t>(Yang et al., 2015)</w:t>
            </w:r>
            <w:r>
              <w:rPr>
                <w:sz w:val="18"/>
                <w:szCs w:val="18"/>
              </w:rPr>
              <w:fldChar w:fldCharType="end"/>
            </w:r>
          </w:p>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947753">
              <w:rPr>
                <w:rFonts w:ascii="Cambria Math" w:hAnsi="Cambria Math" w:cs="Cambria Math"/>
                <w:sz w:val="18"/>
                <w:szCs w:val="18"/>
              </w:rPr>
              <w:instrText>∗</w:instrText>
            </w:r>
            <w:r w:rsidR="00947753">
              <w:rPr>
                <w:rFonts w:cs="Times New Roman"/>
                <w:sz w:val="18"/>
                <w:szCs w:val="18"/>
              </w:rPr>
              <w:instrText xml:space="preserve">, miR-130a, miR-135b, miR-142-3p, miR-149, miR-188-5p, miR-18a, miR-18b, miR-203, miR-205, miR-224, miR-27a, miR-29a, miR-301a, miR-517c, miR-518-3p, miR-518e, miR-519d and miR-93. These miRNAs belonged to </w:instrText>
            </w:r>
            <w:r w:rsidR="00947753">
              <w:rPr>
                <w:sz w:val="18"/>
                <w:szCs w:val="18"/>
              </w:rPr>
              <w:instrText>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947753" w:rsidRPr="00FF4CEA">
              <w:rPr>
                <w:noProof/>
                <w:sz w:val="18"/>
                <w:szCs w:val="18"/>
              </w:rPr>
              <w:t>(Yang et al., 2015)</w:t>
            </w:r>
            <w:r>
              <w:rPr>
                <w:sz w:val="18"/>
                <w:szCs w:val="18"/>
              </w:rPr>
              <w:fldChar w:fldCharType="end"/>
            </w:r>
          </w:p>
          <w:p w:rsidR="00947753" w:rsidRDefault="00E33D6E" w:rsidP="00FF4CEA">
            <w:pPr>
              <w:spacing w:after="0"/>
              <w:jc w:val="center"/>
              <w:rPr>
                <w:sz w:val="18"/>
                <w:szCs w:val="18"/>
              </w:rPr>
            </w:pPr>
            <w:r>
              <w:rPr>
                <w:sz w:val="18"/>
                <w:szCs w:val="18"/>
              </w:rPr>
              <w:fldChar w:fldCharType="begin" w:fldLock="1"/>
            </w:r>
            <w:r w:rsidR="00947753">
              <w:rPr>
                <w:sz w:val="18"/>
                <w:szCs w:val="18"/>
              </w:rPr>
              <w:instrText>ADDIN CSL_CITATION {"citationItems":[{"id":"ITEM-1","itemData":{"DOI":"10.1038/s41598-020-73783-w","ISSN":"20452322","PMID":"33093531","abstract":"Preeclampsia is a pregnancy complication associated with angiogenic dysbalance, maternal endothelial dysfunction and end-organ injury. A predictive test to identify those who will develop preeclampsia could substantially decrease morbidity and mortality. MicroRNAs (miRs) are small RNA molecules involved in post-transcriptional gene regulation. We screened for circulating miRs differentially expressed at 36 weeks’ gestation in pregnancies before the development of preeclampsia. We used a case–control group (198 controls, 34 pre-preeclampsia diagnosis) selected from a prospective cohort (n = 2015) and performed a PCR-based microarray to measure the expression of 41 miRs. We found six circulating miRs (miRs 363, 149, 18a, 1283, 16, 424) at 36 weeks' had significantly reduced expression (p &lt; 0.0001–0.04). miR363 was significantly downregulated at 28 weeks’ gestation, 10–12 weeks before the onset of clinical disease. In the circulation of another cohort of 34 participants with established preterm preeclampsia (vs 23 controls), we found miRs363, 18a, 149 and 16 were significantly down regulated (p &lt; 0.0001–0.04). Combined expression of miRs149 and 363 in the circulation at 36 weeks’ gestation provides a test with 45% sensitivity (at a specificity of 90%) which suggests measuring both miRs may have promise as part of a multi-marker test to predict preeclampsia.","author":[{"dropping-particle":"","family":"Whigham","given":"Carole Anne","non-dropping-particle":"","parse-names":false,"suffix":""},{"dropping-particle":"","family":"MacDonald","given":"Teresa M.","non-dropping-particle":"","parse-names":false,"suffix":""},{"dropping-particle":"","family":"Walker","given":"Susan P.","non-dropping-particle":"","parse-names":false,"suffix":""},{"dropping-particle":"","family":"Hiscock","given":"Richard","non-dropping-particle":"","parse-names":false,"suffix":""},{"dropping-particle":"","family":"Hannan","given":"Natalie J.","non-dropping-particle":"","parse-names":false,"suffix":""},{"dropping-particle":"","family":"Pritchard","given":"Natasha","non-dropping-particle":"","parse-names":false,"suffix":""},{"dropping-particle":"","family":"Cannon","given":"Ping","non-dropping-particle":"","parse-names":false,"suffix":""},{"dropping-particle":"","family":"Nguyen","given":"Tuong Vi","non-dropping-particle":"","parse-names":false,"suffix":""},{"dropping-particle":"","family":"Miranda","given":"Manisha","non-dropping-particle":"","parse-names":false,"suffix":""},{"dropping-particle":"","family":"Tong","given":"Stephen","non-dropping-particle":"","parse-names":false,"suffix":""},{"dropping-particle":"","family":"Kaitu’u-Lino","given":"Tu’uhevaha J.","non-dropping-particle":"","parse-names":false,"suffix":""}],"container-title":"Scientific Reports","id":"ITEM-1","issue":"1","issued":{"date-parts":[["2020","12","1"]]},"page":"18077","publisher":"Nature Research","title":"MicroRNAs 363 and 149 are differentially expressed in the maternal circulation preceding a diagnosis of preeclampsia","type":"article-journal","volume":"10"},"uris":["http://www.mendeley.com/documents/?uuid=168474e8-6878-3384-830b-0d80f3999b8b"]}],"mendeley":{"formattedCitation":"(Whigham et al., 2020)","plainTextFormattedCitation":"(Whigham et al., 2020)","previouslyFormattedCitation":"(Whigham et al., 2020)"},"properties":{"noteIndex":0},"schema":"https://github.com/citation-style-language/schema/raw/master/csl-citation.json"}</w:instrText>
            </w:r>
            <w:r>
              <w:rPr>
                <w:sz w:val="18"/>
                <w:szCs w:val="18"/>
              </w:rPr>
              <w:fldChar w:fldCharType="separate"/>
            </w:r>
            <w:r w:rsidR="00947753" w:rsidRPr="00B00CA2">
              <w:rPr>
                <w:noProof/>
                <w:sz w:val="18"/>
                <w:szCs w:val="18"/>
              </w:rPr>
              <w:t>(Whigham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Whigham 2020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18a-5p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p w:rsidR="00460963" w:rsidRPr="009D4BA6"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w:t>
            </w:r>
          </w:p>
          <w:p w:rsidR="00460963" w:rsidRDefault="00460963" w:rsidP="009B2A14">
            <w:pPr>
              <w:spacing w:after="0"/>
              <w:jc w:val="center"/>
              <w:rPr>
                <w:color w:val="000000"/>
                <w:sz w:val="18"/>
                <w:szCs w:val="18"/>
              </w:rPr>
            </w:pPr>
            <w:r>
              <w:rPr>
                <w:color w:val="000000"/>
                <w:sz w:val="18"/>
                <w:szCs w:val="18"/>
              </w:rPr>
              <w:t>No difference in sPE 1 year after delivery</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947753" w:rsidRPr="00932CA1">
              <w:rPr>
                <w:noProof/>
                <w:sz w:val="18"/>
                <w:szCs w:val="18"/>
              </w:rPr>
              <w:t>(Murphy et al., 2015)</w:t>
            </w:r>
            <w:r>
              <w:rPr>
                <w:sz w:val="18"/>
                <w:szCs w:val="18"/>
              </w:rPr>
              <w:fldChar w:fldCharType="end"/>
            </w:r>
          </w:p>
          <w:p w:rsidR="0046096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947753" w:rsidRPr="00932CA1">
              <w:rPr>
                <w:noProof/>
                <w:sz w:val="18"/>
                <w:szCs w:val="18"/>
              </w:rPr>
              <w:t>(Murphy et al., 2015)</w:t>
            </w:r>
            <w:r>
              <w:rPr>
                <w:sz w:val="18"/>
                <w:szCs w:val="18"/>
              </w:rPr>
              <w:fldChar w:fldCharType="end"/>
            </w:r>
          </w:p>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947753"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363</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9D4BA6">
              <w:rPr>
                <w:color w:val="000000"/>
                <w:sz w:val="18"/>
                <w:szCs w:val="18"/>
              </w:rPr>
              <w:t xml:space="preserve"> (villi)</w:t>
            </w:r>
          </w:p>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 (chorionic plate)</w:t>
            </w:r>
          </w:p>
          <w:p w:rsidR="00460963" w:rsidRPr="00EB6201" w:rsidRDefault="00460963" w:rsidP="009B2A14">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w:t>
            </w:r>
          </w:p>
          <w:p w:rsidR="00460963" w:rsidRPr="00EB6201" w:rsidRDefault="00460963" w:rsidP="009B2A14">
            <w:pPr>
              <w:spacing w:after="0"/>
              <w:jc w:val="center"/>
              <w:rPr>
                <w:color w:val="000000"/>
                <w:sz w:val="18"/>
                <w:szCs w:val="18"/>
              </w:rPr>
            </w:pPr>
            <w:r>
              <w:rPr>
                <w:color w:val="000000"/>
                <w:sz w:val="18"/>
                <w:szCs w:val="18"/>
              </w:rPr>
              <w:t>Down in sEOPE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947753" w:rsidRPr="00460963">
              <w:rPr>
                <w:noProof/>
                <w:sz w:val="18"/>
                <w:szCs w:val="18"/>
              </w:rPr>
              <w:t>(Zhong et al., 2019)</w:t>
            </w:r>
            <w:r>
              <w:rPr>
                <w:sz w:val="18"/>
                <w:szCs w:val="18"/>
              </w:rPr>
              <w:fldChar w:fldCharType="end"/>
            </w:r>
          </w:p>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47753" w:rsidRPr="00FA32AE">
              <w:rPr>
                <w:noProof/>
                <w:sz w:val="18"/>
                <w:szCs w:val="18"/>
              </w:rPr>
              <w:t>(Xu et al., 2014)</w:t>
            </w:r>
            <w:r>
              <w:rPr>
                <w:sz w:val="18"/>
                <w:szCs w:val="18"/>
              </w:rPr>
              <w:fldChar w:fldCharType="end"/>
            </w:r>
          </w:p>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47753"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947753">
              <w:rPr>
                <w:rFonts w:ascii="Cambria Math" w:hAnsi="Cambria Math" w:cs="Cambria Math"/>
                <w:sz w:val="18"/>
                <w:szCs w:val="18"/>
              </w:rPr>
              <w:instrText>∼</w:instrText>
            </w:r>
            <w:r w:rsidR="00947753">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947753">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947753" w:rsidRPr="00947753">
              <w:rPr>
                <w:noProof/>
                <w:sz w:val="18"/>
                <w:szCs w:val="18"/>
              </w:rPr>
              <w:t>(Zhang et al., 2015a)</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947753">
              <w:rPr>
                <w:rFonts w:ascii="Cambria Math" w:hAnsi="Cambria Math" w:cs="Cambria Math"/>
                <w:sz w:val="18"/>
                <w:szCs w:val="18"/>
              </w:rPr>
              <w:instrText>∼</w:instrText>
            </w:r>
            <w:r w:rsidR="00947753">
              <w:rPr>
                <w:rFonts w:cs="Times New Roman"/>
                <w:sz w:val="18"/>
                <w:szCs w:val="18"/>
              </w:rPr>
              <w:instrText>363 clust</w:instrText>
            </w:r>
            <w:r w:rsidR="00947753">
              <w:rPr>
                <w:sz w:val="18"/>
                <w:szCs w:val="18"/>
              </w:rPr>
              <w:instrText>er was further examined and validated. These findings would facilitate further investigation of aberrant expression of miRNAs in the pathology of preeclampsia.","author":[{"dropping-particle":"","family":"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947753" w:rsidRPr="00947753">
              <w:rPr>
                <w:noProof/>
                <w:sz w:val="18"/>
                <w:szCs w:val="18"/>
              </w:rPr>
              <w:t>(Zhang et al., 2015a)</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{"citationItems":[{"id":"ITEM-1","itemData":{"DOI":"10.1038/s41598-020-73783-w","ISSN":"20452322","PMID":"33093531","abstract":"Preeclampsia is a pregnancy complication associated with angiogenic dysbalance, maternal endothelial dysfunction and end-organ injury. A predictive test to identify those who will develop preeclampsia could substantially decrease morbidity and mortality. MicroRNAs (miRs) are small RNA molecules involved in post-transcriptional gene regulation. We screened for circulating miRs differentially expressed at 36 weeks’ gestation in pregnancies before the development of preeclampsia. We used a case–control group (198 controls, 34 pre-preeclampsia diagnosis) selected from a prospective cohort (n = 2015) and performed a PCR-based microarray to measure the expression of 41 miRs. We found six circulating miRs (miRs 363, 149, 18a, 1283, 16, 424) at 36 weeks' had significantly reduced expression (p &lt; 0.0001–0.04). miR363 was significantly downregulated at 28 weeks’ gestation, 10–12 weeks before the onset of clinical disease. In the circulation of another cohort of 34 participants with established preterm preeclampsia (vs 23 controls), we found miRs363, 18a, 149 and 16 were significantly down regulated (p &lt; 0.0001–0.04). Combined expression of miRs149 and 363 in the circulation at 36 weeks’ gestation provides a test with 45% sensitivity (at a specificity of 90%) which suggests measuring both miRs may have promise as part of a multi-marker test to predict preeclampsia.","author":[{"dropping-particle":"","family":"Whigham","given":"Carole Anne","non-dropping-particle":"","parse-names":false,"suffix":""},{"dropping-particle":"","family":"MacDonald","given":"Teresa M.","non-dropping-particle":"","parse-names":false,"suffix":""},{"dropping-particle":"","family":"Walker","given":"Susan P.","non-dropping-particle":"","parse-names":false,"suffix":""},{"dropping-particle":"","family":"Hiscock","given":"Richard","non-dropping-particle":"","parse-names":false,"suffix":""},{"dropping-particle":"","family":"Hannan","given":"Natalie J.","non-dropping-particle":"","parse-names":false,"suffix":""},{"dropping-particle":"","family":"Pritchard","given":"Natasha","non-dropping-particle":"","parse-names":false,"suffix":""},{"dropping-particle":"","family":"Cannon","given":"Ping","non-dropping-particle":"","parse-names":false,"suffix":""},{"dropping-particle":"","family":"Nguyen","given":"Tuong Vi","non-dropping-particle":"","parse-names":false,"suffix":""},{"dropping-particle":"","family":"Miranda","given":"Manisha","non-dropping-particle":"","parse-names":false,"suffix":""},{"dropping-particle":"","family":"Tong","given":"Stephen","non-dropping-particle":"","parse-names":false,"suffix":""},{"dropping-particle":"","family":"Kaitu’u-Lino","given":"Tu’uhevaha J.","non-dropping-particle":"","parse-names":false,"suffix":""}],"container-title":"Scientific Reports","id":"ITEM-1","issue":"1","issued":{"date-parts":[["2020","12","1"]]},"page":"18077","publisher":"Nature Research","title":"MicroRNAs 363 and 149 are differentially expressed in the maternal circulation preceding a diagnosis of preeclampsia","type":"article-journal","volume":"10"},"uris":["http://www.mendeley.com/documents/?uuid=168474e8-6878-3384-830b-0d80f3999b8b"]}],"mendeley":{"formattedCitation":"(Whigham et al., 2020)","plainTextFormattedCitation":"(Whigham et al., 2020)","previouslyFormattedCitation":"(Whigham et al., 2020)"},"properties":{"noteIndex":0},"schema":"https://github.com/citation-style-language/schema/raw/master/csl-citation.json"}</w:instrText>
            </w:r>
            <w:r>
              <w:rPr>
                <w:sz w:val="18"/>
                <w:szCs w:val="18"/>
              </w:rPr>
              <w:fldChar w:fldCharType="separate"/>
            </w:r>
            <w:r w:rsidR="00947753" w:rsidRPr="00B00CA2">
              <w:rPr>
                <w:noProof/>
                <w:sz w:val="18"/>
                <w:szCs w:val="18"/>
              </w:rPr>
              <w:t>(Whigham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65</w:t>
            </w:r>
          </w:p>
          <w:p w:rsidR="00460963" w:rsidRDefault="00460963" w:rsidP="009B2A14">
            <w:pPr>
              <w:spacing w:after="0"/>
              <w:jc w:val="center"/>
              <w:rPr>
                <w:sz w:val="18"/>
                <w:szCs w:val="18"/>
              </w:rPr>
            </w:pPr>
            <w:r>
              <w:rPr>
                <w:sz w:val="18"/>
                <w:szCs w:val="18"/>
              </w:rPr>
              <w:t>65</w:t>
            </w:r>
          </w:p>
          <w:p w:rsidR="00460963" w:rsidRDefault="00460963" w:rsidP="009B2A14">
            <w:pPr>
              <w:spacing w:after="0"/>
              <w:jc w:val="center"/>
              <w:rPr>
                <w:sz w:val="18"/>
                <w:szCs w:val="18"/>
              </w:rPr>
            </w:pPr>
            <w:r>
              <w:rPr>
                <w:sz w:val="18"/>
                <w:szCs w:val="18"/>
              </w:rPr>
              <w:t>Whigham 2020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542-3p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9D4BA6">
              <w:rPr>
                <w:color w:val="000000"/>
                <w:sz w:val="18"/>
                <w:szCs w:val="18"/>
              </w:rPr>
              <w:t xml:space="preserve"> (villi)</w:t>
            </w:r>
          </w:p>
          <w:p w:rsidR="00460963" w:rsidRDefault="00460963" w:rsidP="009B2A14">
            <w:pPr>
              <w:spacing w:after="0"/>
              <w:jc w:val="center"/>
              <w:rPr>
                <w:color w:val="000000"/>
                <w:sz w:val="18"/>
                <w:szCs w:val="18"/>
              </w:rPr>
            </w:pPr>
            <w:r>
              <w:rPr>
                <w:color w:val="000000"/>
                <w:sz w:val="18"/>
                <w:szCs w:val="18"/>
              </w:rPr>
              <w:t>Placenta (chorionic plate)</w:t>
            </w:r>
          </w:p>
          <w:p w:rsidR="00460963" w:rsidRPr="00EB6201"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Pr="00EB6201"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 xml:space="preserve">No </w:t>
            </w:r>
          </w:p>
        </w:tc>
        <w:tc>
          <w:tcPr>
            <w:tcW w:w="2977" w:type="dxa"/>
          </w:tcPr>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{"citationItems":[{"id":"ITEM-1","itemData":{"DOI":"0.3892/etm.2019.7637","abstract":"Preeclampsia is a common disease in pregnant women that can only be diagnosed from 20 weeks after fertilization. Developing early diagnosis markers is urgent and would be helpful in selecting appropriate treatment strategies. The present study aimed to identify the differential expression profiles of microRNAs in the plasma between patients with preeclampsia and normal pregnancies using microarray methods. Using quantitative polymerase chain reaction (qPCR), the differentially expressed microRNAs (miRNAs or miRs) identified from the microarray analysis were validated. A total of 3 miRNAs, including hsa-miR-1304-5p, hsa-miR-320a and hsa-miR-5002-5p, were upregulated in the plasma of patients with preeclampsia pregnancies. Examination of the functions of these miRNAs demonstrated that they were involved in cell proliferation, indicating that preeclampsia affected this pathway. In addition, 26 downregulated miRNAs were identified by microarray methods. The functions of these miRNAs included immune regulation, vascular development, cancer pathology and pathology of other disease (tuberculosis, oligozoospermia, psoriasis and Alzheimer's disease). Using qPCR, the most differentially expressed miRNAs were confirmed to be hsa-miR-1304-5p, hsa-miR-320a and hsa-miR-5002-5p, which were upregulated, as well as hsa-miR-188-3p, hsa-miR-211-5p, hiv1-miR-TAR-3p, hsa-miR-4432 and hsa-miR-4498 that were significantly downregulated in the plasma of preeclampsia patients. The present findings may be useful in the development of early diagnosis markers and treatment targets for preeclampsia.","author":[{"dropping-particle":"","family":"Zhong","given":"Yan","non-dropping-particle":"","parse-names":false,"suffix":""},{"dropping-particle":"","family":"Zhu","given":"Fufan","non-dropping-particle":"","parse-names":false,"suffix":""},{"dropping-particle":"","family":"Ding","given":"Yiling","non-dropping-particle":"","parse-names":false,"suffix":""}],"container-title":"Experimental and Therapeutic Medicine","id":"ITEM-1","issue":"1","issued":{"date-parts":[["2019"]]},"page":"826-32","title":"Differential microRNA expression profile in the plasma of preeclampsia and normal pregnancies","type":"article-journal","volume":"18"},"uris":["http://www.mendeley.com/documents/?uuid=38ae56e5-1b5d-3630-a9d4-5e11b9ca9a76"]}],"mendeley":{"formattedCitation":"(Zhong et al., 2019)","plainTextFormattedCitation":"(Zhong et al., 2019)","previouslyFormattedCitation":"(Zhong et al., 2019)"},"properties":{"noteIndex":0},"schema":"https://github.com/citation-style-language/schema/raw/master/csl-citation.json"}</w:instrText>
            </w:r>
            <w:r>
              <w:rPr>
                <w:sz w:val="18"/>
                <w:szCs w:val="18"/>
              </w:rPr>
              <w:fldChar w:fldCharType="separate"/>
            </w:r>
            <w:r w:rsidR="00947753" w:rsidRPr="00460963">
              <w:rPr>
                <w:noProof/>
                <w:sz w:val="18"/>
                <w:szCs w:val="18"/>
              </w:rPr>
              <w:t>(Zhong et al., 2019)</w:t>
            </w:r>
            <w:r>
              <w:rPr>
                <w:sz w:val="18"/>
                <w:szCs w:val="18"/>
              </w:rPr>
              <w:fldChar w:fldCharType="end"/>
            </w:r>
          </w:p>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47753"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47753"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155</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w:t>
            </w:r>
          </w:p>
          <w:p w:rsidR="00460963" w:rsidRDefault="00460963" w:rsidP="009B2A14">
            <w:pPr>
              <w:spacing w:after="0"/>
              <w:jc w:val="center"/>
              <w:rPr>
                <w:color w:val="000000"/>
                <w:sz w:val="18"/>
                <w:szCs w:val="18"/>
              </w:rPr>
            </w:pPr>
            <w:r>
              <w:rPr>
                <w:color w:val="000000"/>
                <w:sz w:val="18"/>
                <w:szCs w:val="18"/>
              </w:rPr>
              <w:t>UC hUVECs</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w:t>
            </w:r>
          </w:p>
          <w:p w:rsidR="00460963" w:rsidRDefault="00460963" w:rsidP="009B2A14">
            <w:pPr>
              <w:spacing w:after="0"/>
              <w:jc w:val="center"/>
              <w:rPr>
                <w:color w:val="000000"/>
                <w:sz w:val="18"/>
                <w:szCs w:val="18"/>
              </w:rPr>
            </w:pPr>
            <w:r>
              <w:rPr>
                <w:color w:val="000000"/>
                <w:sz w:val="18"/>
                <w:szCs w:val="18"/>
              </w:rPr>
              <w:t>Placenta (chorion)</w:t>
            </w:r>
          </w:p>
          <w:p w:rsidR="00460963" w:rsidRDefault="00460963" w:rsidP="009B2A14">
            <w:pPr>
              <w:spacing w:after="0"/>
              <w:jc w:val="center"/>
              <w:rPr>
                <w:color w:val="000000"/>
                <w:sz w:val="18"/>
                <w:szCs w:val="18"/>
              </w:rPr>
            </w:pPr>
            <w:r>
              <w:rPr>
                <w:color w:val="000000"/>
                <w:sz w:val="18"/>
                <w:szCs w:val="18"/>
              </w:rPr>
              <w:t>Placenta (villi – syncytiotrophoblast)</w:t>
            </w:r>
          </w:p>
          <w:p w:rsidR="00460963" w:rsidRPr="009D4BA6"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color w:val="000000"/>
                <w:sz w:val="18"/>
                <w:szCs w:val="18"/>
              </w:rPr>
            </w:pPr>
            <w:r w:rsidRPr="00EB6201">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EOPE</w:t>
            </w:r>
          </w:p>
          <w:p w:rsidR="00460963" w:rsidRPr="00EB6201" w:rsidRDefault="00460963" w:rsidP="009B2A14">
            <w:pPr>
              <w:spacing w:after="0"/>
              <w:jc w:val="center"/>
              <w:rPr>
                <w:color w:val="000000"/>
                <w:sz w:val="18"/>
                <w:szCs w:val="18"/>
              </w:rPr>
            </w:pPr>
            <w:r>
              <w:rPr>
                <w:color w:val="000000"/>
                <w:sz w:val="18"/>
                <w:szCs w:val="18"/>
              </w:rPr>
              <w:t>No difference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w:t>
            </w:r>
            <w:r w:rsidRPr="00EB6201">
              <w:rPr>
                <w:color w:val="000000"/>
                <w:sz w:val="18"/>
                <w:szCs w:val="18"/>
              </w:rPr>
              <w:t>es</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{"citationItems":[{"id":"ITEM-1","itemData":{"DOI":"10.1016/j.ajog.2010.01.057","abstract":"Objective: The aim of this study was to characterize the molecular mechanism of preeclampsia (PE) development through miR-155. Study Design: PE and normal placentas were used to measure miR-155 and cysteine-rich protein 61 (CYR61) expression. CYR61 3' untranslated region was validated as the target of miR-155 using in vitro transfections. miR-155 and CYR61 expression levels were assessed by real-time reverse transcription polymerase chain reaction or Western blot. Results: An inverse correlation was found between miR-155 and CYR61 expression levels, with miR-155 up-regulated and CYR61 down-regulated in PE tissues. Luciferase assays and CYR61 transfection assays experimentally validated that miR-155 efficiently targets the 3' untranslated region of CYR61. Conclusion: This study reported for the first time that overexpression of miR-155 contributes to PE development by targeting and down-regulating angiogenic regulating factor CYR61, leading to pathological alterations. This finding not only characterizes a new mechanism for the disease but also provides a potential therapeutic target. © 2010 Mosby, Inc. All rights reserved.","author":[{"dropping-particle":"","family":"Zhang","given":"Yanqing","non-dropping-particle":"","parse-names":false,"suffix":""},{"dropping-particle":"","family":"Diao","given":"Zhenyu","non-dropping-particle":"","parse-names":false,"suffix":""},{"dropping-particle":"","family":"Su","given":"Li","non-dropping-particle":"","parse-names":false,"suffix":""},{"dropping-particle":"","family":"Sun","given":"Haixiang","non-dropping-particle":"","parse-names":false,"suffix":""},{"dropping-particle":"","family":"Li","given":"Ruotian","non-dropping-particle":"","parse-names":false,"suffix":""},{"dropping-particle":"","family":"Cui","given":"Hengmi","non-dropping-particle":"","parse-names":false,"suffix":""},{"dropping-particle":"","family":"Hu","given":"Yali","non-dropping-particle":"","parse-names":false,"suffix":""}],"container-title":"American Journal of Obstetrics and Gynecology","id":"ITEM-1","issue":"5","issued":{"date-parts":[["2010"]]},"page":"466.e1-466.e7","title":"MicroRNA-155 contributes to preeclampsia by down-regulating CYR61","type":"article-journal","volume":"202"},"uris":["http://www.mendeley.com/documents/?uuid=dccb29b1-58e4-3ac2-a8aa-204332e5bd7a"]}],"mendeley":{"formattedCitation":"(Zhang et al., 2010)","plainTextFormattedCitation":"(Zhang et al., 2010)","previouslyFormattedCitation":"(Zhang et al., 2010)"},"properties":{"noteIndex":0},"schema":"https://github.com/citation-style-language/schema/raw/master/csl-citation.json"}</w:instrText>
            </w:r>
            <w:r>
              <w:rPr>
                <w:sz w:val="18"/>
                <w:szCs w:val="18"/>
              </w:rPr>
              <w:fldChar w:fldCharType="separate"/>
            </w:r>
            <w:r w:rsidR="00947753" w:rsidRPr="00947753">
              <w:rPr>
                <w:noProof/>
                <w:sz w:val="18"/>
                <w:szCs w:val="18"/>
              </w:rPr>
              <w:t>(Zhang et al., 2010)</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{"citationItems":[{"id":"ITEM-1","itemData":{"DOI":"10.3892/ijmm.2011.598","abstract":"Angiotensin II is critical in pre-eclampsia pathogenesis. In addition, microRNA-155 regulates angiotensin II type 1 receptor expression. We have explored the function of microRNA-155 in pre-eclamptic pregnant women. Human umbilical vein endothelial cells were isolated and cultured from healthy puerperant women and pre-eclampsia patients. The cells were transfected with a mature microRNA-155 plasmid. The effect of microRNA-155 was assessed by Northern blotting, in situ hybridization, quantitative real-time PCR, immunofluorescent staining and Western blotting. In addition, activation of extracellular signal-regulated kinase 1/2 was assessed by co-immunoprecipitation and Western blotting. Severely pre-eclamptic pregnant women expressed less mature miR-155 compared to healthy pregnant women. In addition, angiotensin II type 1 receptor expression decreased substantially in healthy cells and miR-155-transfected cells compared to miR-155-mutant-transfected cells and cells from pre-eclamptic patients. Mature miR-155 reduced angiotensin II-induced extracellular signal-regulated kinase 1/2 activation. In conclusion, endogenous mature miR-155 expression may be an important contributor to the pathogenesis of severe pre-eclampsia.","author":[{"dropping-particle":"","family":"Cheng","given":"Weiwei","non-dropping-particle":"","parse-names":false,"suffix":""},{"dropping-particle":"","family":"Liu","given":"Te","non-dropping-particle":"","parse-names":false,"suffix":""},{"dropping-particle":"","family":"Jiang","given":"Feizhou","non-dropping-particle":"","parse-names":false,"suffix":""},{"dropping-particle":"","family":"Liu","given":"Chunmin","non-dropping-particle":"","parse-names":false,"suffix":""},{"dropping-particle":"","family":"Zhao","given":"Xinrong","non-dropping-particle":"","parse-names":false,"suffix":""},{"dropping-particle":"","family":"Gao","given":"Yongtao","non-dropping-particle":"","parse-names":false,"suffix":""},{"dropping-particle":"","family":"Wang","given":"Hui","non-dropping-particle":"","parse-names":false,"suffix":""},{"dropping-particle":"","family":"Liu","given":"Zhixue","non-dropping-particle":"","parse-names":false,"suffix":""}],"container-title":"International Journal of Molecular Medicine","id":"ITEM-1","issue":"3","issued":{"date-parts":[["2011"]]},"page":"393-399","title":"microRNA-155 regulates angiotensin II type 1 receptor expression in umbilical vein endothelial cells from severely pre-eclamptic pregnant women","type":"article-journal","volume":"27"},"uris":["http://www.mendeley.com/documents/?uuid=93563ca2-1932-3d6a-8237-6a0ddc57b480"]}],"mendeley":{"formattedCitation":"(Cheng et al., 2011)","plainTextFormattedCitation":"(Cheng et al., 2011)","previouslyFormattedCitation":"(Cheng et al., 2011)"},"properties":{"noteIndex":0},"schema":"https://github.com/citation-style-language/schema/raw/master/csl-citation.json"}</w:instrText>
            </w:r>
            <w:r>
              <w:rPr>
                <w:sz w:val="18"/>
                <w:szCs w:val="18"/>
              </w:rPr>
              <w:fldChar w:fldCharType="separate"/>
            </w:r>
            <w:r w:rsidR="00947753" w:rsidRPr="00947753">
              <w:rPr>
                <w:noProof/>
                <w:sz w:val="18"/>
                <w:szCs w:val="18"/>
              </w:rPr>
              <w:t>(Cheng et al., 2011)</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{"citationItems":[{"id":"ITEM-1","itemData":{"DOI":"10.3892/mmr.2014.2214","abstract":"The aim of the present study was to characterize the role of microRNA (miR)-155 in the pathogenesis of severe preeclampsia (PE). A total of 19 severe preeclampsic and 22 normal placentas were collected to measure miR-155 and endothelial nitric oxide synthase (eNOS) expression using quantitative (q)PCR and western blot analysis. The results demonstrated a significant increase in the levels of miR-155 and decreased eNOS expression in the severe preeclampsic placentas, as compared with the normal controls. In order to examine the function of miR-155 in the human placenta, the HTR8/Svneo cell line was transiently transfected with an miR-155 mimic or its inhibitor, anti-miR-155. It was confirmed that miR-155 may suppress the expression of eNOS in HTR-8/SVneo cells. Furthermore, a transwell insert invasion assay demonstrated that miR-155 inhibited cell invasion in trophoblast cells, and the effect was rescued by over expression of eNOS. The present study revealed that miR-155 has a negative regulatory role in the migratory behavior of HTR-8/SVneo cells via modulating eNOS.","author":[{"dropping-particle":"","family":"Li","given":"Xuelan","non-dropping-particle":"","parse-names":false,"suffix":""},{"dropping-particle":"","family":"Li","given":"Chunfang","non-dropping-particle":"","parse-names":false,"suffix":""},{"dropping-particle":"","family":"Dong","given":"Xin","non-dropping-particle":"","parse-names":false,"suffix":""},{"dropping-particle":"","family":"Gou","given":"Wenli","non-dropping-particle":"","parse-names":false,"suffix":""}],"container-title":"Molecular Medicine Reports","id":"ITEM-1","issue":"1","issued":{"date-parts":[["2014"]]},"page":"550-554","title":"MicroRNA-155 inhibits migration of trophoblast cells and contributes to the pathogenesis of severe preeclampsia by regulating endothelial nitric oxide synthase","type":"article-journal","volume":"10"},"uris":["http://www.mendeley.com/documents/?uuid=11834bb2-f012-329e-8816-a8b60ea00e65"]}],"mendeley":{"formattedCitation":"(Li et al., 2014b)","plainTextFormattedCitation":"(Li et al., 2014b)","previouslyFormattedCitation":"(Li et al., 2014b)"},"properties":{"noteIndex":0},"schema":"https://github.com/citation-style-language/schema/raw/master/csl-citation.json"}</w:instrText>
            </w:r>
            <w:r>
              <w:rPr>
                <w:sz w:val="18"/>
                <w:szCs w:val="18"/>
              </w:rPr>
              <w:fldChar w:fldCharType="separate"/>
            </w:r>
            <w:r w:rsidR="00947753" w:rsidRPr="00947753">
              <w:rPr>
                <w:noProof/>
                <w:sz w:val="18"/>
                <w:szCs w:val="18"/>
              </w:rPr>
              <w:t>(Li et al., 2014b)</w:t>
            </w:r>
            <w:r>
              <w:rPr>
                <w:sz w:val="18"/>
                <w:szCs w:val="18"/>
              </w:rPr>
              <w:fldChar w:fldCharType="end"/>
            </w:r>
          </w:p>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947753" w:rsidRPr="00FA32AE">
              <w:rPr>
                <w:noProof/>
                <w:sz w:val="18"/>
                <w:szCs w:val="18"/>
              </w:rPr>
              <w:t>(Winger et al., 2015)</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{"citationItems":[{"id":"ITEM-1","itemData":{"abstract":"It has been well documented that preeclampsia (PE) has a common etiological background, but little is known about its linkage at the molecular level.Non-coding RNAs are critical posttranscriptional regulators ofgene expression. This study was performed to determine whether PE is associated with alterations in placental non-coding RNAs expression. MicroRNA (miR)-155-5p and long non-coding RNA (lnc)sONE expression, in placentas collected sequentially from 59 patients with PE and 40 normotensive pregnancies were measured using real-time PCR.The relationship between miR-155-5p and lncsONE expressions was analyzed statistically. miR-155-5p expression was increased (fold change =1.6, P=0.04), while lncsONE expression was not significantly changed (fold change =1.1, P=0.68), in placentas from patients compared with control group.miR-155-5p was upregulated in placentas from patients with PE and may have influenced eNOS expression. These findings indicate that miRNA-155-5p may be involved in PE pathogenesis and could be a potential biomarker for this disease. espite remarkable progress in the prenatalogy science, pre-eclampsia (PE), a syndrome affecting 5-7% of pregnancy disorders, still remains as the most prevalent cause of maternal and fetal morbidity and mortality (1). According to the WHO definition, PE is a pregnancy-related syndrome characterized by hypertension (greater than or equal to 140/ 90) and proteinuria (greater than or equal to 300 mg in a 24 h urine specimen) following 20 weeks of gestation (2). Based on the elusive pathophysiology, PE has traditionally been called the disease of theories (3, 4). Although, the association between the pathology of PE and different factors, such as genetic pathways polymorphisms and expression like Renin-angiotensin, angiogenesis, coagulation factors D","author":[{"dropping-particle":"","family":"Azizi","given":"Faezeh","non-dropping-particle":"","parse-names":false,"suffix":""},{"dropping-particle":"","family":"Saleh Gargari","given":"Soraya","non-dropping-particle":"","parse-names":false,"suffix":""},{"dropping-particle":"","family":"Shahmirzadi","given":"Sedigheh Asadi","non-dropping-particle":"","parse-names":false,"suffix":""},{"dropping-particle":"","family":"Dodange","given":"Fatemeh","non-dropping-particle":"","parse-names":false,"suffix":""},{"dropping-particle":"","family":"Amiri","given":"Vahid","non-dropping-particle":"","parse-names":false,"suffix":""},{"dropping-particle":"","family":"Mirfakhraie","given":"Reza","non-dropping-particle":"","parse-names":false,"suffix":""},{"dropping-particle":"","family":"Davood","given":"Mir","non-dropping-particle":"","parse-names":false,"suffix":""},{"dropping-particle":"","family":"1</w:instrText>
            </w:r>
            <w:r w:rsidR="00947753">
              <w:rPr>
                <w:rFonts w:cs="Times New Roman"/>
                <w:sz w:val="18"/>
                <w:szCs w:val="18"/>
              </w:rPr>
              <w:instrText>","given":"Omrani","non-dropping-particle":"","parse-names":false,"suffix":""}],"container-title":"Int J Mol Cell Med","id":"ITEM-</w:instrText>
            </w:r>
            <w:r w:rsidR="00947753">
              <w:rPr>
                <w:sz w:val="18"/>
                <w:szCs w:val="18"/>
              </w:rPr>
              <w:instrText>1","issue":"1","issued":{"date-parts":[["2017"]]},"page":"22-30","title":"Evaluation of Placental mir-155-5p and Long Non-coding RNA sONE Expression in Patients with Severe Pre-eclampsia","type":"article-journal","volume":"6"},"uris":["http://www.mendeley.com/documents/?uuid=870e7881-542b-3982-946d-46b423dce018"]}],"mendeley":{"formattedCitation":"(Azizi et al., 2017)","plainTextFormattedCitation":"(Azizi et al., 2017)","previouslyFormattedCitation":"(Azizi et al., 2017)"},"properties":{"noteIndex":0},"schema":"https://github.com/citation-style-language/schema/raw/master/csl-citation.json"}</w:instrText>
            </w:r>
            <w:r>
              <w:rPr>
                <w:sz w:val="18"/>
                <w:szCs w:val="18"/>
              </w:rPr>
              <w:fldChar w:fldCharType="separate"/>
            </w:r>
            <w:r w:rsidR="00947753" w:rsidRPr="00947753">
              <w:rPr>
                <w:noProof/>
                <w:sz w:val="18"/>
                <w:szCs w:val="18"/>
              </w:rPr>
              <w:t>(Azizi et al., 2017)</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{"citationItems":[{"id":"ITEM-1","itemData":{"DOI":"10.1007/s10517-017-3812-0","abstract":"We studied the expression of microRNA-146a and microRNA-155 in placental villi from 18 women (26-39 weeks of gestation) of reproductive age with early- or late-onset preeclampsia. The reference group consisted of women with physiological pregnancy and full-term gestation and with preterm birth after caesarian section on gestation week 26-31. MicroRNA-146a and microRNA-155 were detected by in situ hybridization with digoxigenin on paraffin sections. It was found that the expression of microRNA-146a in both syncytiotrophoblast of the intermediate villi and syncytial knots was lower at late-onset preeclampsia than at physiologic pregnancy of full-term period (p=0.037 and p=0.001 respectively). The expression of microRNA-155 in syncytiotrophoblast of intermediate placental villi in early-onset preeclampsia was higher than in group with preterm delivery (p=0.003). However, in syncytiotrophoblast of intermediate villi and in syncytial knots, the expression of microRNA-155 was lower at late-onset preeclampsia in comparison with full-term physiological pregnancy (p=0.005). In addition, the expression of microRNA-146a and microRNA-155 did not increase in the later terms in preeclampsia, while in the reference groups demonstrating gradual increase in the expression of these markers with increasing gestational age. Expression microRNA-146a and microRNA-155 little differed in early- and late-onset preeclampsia. These findings suggest that different variants of preeclampsia are probably characterized by common pathogenetic pathways. Damaged trophoblast cannot maintain of microRNAs synthesis at the required level, which determines the formation of a vicious circle in preeclampsia and further progression of the disease.","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I.","non-dropping-particle":"","parse-names":false,"suffix":""},{"dropping-particle":"","family":"Sukhikh","given":"G. T.","non-dropping-particle":"","parse-names":false,"suffix":""}],"container-title":"Bulletin of Experimental Biology and Medicine","id":"ITEM-1","issue":"3","issued":{"date-parts":[["2017"]]},"page":"394-399","title":"Expression of MicroRNA-146a and MicroRNA-155 in Placental Villi in Early- and Late-Onset Preeclampsia","type":"article-journal","volume":"163"},"uris":["http://www.mendeley.com/documents/?uuid=80500197-bcc7-3b4f-9c4e-2ca3de6bbe00"]}],"mendeley":{"formattedCitation":"(Nizyaeva et al., 2017)","plainTextFormattedCitation":"(Nizyaeva et al., 2017)","previouslyFormattedCitation":"(Nizyaeva et al., 2017)"},"properties":{"noteIndex":0},"schema":"https://github.com/citation-style-language/schema/raw/master/csl-citation.json"}</w:instrText>
            </w:r>
            <w:r>
              <w:rPr>
                <w:sz w:val="18"/>
                <w:szCs w:val="18"/>
              </w:rPr>
              <w:fldChar w:fldCharType="separate"/>
            </w:r>
            <w:r w:rsidR="00947753" w:rsidRPr="00947753">
              <w:rPr>
                <w:noProof/>
                <w:sz w:val="18"/>
                <w:szCs w:val="18"/>
              </w:rPr>
              <w:t>(Nizyaeva et al., 2017)</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{"citationItems":[{"id":"ITEM-1","itemData":{"DOI":"10.1042/BSR20210874","ISSN":"15734935","PMID":"34318873","abstract":"In preeclampsia (PE), pre-existent maternal endothelial dysfunction leads to impaired placentation and vascular maladaptation. The vascular endothelial growth factor (VEGF) pathway is essential in the placentation process and VEGF expression is regulated through post-transcriptional modification by microRNAs (miRNAs). We investigated the expression of VEGF-related circulating miR-16, miR-29b, miR-126, miR-155 and miR-200c in PE vs healthy pregnancies (HPs), and their relation with vascular function, oxidative stress (OS) and systemic inflammation. In this case-control study, 24 women with early PE (&lt;34 weeks) were compared with 30 women with HP. Circulating microRNA levels (RT-qPCR), OS and systemic inflammation were assessed in plasma samples (PE 29.5 vs HP 25.8 weeks) and related to extensive in vivo vascular function (flow-mediated dilatation (FMD), modified FMD (mFMD), carotid-femoral pulse wave velocity (CF-PWV), heart rate corrected augmentation index (AIx75) and reactive hyperemia index (RHI)). FMD, CF-PWV, AIx75 and RHI were all significantly impaired in PE (P&lt;0.05). PE patients had reduced levels of miR-16 (5.53 +− 0.36 vs 5.84 +− 0.61) and increased levels of miR-200c (1.34 +− 0.57 vs 0.97 +− 0.68) (P&lt;0.05). Independent of age and parity, miR-16 was related to impaired FMD (β 2.771, 95% C.I.: 0.023-5.519, P=0.048) and mFMD (β 3.401, 95% C.I.: 0.201-6.602, P=0.038). Likewise, miR-200c was independently associated with CF-PWV (β 0.513, 95% C.I.: 0.034-0.992, P=0.036). In conclusion, circulating levels of miR-16 were lower in PE, which correlated with impaired endothelial function. Circulating miR-200c was increased in PE and correlated with higher arterial stiffness. These findings suggest a post-transcriptional dysregulation of the VEGF pathway in PE and identify miR-16 and miR-200c as possible diagnostic biomarkers for PE.","author":[{"dropping-particle":"","family":"Witvrouwen","given":"Isabel","non-dropping-particle":"","parse-names":false,"suffix":""},{"dropping-particle":"","family":"Mannaerts","given":"Dominique","non-dropping-particle":"","parse-names":false,"suffix":""},{"dropping-particle":"","family":"Ratajczak","given":"Jessica","non-dropping-particle":"","parse-names":false,"suffix":""},{"dropping-particle":"","family":"Boeren","given":"Evi","non-dropping-particle":"","parse-names":false,"suffix":""},{"dropping-particle":"","family":"Faes","given":"Ellen","non-dropping-particle":"","parse-names":false,"suffix":""},{"dropping-particle":"","family":"Craenenbroeck","given":"Amaryllis H.","non-dropping-particle":"van","parse-names":false,"suffix":""},{"dropping-particle":"","family":"Jacquemyn","given":"Yves","non-dropping-particle":"","parse-names":false,"suffix":""},{"dropping-particle":"","family":"Craenenbroeck","given":"Emeline M.","non-dropping-particle":"van","parse-names":false,"suffix":""}],"container-title":"Bioscience Reports","id":"ITEM-1","issue":"8","issued":{"date-parts":[["2021","8","1"]]},"page":"BSR20210874","publisher":"Portland Press Ltd","title":"MicroRNAs targeting VEGF are related to vascular dysfunction in preeclampsia","type":"article-journal","volume":"41"},"uris":["http://www.mendeley.com/documents/?uuid=5f138707-1204-3809-a0e3-46422e1b0d59"]}],"mendeley":{"formattedCitation":"(Witvrouwen et al., 2021)","plainTextFormattedCitation":"(Witvrouwen et al., 2021)","previouslyFormattedCitation":"(Witvrouwen et al., 2021)"},"properties":{"noteIndex":0},"schema":"https://github.com/citation-style-language/schema/raw/master/csl-citation.json"}</w:instrText>
            </w:r>
            <w:r>
              <w:rPr>
                <w:sz w:val="18"/>
                <w:szCs w:val="18"/>
              </w:rPr>
              <w:fldChar w:fldCharType="separate"/>
            </w:r>
            <w:r w:rsidR="00947753" w:rsidRPr="00B00CA2">
              <w:rPr>
                <w:noProof/>
                <w:sz w:val="18"/>
                <w:szCs w:val="18"/>
              </w:rPr>
              <w:t>(Witvrouwen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w:t>
            </w:r>
          </w:p>
          <w:p w:rsidR="00460963" w:rsidRDefault="00460963" w:rsidP="009B2A14">
            <w:pPr>
              <w:spacing w:after="0"/>
              <w:jc w:val="center"/>
              <w:rPr>
                <w:sz w:val="18"/>
                <w:szCs w:val="18"/>
              </w:rPr>
            </w:pPr>
            <w:r>
              <w:rPr>
                <w:sz w:val="18"/>
                <w:szCs w:val="18"/>
              </w:rPr>
              <w:t>5</w:t>
            </w:r>
          </w:p>
          <w:p w:rsidR="00460963" w:rsidRDefault="00460963" w:rsidP="009B2A14">
            <w:pPr>
              <w:spacing w:after="0"/>
              <w:jc w:val="center"/>
              <w:rPr>
                <w:sz w:val="18"/>
                <w:szCs w:val="18"/>
              </w:rPr>
            </w:pPr>
            <w:r>
              <w:rPr>
                <w:sz w:val="18"/>
                <w:szCs w:val="18"/>
              </w:rPr>
              <w:t>38</w:t>
            </w:r>
          </w:p>
          <w:p w:rsidR="00460963" w:rsidRDefault="00460963" w:rsidP="009B2A14">
            <w:pPr>
              <w:spacing w:after="0"/>
              <w:jc w:val="center"/>
              <w:rPr>
                <w:sz w:val="18"/>
                <w:szCs w:val="18"/>
              </w:rPr>
            </w:pPr>
            <w:r>
              <w:rPr>
                <w:sz w:val="18"/>
                <w:szCs w:val="18"/>
              </w:rPr>
              <w:t>44</w:t>
            </w:r>
          </w:p>
          <w:p w:rsidR="00460963" w:rsidRDefault="00460963" w:rsidP="009B2A14">
            <w:pPr>
              <w:spacing w:after="0"/>
              <w:jc w:val="center"/>
              <w:rPr>
                <w:sz w:val="18"/>
                <w:szCs w:val="18"/>
              </w:rPr>
            </w:pPr>
            <w:r>
              <w:rPr>
                <w:sz w:val="18"/>
                <w:szCs w:val="18"/>
              </w:rPr>
              <w:t>83</w:t>
            </w:r>
          </w:p>
          <w:p w:rsidR="00460963" w:rsidRDefault="00460963" w:rsidP="009B2A14">
            <w:pPr>
              <w:spacing w:after="0"/>
              <w:jc w:val="center"/>
              <w:rPr>
                <w:sz w:val="18"/>
                <w:szCs w:val="18"/>
              </w:rPr>
            </w:pPr>
            <w:r>
              <w:rPr>
                <w:sz w:val="18"/>
                <w:szCs w:val="18"/>
              </w:rPr>
              <w:t>106</w:t>
            </w:r>
          </w:p>
          <w:p w:rsidR="00460963" w:rsidRDefault="00460963" w:rsidP="009B2A14">
            <w:pPr>
              <w:spacing w:after="0"/>
              <w:jc w:val="center"/>
              <w:rPr>
                <w:sz w:val="18"/>
                <w:szCs w:val="18"/>
              </w:rPr>
            </w:pPr>
            <w:r>
              <w:rPr>
                <w:sz w:val="18"/>
                <w:szCs w:val="18"/>
              </w:rPr>
              <w:t>Witvrouwen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155-5p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(leukocytes)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at delivery</w:t>
            </w:r>
          </w:p>
          <w:p w:rsidR="00460963" w:rsidRDefault="00460963" w:rsidP="009B2A14">
            <w:pPr>
              <w:spacing w:after="0"/>
              <w:jc w:val="center"/>
              <w:rPr>
                <w:color w:val="000000"/>
                <w:sz w:val="18"/>
                <w:szCs w:val="18"/>
              </w:rPr>
            </w:pPr>
            <w:r>
              <w:rPr>
                <w:color w:val="000000"/>
                <w:sz w:val="18"/>
                <w:szCs w:val="18"/>
              </w:rPr>
              <w:t>No difference in sPE 1 year after delivery</w:t>
            </w:r>
          </w:p>
          <w:p w:rsidR="00460963" w:rsidRPr="00EB6201" w:rsidRDefault="00460963" w:rsidP="009B2A14">
            <w:pPr>
              <w:spacing w:after="0"/>
              <w:jc w:val="center"/>
              <w:rPr>
                <w:color w:val="000000"/>
                <w:sz w:val="18"/>
                <w:szCs w:val="18"/>
              </w:rPr>
            </w:pPr>
            <w:r>
              <w:rPr>
                <w:color w:val="000000"/>
                <w:sz w:val="18"/>
                <w:szCs w:val="18"/>
              </w:rPr>
              <w:t>Not reported</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NR</w:t>
            </w:r>
          </w:p>
        </w:tc>
        <w:tc>
          <w:tcPr>
            <w:tcW w:w="2977" w:type="dxa"/>
          </w:tcPr>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947753" w:rsidRPr="00932CA1">
              <w:rPr>
                <w:noProof/>
                <w:sz w:val="18"/>
                <w:szCs w:val="18"/>
              </w:rPr>
              <w:t>(Murphy et al., 2015)</w:t>
            </w:r>
            <w:r>
              <w:rPr>
                <w:sz w:val="18"/>
                <w:szCs w:val="18"/>
              </w:rPr>
              <w:fldChar w:fldCharType="end"/>
            </w:r>
          </w:p>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947753"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{"citationItems":[{"id":"ITEM-1","itemData":{"DOI":"10.1016/j.preghy.2019.11.003","ISSN":"22107797","PMID":"31899190","abstract":"Objectives: Maternal leucocytes play an important role in the pathogenesis of preeclampsia (PE). Circulating microRNAs (miRNAs) are small, noncoding RNA molecules. The purpose of this study was to investigate miR-518b, miR-155-5p, and miR-21-3p in the peripheral blood leukocytes of patients with PE, compared to controls. Study design: Using real-time quantitative PCR method, the selected miRNAs which have been associated with PE were examined from early- onset PE (EOPE) (&lt;34 weeks) (n = 48), late- onset PE (LOPE) (≥34 weeks) (n = 48), total cases of PE (n = 96), and healthy controls (n = 52). Main outcome measures: The relative expression of the target miR in patient samples was compared to the calibrator and the results were expressed as relative quantification values. Results: Gestational age (GA) was significantly different between PE and controls. Univariate logistic regression analysis adjusted for GA at blood draw were fit to compare miR-518b, miR-155-5p, and miR-21-3p between PE and controls. The expression of miR-518b, miR-155-5p, and miR-21-3p were not significantly different in PE, compared to controls. The expression of miR-518b was upregulated in the EOPE and LOPE group, compared to controls, and the area under the receiver operating characteristic curve (AUC) of miR-518b was 0.65 and 0.62, respectively. miR-518b was positively correlated with WBC count, platelet count, serum levels of AST, ALT, LDH in EOPE. miR-21-3p expression level was negatively correlated with body mass index at blood draw and systolic blood pressure in the LOPE group. Conclusions: Increased miR-518b expression levels were found to be associated with EOPE and LOPE.","author":[{"dropping-particle":"","family":"Demirer","given":"Selin","non-dropping-particle":"","parse-names":false,"suffix":""},{"dropping-particle":"","family":"Hocaoglu","given":"Meryem","non-dropping-particle":"","parse-names":false,"suffix":""},{"dropping-particle":"","family":"Turgut","given":"Abdulkadir","non-dropping-particle":"","parse-names":false,"suffix":""},{"dropping-particle":"","family":"Karateke","given":"Ateş","non-dropping-particle":"","parse-names":false,"suffix":""},{"dropping-particle":"","family":"Komurcu-Bayrak","given":"Evrim","non-dropping-particle":"","parse-names":false,"suffix":""}],"container-title":"Pregnancy Hypertension","id":"ITEM-1","issued":{"date-parts":[["2020","1","1"]]},"page":"239-245","publisher":"Elsevier B.V.","title":"Expression profiles of candidate microRNAs in the peripheral blood leukocytes of patients with early- and late-onset preeclampsia versus normal pregnancies","type":"article-journal","volume":"19"},"uris":["http://www.mendeley.com/documents/?uuid=6685fb39-b7c4-3ea5-86a3-af1fc8e5eabf"]}],"mendeley":{"formattedCitation":"(Demirer et al., 2020)","plainTextFormattedCitation":"(Demirer et al., 2020)","previouslyFormattedCitation":"(Demirer et al., 2020)"},"properties":{"noteIndex":0},"schema":"https://github.com/citation-style-language/schema/raw/master/csl-citation.json"}</w:instrText>
            </w:r>
            <w:r>
              <w:rPr>
                <w:sz w:val="18"/>
                <w:szCs w:val="18"/>
              </w:rPr>
              <w:fldChar w:fldCharType="separate"/>
            </w:r>
            <w:r w:rsidR="00947753" w:rsidRPr="00947753">
              <w:rPr>
                <w:noProof/>
                <w:sz w:val="18"/>
                <w:szCs w:val="18"/>
              </w:rPr>
              <w:t>(Demirer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Demirer 2019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lastRenderedPageBreak/>
              <w:t>24</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947753" w:rsidRPr="00947753">
              <w:rPr>
                <w:noProof/>
                <w:sz w:val="18"/>
                <w:szCs w:val="18"/>
              </w:rPr>
              <w:t>(Xu et al., 2019)</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{"citationItems":[{"id":"ITEM-1","itemData":{"DOI":"10.1016/j.placenta.2020.02.003","ISSN":"15323102","PMID":"32056785","abstract":"Background: The biological functions of placental trophoblast cells have been reported to be critical in preeclampsia (PE) and its complications. Here, we aimed to investigate the role and underlying mechanism of soluble fms-like tyrsine kinase-1 (sFlt-1) and miR-139-5p in severe preeclampsia (sPE) by culturing the trophoblast cells from patients. Methods: ELISA and qRT-PCR were used to measure the expression of sFlt-1 and miR-139-5p. The direct interaction between sFlt-1 and miR-139-5p was determined by luciferase reporter assay. Cell proliferation and invasion were evaluated by CCK-8 analysis and transwell assay. Results: Our results showed that miR-139-5p was downregulated in sPE patients and was negatively correlated with the expression of sFlt-1. Further, sFlt-1 was a direct target of miR-139-5p, which monitored the expression of sFlt-1. Besides, miR-139-5p promoted the proliferation and invasion of trophoblast cells derived from sPE patients. Overexpression of sFlt-1 attenuated the effects of miR-139-5p on cell proliferation and invasion of trophoblast cells from sPE patients. Conclusion: Our research proposes a novel mechanism where the role of miR-139-5p is dependent on sFlt-1. Our data demonstrated that miR-139-5p promoted the proliferation and invasion of trophoblast cells by directly targeting sFlt-1 in PE.","author":[{"dropping-particle":"","family":"Huang","given":"J","non-dropping-particle":"","parse-names":false,"suffix":""},{"dropping-particle":"","family":"Zheng","given":"L","non-dropping-particle":"","parse-names":false,"suffix":""},{"dropping-particle":"","family":"Kong","given":"H","non-dropping-particle":"","parse-names":false,"suffix":""},{"dropping-particle":"","family":"Wang","given":"F","non-dropping-particle":"","parse-names":false,"suffix":""},{"dropping-particle":"","family":"Su","given":"Y","non-dropping-particle":"","parse-names":false,"suffix":""},{"dropping-particle":"","family":"Xin","given":"H","non-dropping-particle":"","parse-names":false,"suffix":""}],"container-title":"Placenta","id":"ITEM-1","issued":{"date-parts":[["2020"]]},"page":"37-43","title":"miR-139-5p promotes the proliferation and invasion of trophoblast cells by targeting sFlt-1 in preeclampsia","type":"article-journal","volume":"92"},"uris":["http://www.mendeley.com/documents/?uuid=99db4d18-d94d-370c-b960-c76965edec32"]}],"mendeley":{"formattedCitation":"(Huang et al., 2020)","plainTextFormattedCitation":"(Huang et al., 2020)","previouslyFormattedCitation":"(Huang et al., 2020)"},"properties":{"noteIndex":0},"schema":"https://github.com/citation-style-language/schema/raw/master/csl-citation.json"}</w:instrText>
            </w:r>
            <w:r>
              <w:rPr>
                <w:sz w:val="18"/>
                <w:szCs w:val="18"/>
              </w:rPr>
              <w:fldChar w:fldCharType="separate"/>
            </w:r>
            <w:r w:rsidR="00947753" w:rsidRPr="00947753">
              <w:rPr>
                <w:noProof/>
                <w:sz w:val="18"/>
                <w:szCs w:val="18"/>
              </w:rPr>
              <w:t>(Huang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20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24-3p</w:t>
            </w:r>
          </w:p>
        </w:tc>
        <w:tc>
          <w:tcPr>
            <w:tcW w:w="2136" w:type="dxa"/>
            <w:vAlign w:val="center"/>
          </w:tcPr>
          <w:p w:rsidR="00460963" w:rsidRDefault="00460963" w:rsidP="009B2A14">
            <w:pPr>
              <w:spacing w:after="0"/>
              <w:jc w:val="center"/>
              <w:rPr>
                <w:sz w:val="18"/>
                <w:szCs w:val="18"/>
              </w:rPr>
            </w:pPr>
            <w:r>
              <w:rPr>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947753"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517-5p</w:t>
            </w:r>
          </w:p>
        </w:tc>
        <w:tc>
          <w:tcPr>
            <w:tcW w:w="2136" w:type="dxa"/>
            <w:vAlign w:val="center"/>
          </w:tcPr>
          <w:p w:rsidR="00460963" w:rsidRDefault="00460963" w:rsidP="009B2A14">
            <w:pPr>
              <w:spacing w:after="0"/>
              <w:jc w:val="center"/>
              <w:rPr>
                <w:sz w:val="18"/>
                <w:szCs w:val="18"/>
              </w:rPr>
            </w:pPr>
            <w:r>
              <w:rPr>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 and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{"citationItems":[{"id":"ITEM-1","itemData":{"DOI":"10.1089/dna.2014.2687","abstract":"To demonstrate that pregnancy-related complications are associated with alterations in placental microRNA expression. Gene expression of 15 C19MC microRNAs (miR-512-5p, miR-515-5p, miR-516-5p, miR-517-5p, miR-518b, miR-518f-5p, miR-519a, miR-519d, miR-519e-5p, miR-520a-5p, miR-520h, miR-524-5p, miR-525, miR-526a, and miR-526b) was assessed in placental tissues, compared between groups (21 gestational hypertension [GH], 63 preeclampsia, 36 fetal growth restriction [FGR], and 42 normal pregnancies), and correlated with the severity of the disease with respect to clinical signs, delivery date, and Doppler ultrasound parameters. The expression profile of microRNAs was different between pregnancy-related complications and controls. The downregulation of 4 of 15 (miR-517-5p, miR-519d, miR-520a-5p, and miR-525), 6 of 15 (miR-517-5p, miR-518f-5p, miR-519a, miR-519d, miR-520a-5p, and miR-525), and 11 of 15 (miR-515-5p, miR-517-5p, miR-518b, miR-518f-5p, miR-519a, miR-519d, miR-520a-5p, miR-520h, miR-524-5p, miR-525, and miR-526a) microRNAs was associated with GH, FGR, and preeclampsia, respectively. Sudden onset of severe preeclampsia requiring immediate termination of gestation and mild forms of preeclampsia (persisting for several weeks) were associated with similar microRNA expression profile (downregulation of miR-517-5p, miR-520a-5p, miR-524-5p, and miR-525). In addition, miR-519a was found to be associated with severe preeclampsia. The longer the pregnancy-related disorder lasted, the more extensive was the downregulation of microRNAs (miR-515-5p, miR-518b, miR-518f-5p, miR-519d, and miR-520h). The downregulation of some C19MC microRNAs is a common phenomenon shared between GH, preeclampsia, and FGR. On the other hand, some of the C19MC microRNAs are only downregulated just in preeclampsia.","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Pirkova","given":"Petr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Krofta","given":"Ladislav","non-dropping-particle":"","parse-names":false,"suffix":""}],"container-title":"DNA and Cell Biology","id":"ITEM-1","issue":"6","issued":{"date-parts":[["2015"]]},"page":"437-457","title":"Expression profile of C19MC microRNAs in placental tissue in pregnancy-related complications","type":"article-journal","volume":"34"},"uris":["http://www.mendeley.com/documents/?uuid=a11d294b-df0c-3d56-85cf-aa02ea7be6a4"]}],"mendeley":{"formattedCitation":"(Hromadnikova et al., 2015b)","plainTextFormattedCitation":"(Hromadnikova et al., 2015b)","previouslyFormattedCitation":"(Hromadnikova et al., 2015b)"},"properties":{"noteIndex":0},"schema":"https://github.com/citation-style-language/schema/raw/master/csl-citation.json"}</w:instrText>
            </w:r>
            <w:r>
              <w:rPr>
                <w:sz w:val="18"/>
                <w:szCs w:val="18"/>
              </w:rPr>
              <w:fldChar w:fldCharType="separate"/>
            </w:r>
            <w:r w:rsidR="00947753" w:rsidRPr="00947753">
              <w:rPr>
                <w:noProof/>
                <w:sz w:val="18"/>
                <w:szCs w:val="18"/>
              </w:rPr>
              <w:t>(Hromadnikova et al., 2015b)</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53</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517a</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color w:val="000000"/>
                <w:sz w:val="18"/>
                <w:szCs w:val="18"/>
              </w:rPr>
            </w:pPr>
            <w:r>
              <w:rPr>
                <w:sz w:val="18"/>
                <w:szCs w:val="18"/>
              </w:rPr>
              <w:t>MPB (serum)</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Up in preterm 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947753" w:rsidRDefault="00E33D6E" w:rsidP="00947753">
            <w:pPr>
              <w:spacing w:after="0"/>
              <w:jc w:val="center"/>
              <w:rPr>
                <w:sz w:val="18"/>
                <w:szCs w:val="18"/>
              </w:rPr>
            </w:pPr>
            <w:r>
              <w:rPr>
                <w:sz w:val="18"/>
                <w:szCs w:val="18"/>
              </w:rPr>
              <w:fldChar w:fldCharType="begin" w:fldLock="1"/>
            </w:r>
            <w:r w:rsidR="00947753">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947753" w:rsidRPr="00947753">
              <w:rPr>
                <w:noProof/>
                <w:sz w:val="18"/>
                <w:szCs w:val="18"/>
              </w:rPr>
              <w:t>(Xu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947753">
              <w:rPr>
                <w:sz w:val="18"/>
                <w:szCs w:val="18"/>
              </w:rPr>
              <w:instrText>ADDIN CSL_CITATION {"citationItems":[{"id":"ITEM-1","itemData":{"DOI":"10.1371/journal.pone.0122707","abstract":"Preeclampsia is a pregnancy specific hypertensive disease that confers significant maternal and fetal risks. While the exact pathophysiology of preeclampsia is unknown, it is widely accepted that placental dysfunction is mechanistically involved. Recent studies reported aberrant expression of placenta-specific microRNAs (miRNAs) in preeclampsia including miR-517a/b and miR-517c. Using placental biopsies from a preeclampsia case-control study, we found increased expression of miR-517a/b in term and preterm preeclampsia vs controls, while, miR-517c was increased only in preterm preeclampsia vs controls. To determine if miR-517a/b and miR-517c are regulated by hypoxia, we treated first trimester primary extravillous trophoblast cells (EVTs) with a hypoxia mimetic and found both were induced. To test for a mechanistic role in placental function, we overexpressed miR-517a/b or miR-517c in EVTs which resulted in decreased trophoblast invasion. Additionally, we found that miR-517a/b and miR-517c overexpression increased expression of the antiangiogenic protein, sFLT1. The regulation of sFLT1 is mostly unknown, however, TNFSF15, a cytokine involved in FLT1 splicing, was also increased by miR-517a/b and miR-517c in EVTs. In summary, we demonstrate that miR-517a/b and miR-517c contribute to the development of preeclampsia and suggest that these miRNAs play a critical role in regulating trophoblast and placental function.","author":[{"dropping-particle":"","family":"Anton","given":"Lauren","non-dropping-particle":"","parse-names":false,"suffix":""},{"dropping-particle":"","family":"Olarerin-George","given":"Anthony O.","non-dropping-particle":"","parse-names":false,"suffix":""},{"dropping-particle":"","family":"Hogenesch","given":"John B.","non-dropping-particle":"","parse-names":false,"suffix":""},{"dropping-particle":"","family":"Elovitz","given":"Michal A.","non-dropping-particle":"","parse-names":false,"suffix":""}],"container-title":"PLoS ONE","id":"ITEM-1","issue":"3","issued":{"date-parts":[["2015"]]},"page":"e0122707","title":"Placental expression of miR-517a/b and miR-517c contributes to trophoblast dysfunction and preeclampsia","type":"article-journal","volume":"10"},"uris":["http://www.mendeley.com/documents/?uuid=e9222dec-c02e-3e42-a2d6-bb6b69ad442d"]}],"mendeley":{"formattedCitation":"(Anton et al., 2015)","plainTextFormattedCitation":"(Anton et al., 2015)","previouslyFormattedCitation":"(Anton et al., 2015)"},"properties":{"noteIndex":0},"schema":"https://github.com/citation-style-language/schema/raw/master/csl-citation.json"}</w:instrText>
            </w:r>
            <w:r>
              <w:rPr>
                <w:sz w:val="18"/>
                <w:szCs w:val="18"/>
              </w:rPr>
              <w:fldChar w:fldCharType="separate"/>
            </w:r>
            <w:r w:rsidR="00947753" w:rsidRPr="00947753">
              <w:rPr>
                <w:noProof/>
                <w:sz w:val="18"/>
                <w:szCs w:val="18"/>
              </w:rPr>
              <w:t>(Anton et al., 2015)</w:t>
            </w:r>
            <w:r>
              <w:rPr>
                <w:sz w:val="18"/>
                <w:szCs w:val="18"/>
              </w:rPr>
              <w:fldChar w:fldCharType="end"/>
            </w:r>
          </w:p>
          <w:p w:rsidR="0094775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{"citationItems":[{"id":"ITEM-1","itemData":{"DOI":"10.1007/s00404-017-4611-6","abstract":"Purpose: To perform serum microRNA expression profiling to identify members of chromosome 19 miRNA cluster involved in preeclampsia development. Methods: Serum chromosome 19 miRNA cluster microRNA expression profiling was evaluated at 12, 16, and 20 gestational weeks and at the time of preeclampsia diagnosis, in women who developed preeclampsia (WWD-PE; n = 16) and controls (n = 18) using TaqMan low density array plates. Results: A total of 51 chromosome 19 microRNA cluster members were evaluated. The circulating hsa-miRs 512-3p, 518f-3p, 520c-3p, and 520d-3p, were differentially expressed between groups (P &lt; 0.05). Compared with controls, serum levels of hsa-miR-518f-3p at 20 GW were useful for identifying WWD-Mild-PE (P = 0.035) and WWD-Severe-PE (P = 0.007). Conclusions: Serum hsa-miRs 512-3p, 518f-3p, 520c-3p, and 520d-3p, are differentially expressed between WWD-PE and controls and their role in the development of preeclampsia should be investigated further.","author":[{"dropping-particle":"","family":"Martinez-Fierro","given":"Margarita L.","non-dropping-particle":"","parse-names":false,"suffix":""},{"dropping-particle":"","family":"Garza-Veloz","given":"Idalia","non-dropping-particle":"","parse-names":false,"suffix":""},{"dropping-particle":"","family":"Gutierrez-Arteaga","given":"Cristina","non-dropping-particle":"","parse-names":false,"suffix":""},{"dropping-particle":"","family":"Delgado-Enciso","given":"Ivan","non-dropping-particle":"","parse-names":false,"suffix":""},{"dropping-particle":"","family":"Barbosa-Cisneros","given":"Olga Y.","non-dropping-particle":"","parse-names":false,"suffix":""},{"dropping-particle":"","family":"Flores-Morales","given":"Virginia","non-dropping-particle":"","parse-names":false,"suffix":""},{"dropping-particle":"","family":"Hernandez-Delgadillo","given":"Gloria P.","non-dropping-particle":"","parse-names":false,"suffix":""},{"dropping-particle":"","family":"Rocha-Pizaña","given":"Maria R.","non-dropping-particle":"","parse-names":false,"suffix":""},{"dropping-particle":"","family":"Rodriguez-Sanchez","given":"Iram P.","non-dropping-particle":"","parse-names":false,"suffix":""},{"dropping-particle":"","family":"Badillo-Almaraz","given":"Jose I.","non-dropping-particle":"","parse-names":false,"suffix":""},{"dropping-particle":"","family":"Ortiz-Rodriguez","given":"Jose M.","non-dropping-particle":"","parse-names":false,"suffix":""},{"dropping-particle":"","family":"Castañeda-Miranda","given":"Rodrigo","non-dropping-particle":"","parse-names":false,"suffix":""},{"dropping-particle":"","family":"Solis-Sanchez","given":"Luis O.","non-dropping-particle":"","parse-names":false,"suffix":""},{"dropping-particle":"","family":"Ortiz-Castro","given":"Yolanda","non-dropping-particle":"","parse-names":false,"suffix":""}],"container-title":"Archives of Gynecology and Obstetrics","id":"ITEM-1","issue":"2","issued":{"date-parts":[["2018"]]},"page":"365-371","title":"Circulating levels of specific members of chromosome 19 microRNA cluster are associated with preeclampsia development","type":"article-journal","volume":"297"},"uris":["http://www.mendeley.com/documents/?uuid=fcd98f5c-a55b-3ef1-9ad4-9bfa99e7f0d5"]}],"mendeley":{"formattedCitation":"(Martinez-Fierro et al., 2018)","plainTextFormattedCitation":"(Martinez-Fierro et al., 2018)","previouslyFormattedCitation":"(Martinez-Fierro et al., 2018)"},"properties":{"noteIndex":0},"schema":"https://github.com/citation-style-language/schema/raw/master/csl-citation.json"}</w:instrText>
            </w:r>
            <w:r>
              <w:rPr>
                <w:sz w:val="18"/>
                <w:szCs w:val="18"/>
              </w:rPr>
              <w:fldChar w:fldCharType="separate"/>
            </w:r>
            <w:r w:rsidR="00947753" w:rsidRPr="00947753">
              <w:rPr>
                <w:noProof/>
                <w:sz w:val="18"/>
                <w:szCs w:val="18"/>
              </w:rPr>
              <w:t>(Martinez-Fierro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49</w:t>
            </w:r>
          </w:p>
          <w:p w:rsidR="00460963" w:rsidRDefault="00460963" w:rsidP="009B2A14">
            <w:pPr>
              <w:spacing w:after="0"/>
              <w:jc w:val="center"/>
              <w:rPr>
                <w:sz w:val="18"/>
                <w:szCs w:val="18"/>
              </w:rPr>
            </w:pPr>
            <w:r>
              <w:rPr>
                <w:sz w:val="18"/>
                <w:szCs w:val="18"/>
              </w:rPr>
              <w:t>136</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517b</w:t>
            </w:r>
          </w:p>
        </w:tc>
        <w:tc>
          <w:tcPr>
            <w:tcW w:w="2136" w:type="dxa"/>
            <w:vAlign w:val="center"/>
          </w:tcPr>
          <w:p w:rsidR="00460963" w:rsidRPr="00903B12" w:rsidRDefault="00460963" w:rsidP="009B2A14">
            <w:pPr>
              <w:spacing w:after="0"/>
              <w:jc w:val="center"/>
              <w:rPr>
                <w:sz w:val="18"/>
                <w:szCs w:val="18"/>
              </w:rPr>
            </w:pPr>
            <w:r>
              <w:rPr>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preterm 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{"citationItems":[{"id":"ITEM-1","itemData":{"DOI":"10.1371/journal.pone.0122707","abstract":"Preeclampsia is a pregnancy specific hypertensive disease that confers significant maternal and fetal risks. While the exact pathophysiology of preeclampsia is unknown, it is widely accepted that placental dysfunction is mechanistically involved. Recent studies reported aberrant expression of placenta-specific microRNAs (miRNAs) in preeclampsia including miR-517a/b and miR-517c. Using placental biopsies from a preeclampsia case-control study, we found increased expression of miR-517a/b in term and preterm preeclampsia vs controls, while, miR-517c was increased only in preterm preeclampsia vs controls. To determine if miR-517a/b and miR-517c are regulated by hypoxia, we treated first trimester primary extravillous trophoblast cells (EVTs) with a hypoxia mimetic and found both were induced. To test for a mechanistic role in placental function, we overexpressed miR-517a/b or miR-517c in EVTs which resulted in decreased trophoblast invasion. Additionally, we found that miR-517a/b and miR-517c overexpression increased expression of the antiangiogenic protein, sFLT1. The regulation of sFLT1 is mostly unknown, however, TNFSF15, a cytokine involved in FLT1 splicing, was also increased by miR-517a/b and miR-517c in EVTs. In summary, we demonstrate that miR-517a/b and miR-517c contribute to the development of preeclampsia and suggest that these miRNAs play a critical role in regulating trophoblast and placental function.","author":[{"dropping-particle":"","family":"Anton","given":"Lauren","non-dropping-particle":"","parse-names":false,"suffix":""},{"dropping-particle":"","family":"Olarerin-George","given":"Anthony O.","non-dropping-particle":"","parse-names":false,"suffix":""},{"dropping-particle":"","family":"Hogenesch","given":"John B.","non-dropping-particle":"","parse-names":false,"suffix":""},{"dropping-particle":"","family":"Elovitz","given":"Michal A.","non-dropping-particle":"","parse-names":false,"suffix":""}],"container-title":"PLoS ONE","id":"ITEM-1","issue":"3","issued":{"date-parts":[["2015"]]},"page":"e0122707","title":"Placental expression of miR-517a/b and miR-517c contributes to trophoblast dysfunction and preeclampsia","type":"article-journal","volume":"10"},"uris":["http://www.mendeley.com/documents/?uuid=e9222dec-c02e-3e42-a2d6-bb6b69ad442d"]}],"mendeley":{"formattedCitation":"(Anton et al., 2015)","plainTextFormattedCitation":"(Anton et al., 2015)","previouslyFormattedCitation":"(Anton et al., 2015)"},"properties":{"noteIndex":0},"schema":"https://github.com/citation-style-language/schema/raw/master/csl-citation.json"}</w:instrText>
            </w:r>
            <w:r>
              <w:rPr>
                <w:sz w:val="18"/>
                <w:szCs w:val="18"/>
              </w:rPr>
              <w:fldChar w:fldCharType="separate"/>
            </w:r>
            <w:r w:rsidR="005E6D07" w:rsidRPr="005E6D07">
              <w:rPr>
                <w:noProof/>
                <w:sz w:val="18"/>
                <w:szCs w:val="18"/>
              </w:rPr>
              <w:t>(Anton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519d</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color w:val="000000"/>
                <w:sz w:val="18"/>
                <w:szCs w:val="18"/>
              </w:rPr>
            </w:pPr>
            <w:r>
              <w:rPr>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5E6D07" w:rsidRDefault="00E33D6E" w:rsidP="005E6D07">
            <w:pPr>
              <w:spacing w:after="0"/>
              <w:jc w:val="center"/>
              <w:rPr>
                <w:sz w:val="18"/>
                <w:szCs w:val="18"/>
              </w:rPr>
            </w:pPr>
            <w:r>
              <w:rPr>
                <w:sz w:val="18"/>
                <w:szCs w:val="18"/>
              </w:rPr>
              <w:fldChar w:fldCharType="begin" w:fldLock="1"/>
            </w:r>
            <w:r w:rsidR="005E6D07">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5E6D07" w:rsidRPr="00947753">
              <w:rPr>
                <w:noProof/>
                <w:sz w:val="18"/>
                <w:szCs w:val="18"/>
              </w:rPr>
              <w:t>(Xu et al., 2019)</w:t>
            </w:r>
            <w:r>
              <w:rPr>
                <w:sz w:val="18"/>
                <w:szCs w:val="18"/>
              </w:rPr>
              <w:fldChar w:fldCharType="end"/>
            </w:r>
          </w:p>
          <w:p w:rsidR="005E6D07" w:rsidRDefault="00E33D6E" w:rsidP="005E6D07">
            <w:pPr>
              <w:spacing w:after="0"/>
              <w:jc w:val="center"/>
              <w:rPr>
                <w:sz w:val="18"/>
                <w:szCs w:val="18"/>
              </w:rPr>
            </w:pPr>
            <w:r>
              <w:rPr>
                <w:sz w:val="18"/>
                <w:szCs w:val="18"/>
              </w:rPr>
              <w:fldChar w:fldCharType="begin" w:fldLock="1"/>
            </w:r>
            <w:r w:rsidR="005E6D07">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5E6D07">
              <w:rPr>
                <w:rFonts w:ascii="Cambria Math" w:hAnsi="Cambria Math" w:cs="Cambria Math"/>
                <w:sz w:val="18"/>
                <w:szCs w:val="18"/>
              </w:rPr>
              <w:instrText>∗</w:instrText>
            </w:r>
            <w:r w:rsidR="005E6D07">
              <w:rPr>
                <w:rFonts w:cs="Times New Roman"/>
                <w:sz w:val="18"/>
                <w:szCs w:val="18"/>
              </w:rPr>
              <w:instrText>, miR-130a, miR-135b, miR-142-3p, miR-149, miR-188</w:instrText>
            </w:r>
            <w:r w:rsidR="005E6D07">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5E6D07" w:rsidRPr="00FF4CEA">
              <w:rPr>
                <w:noProof/>
                <w:sz w:val="18"/>
                <w:szCs w:val="18"/>
              </w:rPr>
              <w:t>(Yang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5E6D07">
              <w:rPr>
                <w:rFonts w:ascii="Cambria Math" w:hAnsi="Cambria Math" w:cs="Cambria Math"/>
                <w:sz w:val="18"/>
                <w:szCs w:val="18"/>
              </w:rPr>
              <w:instrText>∗</w:instrText>
            </w:r>
            <w:r w:rsidR="005E6D07">
              <w:rPr>
                <w:rFonts w:cs="Times New Roman"/>
                <w:sz w:val="18"/>
                <w:szCs w:val="18"/>
              </w:rPr>
              <w:instrText>, miR-130a, miR-135b, miR-142-3p, miR-149, miR-188</w:instrText>
            </w:r>
            <w:r w:rsidR="005E6D07">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5E6D07"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trHeight w:val="631"/>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519-3p</w:t>
            </w:r>
          </w:p>
        </w:tc>
        <w:tc>
          <w:tcPr>
            <w:tcW w:w="2136" w:type="dxa"/>
            <w:vAlign w:val="center"/>
          </w:tcPr>
          <w:p w:rsidR="00460963" w:rsidRPr="00903B12"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Placenta</w:t>
            </w:r>
          </w:p>
          <w:p w:rsidR="00460963" w:rsidRPr="00903B12" w:rsidRDefault="00460963" w:rsidP="009B2A14">
            <w:pPr>
              <w:spacing w:after="0"/>
              <w:jc w:val="center"/>
              <w:rPr>
                <w:sz w:val="18"/>
                <w:szCs w:val="18"/>
              </w:rPr>
            </w:pPr>
            <w:r>
              <w:rPr>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sz w:val="18"/>
                <w:szCs w:val="18"/>
              </w:rPr>
            </w:pPr>
            <w:r>
              <w:rPr>
                <w:sz w:val="18"/>
                <w:szCs w:val="18"/>
              </w:rPr>
              <w:t>Down in EOPE</w:t>
            </w:r>
          </w:p>
          <w:p w:rsidR="00460963" w:rsidRDefault="00460963" w:rsidP="009B2A14">
            <w:pPr>
              <w:spacing w:after="0"/>
              <w:jc w:val="center"/>
              <w:rPr>
                <w:color w:val="000000"/>
                <w:sz w:val="18"/>
                <w:szCs w:val="18"/>
              </w:rPr>
            </w:pPr>
            <w:r>
              <w:rPr>
                <w:sz w:val="18"/>
                <w:szCs w:val="18"/>
              </w:rPr>
              <w:t>Up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color w:val="000000"/>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{"citationItems":[{"id":"ITEM-1","itemData":{"DOI":"10.1371/journal.pone.0120321","abstract":"Our study was approved by the Medical Ethics Committee of Tang Du Hospital, Fourth Military Medical University and complied strictly with national ethical guidelines. Preeclampsia (PE) is a specific clinical disorder characterized by gestational hypertension and proteinuria and is a leading cause of maternal and perinatal mortality worldwide. The miR-519d-3p is upregulated in the maternal plasma of patients with PE which indicates a possible association between this microRNA and the pathogenesis of PE. No studies to date have addressed the effect of miR-519d-3p on the invasion and migration of trophoblast cells. In our study, we found that miR-519d-3p expression was elevated in placental samples from patients with PE. In vitro, overexpression of miR-519d-3p significantly inhibited trophoblast cell migration and invasion, whereas transfection of a miR-519d-3p inhibitor enhanced trophoblast cell migration and invasion. Luciferase assays confirmed that matrix metalloproteinase-2 (MMP-2) is a direct target of miR-519d-3p. Quantitative real-time PCR and western blot assays showed that overexpression of miR-519d-3p downregulated MMP-2 mRNA and protein expression. Knockdown of MMP-2 using a siRNA attenuated the increased trophoblast migration and invasion promoted by the miR-519d-3p inhibitor. In placentas from patients with PE or normal pregnancies, a negative correlation between the expression of MMP-2 and miR-519d-3p was observed using the Pearson correlation and linear regression analysis. Our present findings suggest that upregulation of miR-519d-3p may contribute to the development of PE by inhibiting trophoblast cell migration and invasion via targeting MMP-2; miR-519d-3p may represent a potential predictive and therapeutic target for PE.","author":[{"dropping-particle":"","family":"Ding","given":"Jie","non-dropping-particle":"","parse-names":false,"suffix":""},{"dropping-particle":"","family":"Huang","given":"Fei","non-dropping-particle":"","parse-names":false,"suffix":""},{"dropping-particle":"","family":"Wu","given":"Gaoyi","non-dropping-particle":"","parse-names":false,"suffix":""},{"dropping-particle":"","family":"Han","given":"Tao","non-dropping-particle":"","parse-names":false,"suffix":""},{"dropping-particle":"","family":"Xu","given":"Fuqiang","non-dropping-particle":"","parse-names":false,"suffix":""},{"dropping-particle":"","family":"Weng","given":"Dan","non-dropping-particle":"","parse-names":false,"suffix":""},{"dropping-particle":"","family":"Wu","given":"Chengli","non-dropping-particle":"","parse-names":false,"suffix":""},{"dropping-particle":"","family":"Zhang","given":"Xiaodong","non-dropping-particle":"","parse-names":false,"suffix":""},{"dropping-particle":"","family":"Yao","given":"Yuanqing","non-dropping-particle":"","parse-names":false,"suffix":""},{"dropping-particle":"","family":"Zhu","given":"Xiaoming","non-dropping-particle":"","parse-names":false,"suffix":""}],"container-title":"PLoS ONE","id":"ITEM-1","issue":"3","issued":{"date-parts":[["2015"]]},"page":"e0120321","title":"MiR-519d-3p suppresses invasion and migration of trophoblast cells via targeting MMP-2","type":"article-journal","volume":"10"},"uris":["http://www.mendeley.com/documents/?uuid=52489302-e2e2-35c1-a157-043ff0333e0a"]}],"mendeley":{"formattedCitation":"(Ding et al., 2015)","plainTextFormattedCitation":"(Ding et al., 2015)","previouslyFormattedCitation":"(Ding et al., 2015)"},"properties":{"noteIndex":0},"schema":"https://github.com/citation-style-language/schema/raw/master/csl-citation.json"}</w:instrText>
            </w:r>
            <w:r>
              <w:rPr>
                <w:sz w:val="18"/>
                <w:szCs w:val="18"/>
              </w:rPr>
              <w:fldChar w:fldCharType="separate"/>
            </w:r>
            <w:r w:rsidR="005E6D07" w:rsidRPr="005E6D07">
              <w:rPr>
                <w:noProof/>
                <w:sz w:val="18"/>
                <w:szCs w:val="18"/>
              </w:rPr>
              <w:t>(Ding et al., 2015)</w:t>
            </w:r>
            <w:r>
              <w:rPr>
                <w:sz w:val="18"/>
                <w:szCs w:val="18"/>
              </w:rPr>
              <w:fldChar w:fldCharType="end"/>
            </w:r>
          </w:p>
          <w:p w:rsidR="005E6D07"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5E6D07" w:rsidRPr="005E6D07">
              <w:rPr>
                <w:noProof/>
                <w:sz w:val="18"/>
                <w:szCs w:val="18"/>
              </w:rPr>
              <w:t>(Timofeeva et al., 2018)</w:t>
            </w:r>
            <w:r>
              <w:rPr>
                <w:sz w:val="18"/>
                <w:szCs w:val="18"/>
              </w:rPr>
              <w:fldChar w:fldCharType="end"/>
            </w:r>
          </w:p>
          <w:p w:rsidR="005E6D07"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5E6D07" w:rsidRPr="005E6D07">
              <w:rPr>
                <w:noProof/>
                <w:sz w:val="18"/>
                <w:szCs w:val="18"/>
              </w:rPr>
              <w:t>(Timofeeva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51</w:t>
            </w:r>
          </w:p>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519a</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color w:val="000000"/>
                <w:sz w:val="18"/>
                <w:szCs w:val="18"/>
              </w:rPr>
            </w:pPr>
            <w:r>
              <w:rPr>
                <w:sz w:val="18"/>
                <w:szCs w:val="18"/>
              </w:rPr>
              <w:t>Placenta (syncytiotrophoblast)</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sEOPE</w:t>
            </w:r>
          </w:p>
          <w:p w:rsidR="00460963" w:rsidRDefault="00460963" w:rsidP="009B2A14">
            <w:pPr>
              <w:spacing w:after="0"/>
              <w:jc w:val="center"/>
              <w:rPr>
                <w:color w:val="000000"/>
                <w:sz w:val="18"/>
                <w:szCs w:val="18"/>
              </w:rPr>
            </w:pPr>
            <w:r>
              <w:rPr>
                <w:color w:val="000000"/>
                <w:sz w:val="18"/>
                <w:szCs w:val="18"/>
              </w:rPr>
              <w:t>No difference in sLOPE</w:t>
            </w:r>
          </w:p>
          <w:p w:rsidR="00460963" w:rsidRPr="00EB6201" w:rsidRDefault="00460963" w:rsidP="009B2A14">
            <w:pPr>
              <w:spacing w:after="0"/>
              <w:jc w:val="center"/>
              <w:rPr>
                <w:color w:val="000000"/>
                <w:sz w:val="18"/>
                <w:szCs w:val="18"/>
              </w:rPr>
            </w:pPr>
            <w:r>
              <w:rPr>
                <w:color w:val="000000"/>
                <w:sz w:val="18"/>
                <w:szCs w:val="18"/>
              </w:rPr>
              <w:t>Up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5E6D07" w:rsidRDefault="00E33D6E" w:rsidP="005E6D07">
            <w:pPr>
              <w:spacing w:after="0"/>
              <w:jc w:val="center"/>
              <w:rPr>
                <w:sz w:val="18"/>
                <w:szCs w:val="18"/>
              </w:rPr>
            </w:pPr>
            <w:r>
              <w:rPr>
                <w:sz w:val="18"/>
                <w:szCs w:val="18"/>
              </w:rPr>
              <w:fldChar w:fldCharType="begin" w:fldLock="1"/>
            </w:r>
            <w:r w:rsidR="005E6D07">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5E6D07" w:rsidRPr="00947753">
              <w:rPr>
                <w:noProof/>
                <w:sz w:val="18"/>
                <w:szCs w:val="18"/>
              </w:rPr>
              <w:t>(Xu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{"citationItems":[{"id":"ITEM-1","itemData":{"DOI":"10.1089/dna.2014.2687","abstract":"To demonstrate that pregnancy-related complications are associated with alterations in placental microRNA expression. Gene expression of 15 C19MC microRNAs (miR-512-5p, miR-515-5p, miR-516-5p, miR-517-5p, miR-518b, miR-518f-5p, miR-519a, miR-519d, miR-519e-5p, miR-520a-5p, miR-520h, miR-524-5p, miR-525, miR-526a, and miR-526b) was assessed in placental tissues, compared between groups (21 gestational hypertension [GH], 63 preeclampsia, 36 fetal growth restriction [FGR], and 42 normal pregnancies), and correlated with the severity of the disease with respect to clinical signs, delivery date, and Doppler ultrasound parameters. The expression profile of microRNAs was different between pregnancy-related complications and controls. The downregulation of 4 of 15 (miR-517-5p, miR-519d, miR-520a-5p, and miR-525), 6 of 15 (miR-517-5p, miR-518f-5p, miR-519a, miR-519d, miR-520a-5p, and miR-525), and 11 of 15 (miR-515-5p, miR-517-5p, miR-518b, miR-518f-5p, miR-519a, miR-519d, miR-520a-5p, miR-520h, miR-524-5p, miR-525, and miR-526a) microRNAs was associated with GH, FGR, and preeclampsia, respectively. Sudden onset of severe preeclampsia requiring immediate termination of gestation and mild forms of preeclampsia (persisting for several weeks) were associated with similar microRNA expression profile (downregulation of miR-517-5p, miR-520a-5p, miR-524-5p, and miR-525). In addition, miR-519a was found to be associated with severe preeclampsia. The longer the pregnancy-related disorder lasted, the more extensive was the downregulation of microRNAs (miR-515-5p, miR-518b, miR-518f-5p, miR-519d, and miR-520h). The downregulation of some C19MC microRNAs is a common phenomenon shared between GH, preeclampsia, and FGR. On the other hand, some of the C19MC microRNAs are only downregulated just in preeclampsia.","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Pirkova","given":"Petr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Krofta","given":"Ladislav","non-dropping-particle":"","parse-names":false,"suffix":""}],"container-title":"DNA and Cell Biology","id":"ITEM-1","issue":"6","issued":{"date-parts":[["2015"]]},"page":"437-457","title":"Expression profile of C19MC microRNAs in placental tissue in pregnancy-related complications","type":"article-journal","volume":"34"},"uris":["http://www.mendeley.com/documents/?uuid=a11d294b-df0c-3d56-85cf-aa02ea7be6a4"]}],"mendeley":{"formattedCitation":"(Hromadnikova et al., 2015b)","plainTextFormattedCitation":"(Hromadnikova et al., 2015b)","previouslyFormattedCitation":"(Hromadnikova et al., 2015b)"},"properties":{"noteIndex":0},"schema":"https://github.com/citation-style-language/schema/raw/master/csl-citation.json"}</w:instrText>
            </w:r>
            <w:r>
              <w:rPr>
                <w:sz w:val="18"/>
                <w:szCs w:val="18"/>
              </w:rPr>
              <w:fldChar w:fldCharType="separate"/>
            </w:r>
            <w:r w:rsidR="005E6D07" w:rsidRPr="005E6D07">
              <w:rPr>
                <w:noProof/>
                <w:sz w:val="18"/>
                <w:szCs w:val="18"/>
              </w:rPr>
              <w:t>(Hromadnikova et al., 2015b)</w:t>
            </w:r>
            <w:r>
              <w:rPr>
                <w:sz w:val="18"/>
                <w:szCs w:val="18"/>
              </w:rPr>
              <w:fldChar w:fldCharType="end"/>
            </w:r>
          </w:p>
          <w:p w:rsidR="005E6D07"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5E6D07" w:rsidRPr="005E6D07">
              <w:rPr>
                <w:noProof/>
                <w:sz w:val="18"/>
                <w:szCs w:val="18"/>
              </w:rPr>
              <w:t>(Miura et al., 2015)</w:t>
            </w:r>
            <w:r>
              <w:rPr>
                <w:sz w:val="18"/>
                <w:szCs w:val="18"/>
              </w:rPr>
              <w:fldChar w:fldCharType="end"/>
            </w:r>
          </w:p>
          <w:p w:rsidR="005E6D07"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5E6D07" w:rsidRPr="005E6D07">
              <w:rPr>
                <w:noProof/>
                <w:sz w:val="18"/>
                <w:szCs w:val="18"/>
              </w:rPr>
              <w:t>(Miura et al., 2015)</w:t>
            </w:r>
            <w:r>
              <w:rPr>
                <w:sz w:val="18"/>
                <w:szCs w:val="18"/>
              </w:rPr>
              <w:fldChar w:fldCharType="end"/>
            </w:r>
          </w:p>
          <w:p w:rsidR="005E6D07"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5E6D07" w:rsidRPr="005E6D07">
              <w:rPr>
                <w:noProof/>
                <w:sz w:val="18"/>
                <w:szCs w:val="18"/>
              </w:rPr>
              <w:t>(Miura et al., 2015)</w:t>
            </w:r>
            <w:r>
              <w:rPr>
                <w:sz w:val="18"/>
                <w:szCs w:val="18"/>
              </w:rPr>
              <w:fldChar w:fldCharType="end"/>
            </w:r>
          </w:p>
          <w:p w:rsidR="005E6D07"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{"citationItems":[{"id":"ITEM-1","itemData":{"DOI":"10.1007/s10517-018-4267-7","abstract":"The expression of microRNA-17, microRNA-181a, and microRNA-519a in the villous tree in preeclampsia was analyzed using chromogenic in situ hybridization technique (CISH). It was found that in early-onset preeclampsia, the expression of microRNA-17 in the syncytiotrophoblast was higher (p&lt;0.05) than in late preeclampsia, and the expression of microRNA-519a was higher (p&lt;0.05) than in women with preterm birth at 26-31 weeks gestation. We revealed higher level of expression of microRNA-181a (p&lt;0.05) in the cytoplasm of the syncytiotrophoblast of intermediate placental villi in the group with premature delivery in comparison with early preeclampsia. In full-term pregnancy, the expression of microRNA-181a in the vascular endothelium of placental villi was higher (p&lt;0.02) than in women with premature deliveries. Analysis of the target genes associated with these microRNAs showed that damage to the trophoblast typical of preeclampsia, especially up to 34 weeks gestation, was accompanied by selective activation of genes participating in invasion and compensatory suppression of oncoprotective genes associated with the development of malignant neoplasms.","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I.","non-dropping-particle":"","parse-names":false,"suffix":""}],"container-title":"Bulletin of Experimental Biology and Medicine","id":"ITEM-1","issue":"6","issued":{"date-parts":[["2018"]]},"page":"793-797","title":"Change in OncomicroRNA Expression in the Placenta during Preeclampsia","type":"article-journal","volume":"165"},"uris":["http://www.mendeley.com/documents/?uuid=6cf29799-cb89-32f0-b827-9d5410886217"]}],"mendeley":{"formattedCitation":"(Nizyaeva et al., 2018)","plainTextFormattedCitation":"(Nizyaeva et al., 2018)","previouslyFormattedCitation":"(Nizyaeva et al., 2018)"},"properties":{"noteIndex":0},"schema":"https://github.com/citation-style-language/schema/raw/master/csl-citation.json"}</w:instrText>
            </w:r>
            <w:r>
              <w:rPr>
                <w:sz w:val="18"/>
                <w:szCs w:val="18"/>
              </w:rPr>
              <w:fldChar w:fldCharType="separate"/>
            </w:r>
            <w:r w:rsidR="005E6D07" w:rsidRPr="005E6D07">
              <w:rPr>
                <w:noProof/>
                <w:sz w:val="18"/>
                <w:szCs w:val="18"/>
              </w:rPr>
              <w:t>(Nizyaeva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53</w:t>
            </w:r>
          </w:p>
          <w:p w:rsidR="00460963" w:rsidRDefault="00460963" w:rsidP="009B2A14">
            <w:pPr>
              <w:spacing w:after="0"/>
              <w:jc w:val="center"/>
              <w:rPr>
                <w:sz w:val="18"/>
                <w:szCs w:val="18"/>
              </w:rPr>
            </w:pPr>
            <w:r>
              <w:rPr>
                <w:sz w:val="18"/>
                <w:szCs w:val="18"/>
              </w:rPr>
              <w:t>59</w:t>
            </w:r>
          </w:p>
          <w:p w:rsidR="00460963" w:rsidRDefault="00460963" w:rsidP="009B2A14">
            <w:pPr>
              <w:spacing w:after="0"/>
              <w:jc w:val="center"/>
              <w:rPr>
                <w:sz w:val="18"/>
                <w:szCs w:val="18"/>
              </w:rPr>
            </w:pPr>
            <w:r>
              <w:rPr>
                <w:sz w:val="18"/>
                <w:szCs w:val="18"/>
              </w:rPr>
              <w:t>59</w:t>
            </w:r>
          </w:p>
          <w:p w:rsidR="00460963" w:rsidRDefault="00460963" w:rsidP="009B2A14">
            <w:pPr>
              <w:spacing w:after="0"/>
              <w:jc w:val="center"/>
              <w:rPr>
                <w:sz w:val="18"/>
                <w:szCs w:val="18"/>
              </w:rPr>
            </w:pPr>
            <w:r>
              <w:rPr>
                <w:sz w:val="18"/>
                <w:szCs w:val="18"/>
              </w:rPr>
              <w:t>59</w:t>
            </w:r>
          </w:p>
          <w:p w:rsidR="00460963" w:rsidRDefault="00460963" w:rsidP="009B2A14">
            <w:pPr>
              <w:spacing w:after="0"/>
              <w:jc w:val="center"/>
              <w:rPr>
                <w:sz w:val="18"/>
                <w:szCs w:val="18"/>
              </w:rPr>
            </w:pPr>
            <w:r>
              <w:rPr>
                <w:sz w:val="18"/>
                <w:szCs w:val="18"/>
              </w:rPr>
              <w:t>139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23a</w:t>
            </w:r>
          </w:p>
        </w:tc>
        <w:tc>
          <w:tcPr>
            <w:tcW w:w="2136" w:type="dxa"/>
            <w:vAlign w:val="center"/>
          </w:tcPr>
          <w:p w:rsidR="00460963" w:rsidRDefault="00460963" w:rsidP="009B2A14">
            <w:pPr>
              <w:spacing w:after="0"/>
              <w:jc w:val="center"/>
              <w:rPr>
                <w:color w:val="000000"/>
                <w:sz w:val="18"/>
                <w:szCs w:val="18"/>
              </w:rPr>
            </w:pPr>
            <w:r>
              <w:rPr>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5E6D07" w:rsidRPr="00947753">
              <w:rPr>
                <w:noProof/>
                <w:sz w:val="18"/>
                <w:szCs w:val="18"/>
              </w:rPr>
              <w:t>(Xu et al., 2019)</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103</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color w:val="000000"/>
                <w:sz w:val="18"/>
                <w:szCs w:val="18"/>
              </w:rPr>
            </w:pPr>
            <w:r>
              <w:rPr>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5E6D07" w:rsidRDefault="00E33D6E" w:rsidP="005E6D07">
            <w:pPr>
              <w:spacing w:after="0"/>
              <w:jc w:val="center"/>
              <w:rPr>
                <w:sz w:val="18"/>
                <w:szCs w:val="18"/>
              </w:rPr>
            </w:pPr>
            <w:r>
              <w:rPr>
                <w:sz w:val="18"/>
                <w:szCs w:val="18"/>
              </w:rPr>
              <w:fldChar w:fldCharType="begin" w:fldLock="1"/>
            </w:r>
            <w:r w:rsidR="005E6D07">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5E6D07" w:rsidRPr="00947753">
              <w:rPr>
                <w:noProof/>
                <w:sz w:val="18"/>
                <w:szCs w:val="18"/>
              </w:rPr>
              <w:t>(Xu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{"citationItems":[{"id":"ITEM-1","itemData":{"DOI":"10.1530/REP-11-0304","abstract":"Until recently, the molecular pathogenesis of preeclampsia (PE) remained largely unknown. Reports have shown that circulating microRNAs (miRNAs) are promising novel biomarkers for cancer, pregnancy, tissue injury, and other conditions. The objective of this study was to identify differentially expressed miRNAs in plasma from severe preeclamptic pregnancies compared with plasma from normal pregnancies. By mature miRNA microarray analysis, 15 miRNAs, including 13 up- and two downregulated miRNAs, were screened to be differentially expressed in plasma from women with severe PE (sPE). Seven miRNAs, namely miR-24, miR-26a, miR-103, miR-130b, miR-181a, miR-342-3p, and miR-574-5p, were validated to be elevated in plasma from severe preeclamptic pregnancies by real-time quantitative stem-loop RT-PCR analysis. Gene ontology and pathway enrichment analyses revealed that these miRNAs were involved in specific biological process categories (including regulation of metabolic processes, regulation of transcription, and cell cycle) and signaling pathways (including the MAP kinase signaling pathway, the transforming growth factor-β signaling pathway, and pathways in cancer metastasis). This study presents, for the first time, the differential expression profile of circulating miRNAs in sPE patients. The seven elevated circulating miRNAs may play critical roles in the pathogenesis of sPE, and one or more of them may become potential markers for diagnosing sPE. © 2012 Society for Reproduction and Fertility.","author":[{"dropping-particle":"","family":"Wu","given":"Liang","non-dropping-particle":"","parse-names":false,"suffix":""},{"dropping-particle":"","family":"Zhou","given":"Honghui","non-dropping-particle":"","parse-names":false,"suffix":""},{"dropping-particle":"","family":"Lin","given":"Haiyan","non-dropping-particle":"","parse-names":false,"suffix":""},{"dropping-particle":"","family":"Qi","given":"Jianguo","non-dropping-particle":"","parse-names":false,"suffix":""},{"dropping-particle":"","family":"Zhu","given":"Cheng","non-dropping-particle":"","parse-names":false,"suffix":""},{"dropping-particle":"","family":"Gao","given":"Zhiying","non-dropping-particle":"","parse-names":false,"suffix":""},{"dropping-particle":"","family":"Wang","given":"Hongmei","non-dropping-particle":"","parse-names":false,"suffix":""}],"container-title":"Reproduction","id":"ITEM-1","issue":"3","issued":{"date-parts":[["2012"]]},"page":"389-397","title":"Circulating microRNAs are elevated in plasma from severe preeclamptic pregnancies","type":"article-journal","volume":"143"},"uris":["http://www.mendeley.com/documents/?uuid=08bf4d7f-013a-306f-93ff-ab976015d3cf"]}],"mendeley":{"formattedCitation":"(Wu et al., 2012)","plainTextFormattedCitation":"(Wu et al., 2012)","previouslyFormattedCitation":"(Wu et al., 2012)"},"properties":{"noteIndex":0},"schema":"https://github.com/citation-style-language/schema/raw/master/csl-citation.json"}</w:instrText>
            </w:r>
            <w:r>
              <w:rPr>
                <w:sz w:val="18"/>
                <w:szCs w:val="18"/>
              </w:rPr>
              <w:fldChar w:fldCharType="separate"/>
            </w:r>
            <w:r w:rsidR="005E6D07" w:rsidRPr="005E6D07">
              <w:rPr>
                <w:noProof/>
                <w:sz w:val="18"/>
                <w:szCs w:val="18"/>
              </w:rPr>
              <w:t>(Wu et al., 2012)</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20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103a-3p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(whole blood)</w:t>
            </w:r>
          </w:p>
          <w:p w:rsidR="00460963" w:rsidRPr="00903B12" w:rsidRDefault="00460963" w:rsidP="009B2A14">
            <w:pPr>
              <w:spacing w:after="0"/>
              <w:jc w:val="center"/>
              <w:rPr>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5E6D07" w:rsidRPr="00BB7CB7">
              <w:rPr>
                <w:noProof/>
                <w:sz w:val="18"/>
                <w:szCs w:val="18"/>
              </w:rPr>
              <w:t>(Hromadnikova et al., 2016)</w:t>
            </w:r>
            <w:r>
              <w:rPr>
                <w:sz w:val="18"/>
                <w:szCs w:val="18"/>
              </w:rPr>
              <w:fldChar w:fldCharType="end"/>
            </w:r>
          </w:p>
          <w:p w:rsidR="005E6D07" w:rsidRDefault="00E33D6E" w:rsidP="009B2A14">
            <w:pPr>
              <w:spacing w:after="0"/>
              <w:jc w:val="center"/>
              <w:rPr>
                <w:sz w:val="18"/>
                <w:szCs w:val="18"/>
              </w:rPr>
            </w:pPr>
            <w:r>
              <w:rPr>
                <w:sz w:val="18"/>
                <w:szCs w:val="18"/>
              </w:rPr>
              <w:fldChar w:fldCharType="begin" w:fldLock="1"/>
            </w:r>
            <w:r w:rsidR="005E6D07">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5E6D07"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29a</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 xml:space="preserve">Placenta </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5E6D07" w:rsidRDefault="00E33D6E" w:rsidP="005E6D07">
            <w:pPr>
              <w:spacing w:after="0"/>
              <w:jc w:val="center"/>
              <w:rPr>
                <w:sz w:val="18"/>
                <w:szCs w:val="18"/>
              </w:rPr>
            </w:pPr>
            <w:r>
              <w:rPr>
                <w:sz w:val="18"/>
                <w:szCs w:val="18"/>
              </w:rPr>
              <w:fldChar w:fldCharType="begin" w:fldLock="1"/>
            </w:r>
            <w:r w:rsidR="005E6D07">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5E6D07" w:rsidRPr="00947753">
              <w:rPr>
                <w:noProof/>
                <w:sz w:val="18"/>
                <w:szCs w:val="18"/>
              </w:rPr>
              <w:t>(Xu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{"citationItems":[{"id":"ITEM-1","itemData":{"DOI":"10.1155/2013/970265","abstract":"Objective. Preeclampsia (PE) is a pregnancy-specific syndrome and one of the leading causes of maternal and fetal morbidity and mortality. The pathophysiological mechanisms of PE remain poorly known. Recently, circulating miRNAs are considered as potential useful noninvasive biomarkers. The aim of this study was to identify differentially expressed plasma miRNAs in preeclamptic pregnancies compared with normal pregnancies. Methods. Maternal plasma miRNA expression profiles were detected by SOLiD sequencing. Differential expressions between mPE/sPE and control group were found. Next, four differentially expressed plasma miRNAs were chosen to validate their expression in other large scale samples by real-time PCR. Results. In terms of sequencing results, we identified that 51 miRNAs were differentially expressed. Four differentially expressed plasma miRNAs (miR-141, miR-144, miR-221, and miR-29a) were selected to validate the sequencing results. RT-PCR data confirmed the reliability of sequencing results. The further statistical analysis showed that maternal plasma miR-141 and miR-29a are significantly overexpressed in mPE (P &lt; 0.05). Maternal plasma miR-144 is significantly underexpressed in mPE and sPE (P &lt; 0.05). Conclusions. Results showed that there were differentially expressed maternal plasma miRNAs in patients with preeclampsia. These plasma miRNAs might be used as notable biomarkers for diagnosis of preeclampsia. © 2013 Hailing Li et al.","author":[{"dropping-particle":"","family":"Li","given":"Hailing","non-dropping-particle":"","parse-names":false,"suffix":""},{"dropping-particle":"","family":"Ge","given":"Qinyu","non-dropping-particle":"","parse-names":false,"suffix":""},{"dropping-particle":"","family":"Guo","given":"Li","non-dropping-particle":"","parse-names":false,"suffix":""},{"dropping-particle":"","family":"Lu","given":"Zuhong","non-dropping-particle":"","parse-names":false,"suffix":""}],"container-title":"BioMed Research International","id":"ITEM-1","issued":{"date-parts":[["2013"]]},"page":"970265","title":"Maternal plasma miRNAs expression in preeclamptic pregnancies","type":"article-journal","volume":"2013"},"uris":["http://www.mendeley.com/documents/?uuid=7de901b7-e0e2-38e3-b4d4-aba3699e4d0d"]}],"mendeley":{"formattedCitation":"(Li et al., 2013a)","plainTextFormattedCitation":"(Li et al., 2013a)","previouslyFormattedCitation":"(Li et al., 2013a)"},"properties":{"noteIndex":0},"schema":"https://github.com/citation-style-language/schema/raw/master/csl-citation.json"}</w:instrText>
            </w:r>
            <w:r>
              <w:rPr>
                <w:sz w:val="18"/>
                <w:szCs w:val="18"/>
              </w:rPr>
              <w:fldChar w:fldCharType="separate"/>
            </w:r>
            <w:r w:rsidR="005E6D07" w:rsidRPr="005E6D07">
              <w:rPr>
                <w:noProof/>
                <w:sz w:val="18"/>
                <w:szCs w:val="18"/>
              </w:rPr>
              <w:t>(Li et al., 2013a)</w:t>
            </w:r>
            <w:r>
              <w:rPr>
                <w:sz w:val="18"/>
                <w:szCs w:val="18"/>
              </w:rPr>
              <w:fldChar w:fldCharType="end"/>
            </w:r>
          </w:p>
          <w:p w:rsidR="00C346EA"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C346EA">
              <w:rPr>
                <w:rFonts w:ascii="Cambria Math" w:hAnsi="Cambria Math" w:cs="Cambria Math"/>
                <w:sz w:val="18"/>
                <w:szCs w:val="18"/>
              </w:rPr>
              <w:instrText>∗</w:instrText>
            </w:r>
            <w:r w:rsidR="00C346EA">
              <w:rPr>
                <w:rFonts w:cs="Times New Roman"/>
                <w:sz w:val="18"/>
                <w:szCs w:val="18"/>
              </w:rPr>
              <w:instrText>, miR-130a, miR-135b, miR-142-3p, miR-149, miR-188</w:instrText>
            </w:r>
            <w:r w:rsidR="00C346EA">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C346EA" w:rsidRPr="00FF4CEA">
              <w:rPr>
                <w:noProof/>
                <w:sz w:val="18"/>
                <w:szCs w:val="18"/>
              </w:rPr>
              <w:t>(Yang et al., 2015)</w:t>
            </w:r>
            <w:r>
              <w:rPr>
                <w:sz w:val="18"/>
                <w:szCs w:val="18"/>
              </w:rPr>
              <w:fldChar w:fldCharType="end"/>
            </w:r>
          </w:p>
          <w:p w:rsidR="00C346EA"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C346EA">
              <w:rPr>
                <w:rFonts w:ascii="Cambria Math" w:hAnsi="Cambria Math" w:cs="Cambria Math"/>
                <w:sz w:val="18"/>
                <w:szCs w:val="18"/>
              </w:rPr>
              <w:instrText>∗</w:instrText>
            </w:r>
            <w:r w:rsidR="00C346EA">
              <w:rPr>
                <w:rFonts w:cs="Times New Roman"/>
                <w:sz w:val="18"/>
                <w:szCs w:val="18"/>
              </w:rPr>
              <w:instrText>, miR-130a, miR-135b, miR-142-3p, miR-149, miR-188</w:instrText>
            </w:r>
            <w:r w:rsidR="00C346EA">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C346EA"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29</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29a-3p</w:t>
            </w:r>
          </w:p>
        </w:tc>
        <w:tc>
          <w:tcPr>
            <w:tcW w:w="2136" w:type="dxa"/>
            <w:vAlign w:val="center"/>
          </w:tcPr>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MPB</w:t>
            </w:r>
          </w:p>
          <w:p w:rsidR="00460963" w:rsidRDefault="00460963" w:rsidP="009B2A14">
            <w:pPr>
              <w:spacing w:after="0"/>
              <w:jc w:val="center"/>
              <w:rPr>
                <w:sz w:val="18"/>
                <w:szCs w:val="18"/>
              </w:rPr>
            </w:pPr>
            <w:r>
              <w:rPr>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tc>
        <w:tc>
          <w:tcPr>
            <w:tcW w:w="2977" w:type="dxa"/>
          </w:tcPr>
          <w:p w:rsidR="00C346EA" w:rsidRDefault="00E33D6E" w:rsidP="00C346EA">
            <w:pPr>
              <w:spacing w:after="0"/>
              <w:jc w:val="center"/>
              <w:rPr>
                <w:sz w:val="18"/>
                <w:szCs w:val="18"/>
              </w:rPr>
            </w:pPr>
            <w:r>
              <w:rPr>
                <w:sz w:val="18"/>
                <w:szCs w:val="18"/>
              </w:rPr>
              <w:fldChar w:fldCharType="begin" w:fldLock="1"/>
            </w:r>
            <w:r w:rsidR="00C346EA">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C346EA"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{"citationItems":[{"id":"ITEM-1","itemData":{"DOI":"10.1016/j.ijcard.2019.05.036","abstract":"Background and methods: Gestational hypertension (GH), preeclampsia (PE) and fetal growth restriction (FGR) may predispose to later onset of cardiovascular/cerebrovascular diseases. We examined if pregnancy complications induce postpartum alterations in gene expression of cardiovascular/cerebrovascular disease associated microRNAs. 29 microRNAs were tested in peripheral blood of women, compared between groups with a history of GH, PE, FGR and controls, and correlated with the severity of the disease regarding clinical signs, delivery date, and Doppler parameters. Results: GH was associated with the up-regulation of miR-20a-5p, miR-143-3p, miR-146a-5p, miR-181a-5p, miR-199a-5p, miR-221-3p, and miR-499a-5p. The up-regulation of miR-17-5p, miR-20b-5p, miR-29a-3p, and miR-126-3p was a mutual phenomenon of GH and severe PE. GH and early PE were associated with up-regulation of miR-1-3p and miR-17-5p. GH and late PE showed up-regulation of miR-17-5p, miR-20b-5p, and miR-29a-3p. Severe PE induced up-regulation of miR-133a-3p and down-regulation of miR-130b-3p. MiR-133a-3p up-regulation was also observed in early PE. PE and/or FGR with abnormal Doppler parameters demonstrated up-regulation of miR-100-5p, miR-125b-5p, miR-133a-3p, and miR-145-5p. The combination screening was superior over using individual microRNAs for patients with GH, PE regardless of the severity of the disease, severe PE and early PE. A cardiovascular risk at patients with late PE, PE and/or FGR with abnormal Doppler parameters was identified more accurately using the single microRNA only. Conclusion: Epigenetic changes characteristic for cardiovascular/cerebrovascular diseases are present in women with a prior exposure to pregnancy complications. Screening of microRNAs may be used to identify patients at a higher risk of later development of cardiovascular/cerebrovascular diseases.","author":[{"dropping-particle":"","family":"Hromadnikova","given":"Ilona","non-dropping-particle":"","parse-names":false,"suffix":""},{"dropping-particle":"","family":"Kotlabova","given":"Katerina","non-dropping-particle":"","parse-names":false,"suffix":""},{"dropping-particle":"","family":"Dvorakova","given":"Lenka","non-dropping-particle":"","parse-names":false,"suffix":""},{"dropping-particle":"","family":"Krofta","given":"Ladislav","non-dropping-particle":"","parse-names":false,"suffix":""}],"container-title":"International Journal of Cardiology","id":"ITEM-1","issued":{"date-parts":[["2019"]]},"page":"158-167","publisher":"Elsevier Ireland Ltd","title":"Postpartum profiling of microRNAs involved in pathogenesis of cardiovascular/cerebrovascular diseases in women exposed to pregnancy-related complications","type":"article-journal","volume":"291"},"uris":["http://www.mendeley.com/documents/?uuid=21c8f59f-c373-3ad5-8ab8-4b4735893312"]}],"mendeley":{"formattedCitation":"(Hromadnikova et al., 2019b)","plainTextFormattedCitation":"(Hromadnikova et al., 2019b)","previouslyFormattedCitation":"(Hromadnikova et al., 2019b)"},"properties":{"noteIndex":0},"schema":"https://github.com/citation-style-language/schema/raw/master/csl-citation.json"}</w:instrText>
            </w:r>
            <w:r>
              <w:rPr>
                <w:sz w:val="18"/>
                <w:szCs w:val="18"/>
              </w:rPr>
              <w:fldChar w:fldCharType="separate"/>
            </w:r>
            <w:r w:rsidR="00C346EA" w:rsidRPr="00C346EA">
              <w:rPr>
                <w:noProof/>
                <w:sz w:val="18"/>
                <w:szCs w:val="18"/>
              </w:rPr>
              <w:t>(Hromadnikova et al., 2019b)</w:t>
            </w:r>
            <w:r>
              <w:rPr>
                <w:sz w:val="18"/>
                <w:szCs w:val="18"/>
              </w:rPr>
              <w:fldChar w:fldCharType="end"/>
            </w:r>
          </w:p>
          <w:p w:rsidR="00C346EA"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C346EA"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158</w:t>
            </w:r>
          </w:p>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517c</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color w:val="000000"/>
                <w:sz w:val="18"/>
                <w:szCs w:val="18"/>
              </w:rPr>
            </w:pPr>
            <w:r>
              <w:rPr>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Up in preterm PE</w:t>
            </w:r>
          </w:p>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C346EA" w:rsidRDefault="00E33D6E" w:rsidP="00C346EA">
            <w:pPr>
              <w:spacing w:after="0"/>
              <w:jc w:val="center"/>
              <w:rPr>
                <w:sz w:val="18"/>
                <w:szCs w:val="18"/>
              </w:rPr>
            </w:pPr>
            <w:r>
              <w:rPr>
                <w:sz w:val="18"/>
                <w:szCs w:val="18"/>
              </w:rPr>
              <w:fldChar w:fldCharType="begin" w:fldLock="1"/>
            </w:r>
            <w:r w:rsidR="00C346EA">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C346EA" w:rsidRPr="00947753">
              <w:rPr>
                <w:noProof/>
                <w:sz w:val="18"/>
                <w:szCs w:val="18"/>
              </w:rPr>
              <w:t>(Xu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{"citationItems":[{"id":"ITEM-1","itemData":{"DOI":"10.1371/journal.pone.0122707","abstract":"Preeclampsia is a pregnancy specific hypertensive disease that confers significant maternal and fetal risks. While the exact pathophysiology of preeclampsia is unknown, it is widely accepted that placental dysfunction is mechanistically involved. Recent studies reported aberrant expression of placenta-specific microRNAs (miRNAs) in preeclampsia including miR-517a/b and miR-517c. Using placental biopsies from a preeclampsia case-control study, we found increased expression of miR-517a/b in term and preterm preeclampsia vs controls, while, miR-517c was increased only in preterm preeclampsia vs controls. To determine if miR-517a/b and miR-517c are regulated by hypoxia, we treated first trimester primary extravillous trophoblast cells (EVTs) with a hypoxia mimetic and found both were induced. To test for a mechanistic role in placental function, we overexpressed miR-517a/b or miR-517c in EVTs which resulted in decreased trophoblast invasion. Additionally, we found that miR-517a/b and miR-517c overexpression increased expression of the antiangiogenic protein, sFLT1. The regulation of sFLT1 is mostly unknown, however, TNFSF15, a cytokine involved in FLT1 splicing, was also increased by miR-517a/b and miR-517c in EVTs. In summary, we demonstrate that miR-517a/b and miR-517c contribute to the development of preeclampsia and suggest that these miRNAs play a critical role in regulating trophoblast and placental function.","author":[{"dropping-particle":"","family":"Anton","given":"Lauren","non-dropping-particle":"","parse-names":false,"suffix":""},{"dropping-particle":"","family":"Olarerin-George","given":"Anthony O.","non-dropping-particle":"","parse-names":false,"suffix":""},{"dropping-particle":"","family":"Hogenesch","given":"John B.","non-dropping-particle":"","parse-names":false,"suffix":""},{"dropping-particle":"","family":"Elovitz","given":"Michal A.","non-dropping-particle":"","parse-names":false,"suffix":""}],"container-title":"PLoS ONE","id":"ITEM-1","issue":"3","issued":{"date-parts":[["2015"]]},"page":"e0122707","title":"Placental expression of miR-517a/b and miR-517c contributes to trophoblast dysfunction and preeclampsia","type":"article-journal","volume":"10"},"uris":["http://www.mendeley.com/documents/?uuid=e9222dec-c02e-3e42-a2d6-bb6b69ad442d"]}],"mendeley":{"formattedCitation":"(Anton et al., 2015)","plainTextFormattedCitation":"(Anton et al., 2015)","previouslyFormattedCitation":"(Anton et al., 2015)"},"properties":{"noteIndex":0},"schema":"https://github.com/citation-style-language/schema/raw/master/csl-citation.json"}</w:instrText>
            </w:r>
            <w:r>
              <w:rPr>
                <w:sz w:val="18"/>
                <w:szCs w:val="18"/>
              </w:rPr>
              <w:fldChar w:fldCharType="separate"/>
            </w:r>
            <w:r w:rsidR="00C346EA" w:rsidRPr="005E6D07">
              <w:rPr>
                <w:noProof/>
                <w:sz w:val="18"/>
                <w:szCs w:val="18"/>
              </w:rPr>
              <w:t>(Anton et al., 2015)</w:t>
            </w:r>
            <w:r>
              <w:rPr>
                <w:sz w:val="18"/>
                <w:szCs w:val="18"/>
              </w:rPr>
              <w:fldChar w:fldCharType="end"/>
            </w:r>
          </w:p>
          <w:p w:rsidR="00C346EA" w:rsidRDefault="00E33D6E" w:rsidP="00C346EA">
            <w:pPr>
              <w:spacing w:after="0"/>
              <w:jc w:val="center"/>
              <w:rPr>
                <w:sz w:val="18"/>
                <w:szCs w:val="18"/>
              </w:rPr>
            </w:pPr>
            <w:r>
              <w:rPr>
                <w:sz w:val="18"/>
                <w:szCs w:val="18"/>
              </w:rPr>
              <w:fldChar w:fldCharType="begin" w:fldLock="1"/>
            </w:r>
            <w:r w:rsidR="00C346EA">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C346EA">
              <w:rPr>
                <w:rFonts w:ascii="Cambria Math" w:hAnsi="Cambria Math" w:cs="Cambria Math"/>
                <w:sz w:val="18"/>
                <w:szCs w:val="18"/>
              </w:rPr>
              <w:instrText>∗</w:instrText>
            </w:r>
            <w:r w:rsidR="00C346EA">
              <w:rPr>
                <w:rFonts w:cs="Times New Roman"/>
                <w:sz w:val="18"/>
                <w:szCs w:val="18"/>
              </w:rPr>
              <w:instrText>, miR-130a, miR-135b, miR-142-3p, miR-149, miR-188</w:instrText>
            </w:r>
            <w:r w:rsidR="00C346EA">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C346EA" w:rsidRPr="00FF4CEA">
              <w:rPr>
                <w:noProof/>
                <w:sz w:val="18"/>
                <w:szCs w:val="18"/>
              </w:rPr>
              <w:t>(Yang et al., 2015)</w:t>
            </w:r>
            <w:r>
              <w:rPr>
                <w:sz w:val="18"/>
                <w:szCs w:val="18"/>
              </w:rPr>
              <w:fldChar w:fldCharType="end"/>
            </w:r>
          </w:p>
          <w:p w:rsidR="00C346EA" w:rsidRDefault="00E33D6E" w:rsidP="00C346EA">
            <w:pPr>
              <w:spacing w:after="0"/>
              <w:jc w:val="center"/>
              <w:rPr>
                <w:sz w:val="18"/>
                <w:szCs w:val="18"/>
              </w:rPr>
            </w:pPr>
            <w:r>
              <w:rPr>
                <w:sz w:val="18"/>
                <w:szCs w:val="18"/>
              </w:rPr>
              <w:fldChar w:fldCharType="begin" w:fldLock="1"/>
            </w:r>
            <w:r w:rsidR="00C346EA">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C346EA">
              <w:rPr>
                <w:rFonts w:ascii="Cambria Math" w:hAnsi="Cambria Math" w:cs="Cambria Math"/>
                <w:sz w:val="18"/>
                <w:szCs w:val="18"/>
              </w:rPr>
              <w:instrText>∗</w:instrText>
            </w:r>
            <w:r w:rsidR="00C346EA">
              <w:rPr>
                <w:rFonts w:cs="Times New Roman"/>
                <w:sz w:val="18"/>
                <w:szCs w:val="18"/>
              </w:rPr>
              <w:instrText>, miR-130a, miR-135b, miR-142-3p, miR-149, miR-188</w:instrText>
            </w:r>
            <w:r w:rsidR="00C346EA">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C346EA"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49</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lastRenderedPageBreak/>
              <w:t>130a</w:t>
            </w:r>
          </w:p>
        </w:tc>
        <w:tc>
          <w:tcPr>
            <w:tcW w:w="2136" w:type="dxa"/>
            <w:vAlign w:val="center"/>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color w:val="000000"/>
                <w:sz w:val="18"/>
                <w:szCs w:val="18"/>
              </w:rPr>
            </w:pPr>
            <w:r>
              <w:rPr>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C346EA" w:rsidRDefault="00E33D6E" w:rsidP="00C346EA">
            <w:pPr>
              <w:spacing w:after="0"/>
              <w:jc w:val="center"/>
              <w:rPr>
                <w:sz w:val="18"/>
                <w:szCs w:val="18"/>
              </w:rPr>
            </w:pPr>
            <w:r>
              <w:rPr>
                <w:sz w:val="18"/>
                <w:szCs w:val="18"/>
              </w:rPr>
              <w:fldChar w:fldCharType="begin" w:fldLock="1"/>
            </w:r>
            <w:r w:rsidR="00C346EA">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C346EA" w:rsidRPr="00947753">
              <w:rPr>
                <w:noProof/>
                <w:sz w:val="18"/>
                <w:szCs w:val="18"/>
              </w:rPr>
              <w:t>(Xu et al., 2019)</w:t>
            </w:r>
            <w:r>
              <w:rPr>
                <w:sz w:val="18"/>
                <w:szCs w:val="18"/>
              </w:rPr>
              <w:fldChar w:fldCharType="end"/>
            </w:r>
          </w:p>
          <w:p w:rsidR="00C346EA" w:rsidRDefault="00E33D6E" w:rsidP="00C346EA">
            <w:pPr>
              <w:spacing w:after="0"/>
              <w:jc w:val="center"/>
              <w:rPr>
                <w:sz w:val="18"/>
                <w:szCs w:val="18"/>
              </w:rPr>
            </w:pPr>
            <w:r>
              <w:rPr>
                <w:sz w:val="18"/>
                <w:szCs w:val="18"/>
              </w:rPr>
              <w:fldChar w:fldCharType="begin" w:fldLock="1"/>
            </w:r>
            <w:r w:rsidR="00C346EA">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C346EA">
              <w:rPr>
                <w:rFonts w:ascii="Cambria Math" w:hAnsi="Cambria Math" w:cs="Cambria Math"/>
                <w:sz w:val="18"/>
                <w:szCs w:val="18"/>
              </w:rPr>
              <w:instrText>∗</w:instrText>
            </w:r>
            <w:r w:rsidR="00C346EA">
              <w:rPr>
                <w:rFonts w:cs="Times New Roman"/>
                <w:sz w:val="18"/>
                <w:szCs w:val="18"/>
              </w:rPr>
              <w:instrText>, miR-130a, miR-135b, miR-142-3p, miR-149, miR-188</w:instrText>
            </w:r>
            <w:r w:rsidR="00C346EA">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C346EA" w:rsidRPr="00FF4CEA">
              <w:rPr>
                <w:noProof/>
                <w:sz w:val="18"/>
                <w:szCs w:val="18"/>
              </w:rPr>
              <w:t>(Yang et al., 2015)</w:t>
            </w:r>
            <w:r>
              <w:rPr>
                <w:sz w:val="18"/>
                <w:szCs w:val="18"/>
              </w:rPr>
              <w:fldChar w:fldCharType="end"/>
            </w:r>
          </w:p>
          <w:p w:rsidR="00460963" w:rsidRDefault="00E33D6E" w:rsidP="00C346EA">
            <w:pPr>
              <w:spacing w:after="0"/>
              <w:jc w:val="center"/>
              <w:rPr>
                <w:sz w:val="18"/>
                <w:szCs w:val="18"/>
              </w:rPr>
            </w:pPr>
            <w:r>
              <w:rPr>
                <w:sz w:val="18"/>
                <w:szCs w:val="18"/>
              </w:rPr>
              <w:fldChar w:fldCharType="begin" w:fldLock="1"/>
            </w:r>
            <w:r w:rsidR="00C346EA">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C346EA">
              <w:rPr>
                <w:rFonts w:ascii="Cambria Math" w:hAnsi="Cambria Math" w:cs="Cambria Math"/>
                <w:sz w:val="18"/>
                <w:szCs w:val="18"/>
              </w:rPr>
              <w:instrText>∗</w:instrText>
            </w:r>
            <w:r w:rsidR="00C346EA">
              <w:rPr>
                <w:rFonts w:cs="Times New Roman"/>
                <w:sz w:val="18"/>
                <w:szCs w:val="18"/>
              </w:rPr>
              <w:instrText>, miR-130a, miR-135b, miR-142-3p, miR-149, miR-188</w:instrText>
            </w:r>
            <w:r w:rsidR="00C346EA">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C346EA"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130a-3p</w:t>
            </w:r>
          </w:p>
        </w:tc>
        <w:tc>
          <w:tcPr>
            <w:tcW w:w="2136" w:type="dxa"/>
            <w:vAlign w:val="center"/>
          </w:tcPr>
          <w:p w:rsidR="00460963" w:rsidRPr="00903B12" w:rsidRDefault="00460963" w:rsidP="009B2A14">
            <w:pPr>
              <w:spacing w:after="0"/>
              <w:jc w:val="center"/>
              <w:rPr>
                <w:sz w:val="18"/>
                <w:szCs w:val="18"/>
              </w:rPr>
            </w:pPr>
            <w:r>
              <w:rPr>
                <w:sz w:val="18"/>
                <w:szCs w:val="18"/>
              </w:rPr>
              <w:t xml:space="preserve">MPB (plasma) </w:t>
            </w:r>
          </w:p>
        </w:tc>
        <w:tc>
          <w:tcPr>
            <w:tcW w:w="2859" w:type="dxa"/>
            <w:vAlign w:val="center"/>
          </w:tcPr>
          <w:p w:rsidR="00460963" w:rsidRDefault="00460963" w:rsidP="009B2A14">
            <w:pPr>
              <w:spacing w:after="0"/>
              <w:jc w:val="center"/>
              <w:rPr>
                <w:color w:val="000000"/>
                <w:sz w:val="18"/>
                <w:szCs w:val="18"/>
              </w:rPr>
            </w:pPr>
            <w:r>
              <w:rPr>
                <w:sz w:val="18"/>
                <w:szCs w:val="18"/>
              </w:rPr>
              <w:t>No difference in sPE at delivery and 1 year after</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C346EA" w:rsidRPr="00932CA1">
              <w:rPr>
                <w:noProof/>
                <w:sz w:val="18"/>
                <w:szCs w:val="18"/>
              </w:rPr>
              <w:t>(Murphy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29c</w:t>
            </w:r>
          </w:p>
        </w:tc>
        <w:tc>
          <w:tcPr>
            <w:tcW w:w="2136" w:type="dxa"/>
            <w:vAlign w:val="center"/>
          </w:tcPr>
          <w:p w:rsidR="00460963" w:rsidRDefault="00460963" w:rsidP="009B2A14">
            <w:pPr>
              <w:spacing w:after="0"/>
              <w:jc w:val="center"/>
              <w:rPr>
                <w:color w:val="000000"/>
                <w:sz w:val="18"/>
                <w:szCs w:val="18"/>
              </w:rPr>
            </w:pPr>
            <w:r>
              <w:rPr>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C346EA">
              <w:rPr>
                <w:sz w:val="18"/>
                <w:szCs w:val="18"/>
              </w:rPr>
              <w:instrText>ADDIN CSL_CITATION {"citationItems":[{"id":"ITEM-1","itemData":{"DOI":"10.1111/aji.13172","ISSN":"16000897","PMID":"31323164","abstract":"Problem: To investigate whether downregulation of miR-126-3p and vitamin D receptor (VDR) expression contributes to increased endothelial inflammatory response in preeclampsia. Methods of study: Maternal vessel miR-126-3p expression was assessed by in situ hybridization. VDR expression and VCAM-1 expression were determined by immunostaining. Subcutaneous adipose tissue sections from normotensive and preeclamptic pregnant women were used. HUVECs from normotensive deliveries were used to test anti-inflammatory effects of vitamin D and miR-126-3p in endothelial cells (ECs) treated with TNFα in vitro. 1,25(OH)2D3 was used as bioactive vitamin D. Transient overexpression of miR-126-3p in ECs was induced by transfection of pre-mir-126 precursor. Endothelial VCAM-1 and SOCS-3 expression or production was determined by Western blotting or by ELISA, respectively. Results: Reduced VDR and miR-126-3p expression, but increased VCAM-1 expression, was observed in maternal vessel endothelium in tissue sections from women with preeclampsia compared to normotensive pregnant controls. Transient overexpression of miR-126-3p not only attenuated upregulation of VCAM-1 expression and production, but also preserved downregulation of SOCS-3 expression, induced by TNFα in ECs. VDR expression and miR-126-3p expression were significantly upregulated in cells treated with 1,25(OH)2D3, but not in cells transfected with VDR siRNA. Conclusion: Downregulation of VDR and miR-126-3p expression was associated with upregulation of VCAM-1 expression in systemic vessel endothelium in preeclampsia. The finding of increased anti-inflammatory property by 1,25(OH)2D3 through promotion of VDR and miR-126-3p expression in ECs provide plausible evidence that vitamin D deficiency and downregulation of VDR expression could contribute to increased inflammatory phenotypic changes in maternal vasculature in preeclampsia.","author":[{"dropping-particle":"","family":"Xu","given":"Jie","non-dropping-particle":"","parse-names":false,"suffix":""},{"dropping-particle":"","family":"Gu","given":"Yang","non-dropping-particle":"","parse-names":false,"suffix":""},{"dropping-particle":"","family":"Lewis","given":"David F.","non-dropping-particle":"","parse-names":false,"suffix":""},{"dropping-particle":"","family":"Cooper","given":"Danielle B.","non-dropping-particle":"","parse-names":false,"suffix":""},{"dropping-particle":"","family":"McCathran","given":"Charles E.","non-dropping-particle":"","parse-names":false,"suffix":""},{"dropping-particle":"","family":"Wang","given":"Yuping","non-dropping-particle":"","parse-names":false,"suffix":""}],"container-title":"American Journal of Reproductive Immunology","id":"ITEM-1","issue":"4","issued":{"date-parts":[["2019","10","1"]]},"page":"e13172","publisher":"Blackwell Publishing Ltd","title":"Downregulation of vitamin D receptor and miR-126-3p expression contributes to increased endothelial inflammatory response in preeclampsia","type":"article-journal","volume":"82"},"uris":["http://www.mendeley.com/documents/?uuid=f1ca00e7-e461-3c3d-922a-a8e56b05345f"]}],"mendeley":{"formattedCitation":"(Xu et al., 2019)","plainTextFormattedCitation":"(Xu et al., 2019)","previouslyFormattedCitation":"(Xu et al., 2019)"},"properties":{"noteIndex":0},"schema":"https://github.com/citation-style-language/schema/raw/master/csl-citation.json"}</w:instrText>
            </w:r>
            <w:r>
              <w:rPr>
                <w:sz w:val="18"/>
                <w:szCs w:val="18"/>
              </w:rPr>
              <w:fldChar w:fldCharType="separate"/>
            </w:r>
            <w:r w:rsidR="00C346EA" w:rsidRPr="00947753">
              <w:rPr>
                <w:noProof/>
                <w:sz w:val="18"/>
                <w:szCs w:val="18"/>
              </w:rPr>
              <w:t>(Xu et al., 2019)</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223</w:t>
            </w:r>
          </w:p>
        </w:tc>
        <w:tc>
          <w:tcPr>
            <w:tcW w:w="2136" w:type="dxa"/>
            <w:vAlign w:val="center"/>
          </w:tcPr>
          <w:p w:rsidR="00460963" w:rsidRDefault="00460963" w:rsidP="009B2A14">
            <w:pPr>
              <w:spacing w:after="0"/>
              <w:jc w:val="center"/>
              <w:rPr>
                <w:color w:val="000000"/>
                <w:sz w:val="18"/>
                <w:szCs w:val="18"/>
              </w:rPr>
            </w:pPr>
            <w:r>
              <w:rPr>
                <w:color w:val="000000"/>
                <w:sz w:val="18"/>
                <w:szCs w:val="18"/>
              </w:rPr>
              <w:t xml:space="preserve">MPB </w:t>
            </w:r>
            <w:r w:rsidRPr="00EB6201">
              <w:rPr>
                <w:color w:val="000000"/>
                <w:sz w:val="18"/>
                <w:szCs w:val="18"/>
              </w:rPr>
              <w:t>(serum)</w:t>
            </w:r>
          </w:p>
          <w:p w:rsidR="00460963" w:rsidRDefault="00460963" w:rsidP="009B2A14">
            <w:pPr>
              <w:spacing w:after="0"/>
              <w:jc w:val="center"/>
              <w:rPr>
                <w:color w:val="000000"/>
                <w:sz w:val="18"/>
                <w:szCs w:val="18"/>
              </w:rPr>
            </w:pPr>
            <w:r>
              <w:rPr>
                <w:color w:val="000000"/>
                <w:sz w:val="18"/>
                <w:szCs w:val="18"/>
              </w:rPr>
              <w:t>MPB</w:t>
            </w:r>
          </w:p>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w:t>
            </w:r>
          </w:p>
          <w:p w:rsidR="00460963" w:rsidRPr="00903B12" w:rsidRDefault="00460963" w:rsidP="009B2A14">
            <w:pPr>
              <w:spacing w:after="0"/>
              <w:jc w:val="center"/>
              <w:rPr>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sidRPr="009B1EBF">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w:t>
            </w:r>
            <w:r w:rsidRPr="00EB6201">
              <w:rPr>
                <w:color w:val="000000"/>
                <w:sz w:val="18"/>
                <w:szCs w:val="18"/>
              </w:rPr>
              <w:t>es</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415B85">
              <w:rPr>
                <w:sz w:val="18"/>
                <w:szCs w:val="18"/>
              </w:rPr>
              <w:instrText>ADDIN CSL_CITATION {"citationItems":[{"id":"ITEM-1","itemData":{"DOI":"10.1016/j.cca.2011.07.029","abstract":"Background: Circulating miRNAs, as a new family of miRNAs existing in plasma and serum, had shown great potential to serve as a novel biomarker in body fluid for non-invasive diagnosis and prognosis of plenty kinds of disease, such as cancer and prenatal screening. Methods: In this present study, we analyzed the expression profiles of circulating miRNAs in the serum of four pregnant women with preeclampsia (PE) and one normal control of pregnant women, by the next generation sequencing technology. Results: By annotated the raw sequence reads with the databases of miRNA, genome and others small RNA library, miRNA was found to be the major composition of those small RNA-annotated reads. In the result of circulating miRNA profiles in serum, up to 573 distinct miRNAs were annotated to miRBase. The biological features of circulating miRNA in serum were consistent with those tissue/cell based miRNA in the database. Notably, 22 miRNAs were found to be dys-regulated expressed with PE. Compared to the normal control, 15 and 7 miRNAs were up-regulated and down-regulated respectively in each four PE samples. Among these 22 miRNAs, 3 dys-regulated miRNAs have been reported to be dys-regulated in the placentas of PE pregnancies. Conclusions: Results showed that circulating miRNAs in serum of pregnant women could be detected more comprehensive by the next generation sequencing technology. It also suggested that those PE-related miRNAs obtained in this study might be used as notable biomarkers for diagnosis and prognosis of PE. © 2011 Elsevier B.V.","author":[{"dropping-particle":"","family":"Yang","given":"Qi","non-dropping-particle":"","parse-names":false,"suffix":""},{"dropping-particle":"","family":"Lu","given":"Jiafeng","non-dropping-particle":"","parse-names":false,"suffix":""},{"dropping-particle":"","family":"Wang","given":"Shengqin","non-dropping-particle":"","parse-names":false,"suffix":""},{"dropping-particle":"","family":"Li","given":"Hailin","non-dropping-particle":"","parse-names":false,"suffix":""},{"dropping-particle":"","family":"Ge","given":"Qinyu","non-dropping-particle":"","parse-names":false,"suffix":""},{"dropping-particle":"","family":"Lu","given":"Zuhong","non-dropping-particle":"","parse-names":false,"suffix":""}],"container-title":"Clinica Chimica Acta","id":"ITEM-1","issue":"23-24","issued":{"date-parts":[["2011"]]},"page":"2167-2173","title":"Application of next-generation sequencing technology to profile the circulating microRNAs in the serum of preeclampsia versus normal pregnant women","type":"article-journal","volume":"412"},"uris":["http://www.mendeley.com/documents/?uuid=e63e5120-2f03-33d9-af4f-607d91526a62"]}],"mendeley":{"formattedCitation":"(Yang et al., 2011)","plainTextFormattedCitation":"(Yang et al., 2011)","previouslyFormattedCitation":"(Yang et al., 2011)"},"properties":{"noteIndex":0},"schema":"https://github.com/citation-style-language/schema/raw/master/csl-citation.json"}</w:instrText>
            </w:r>
            <w:r>
              <w:rPr>
                <w:sz w:val="18"/>
                <w:szCs w:val="18"/>
              </w:rPr>
              <w:fldChar w:fldCharType="separate"/>
            </w:r>
            <w:r w:rsidR="00C346EA" w:rsidRPr="00C346EA">
              <w:rPr>
                <w:noProof/>
                <w:sz w:val="18"/>
                <w:szCs w:val="18"/>
              </w:rPr>
              <w:t>(Yang et al., 2011)</w:t>
            </w:r>
            <w:r>
              <w:rPr>
                <w:sz w:val="18"/>
                <w:szCs w:val="18"/>
              </w:rPr>
              <w:fldChar w:fldCharType="end"/>
            </w:r>
          </w:p>
          <w:p w:rsidR="008D11D7" w:rsidRDefault="00E33D6E" w:rsidP="008D11D7">
            <w:pPr>
              <w:spacing w:after="0"/>
              <w:jc w:val="center"/>
              <w:rPr>
                <w:sz w:val="18"/>
                <w:szCs w:val="18"/>
              </w:rPr>
            </w:pPr>
            <w:r>
              <w:rPr>
                <w:sz w:val="18"/>
                <w:szCs w:val="18"/>
              </w:rPr>
              <w:fldChar w:fldCharType="begin" w:fldLock="1"/>
            </w:r>
            <w:r w:rsidR="008D11D7">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8D11D7" w:rsidRPr="00FA32AE">
              <w:rPr>
                <w:noProof/>
                <w:sz w:val="18"/>
                <w:szCs w:val="18"/>
              </w:rPr>
              <w:t>(Winger et al., 2015)</w:t>
            </w:r>
            <w:r>
              <w:rPr>
                <w:sz w:val="18"/>
                <w:szCs w:val="18"/>
              </w:rPr>
              <w:fldChar w:fldCharType="end"/>
            </w:r>
          </w:p>
          <w:p w:rsidR="008D11D7" w:rsidRDefault="00E33D6E" w:rsidP="008D11D7">
            <w:pPr>
              <w:spacing w:after="0"/>
              <w:jc w:val="center"/>
              <w:rPr>
                <w:sz w:val="18"/>
                <w:szCs w:val="18"/>
              </w:rPr>
            </w:pPr>
            <w:r>
              <w:rPr>
                <w:sz w:val="18"/>
                <w:szCs w:val="18"/>
              </w:rPr>
              <w:fldChar w:fldCharType="begin" w:fldLock="1"/>
            </w:r>
            <w:r w:rsidR="008D11D7">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8D11D7" w:rsidRPr="00FA32AE">
              <w:rPr>
                <w:noProof/>
                <w:sz w:val="18"/>
                <w:szCs w:val="18"/>
              </w:rPr>
              <w:t>(Xu et al., 2014)</w:t>
            </w:r>
            <w:r>
              <w:rPr>
                <w:sz w:val="18"/>
                <w:szCs w:val="18"/>
              </w:rPr>
              <w:fldChar w:fldCharType="end"/>
            </w:r>
          </w:p>
          <w:p w:rsidR="008D11D7" w:rsidRDefault="00E33D6E" w:rsidP="008D11D7">
            <w:pPr>
              <w:spacing w:after="0"/>
              <w:jc w:val="center"/>
              <w:rPr>
                <w:sz w:val="18"/>
                <w:szCs w:val="18"/>
              </w:rPr>
            </w:pPr>
            <w:r>
              <w:rPr>
                <w:sz w:val="18"/>
                <w:szCs w:val="18"/>
              </w:rPr>
              <w:fldChar w:fldCharType="begin" w:fldLock="1"/>
            </w:r>
            <w:r w:rsidR="008D11D7">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8D11D7" w:rsidRPr="00FA32AE">
              <w:rPr>
                <w:noProof/>
                <w:sz w:val="18"/>
                <w:szCs w:val="18"/>
              </w:rPr>
              <w:t>(Xu et al., 2014)</w:t>
            </w:r>
            <w:r>
              <w:rPr>
                <w:sz w:val="18"/>
                <w:szCs w:val="18"/>
              </w:rPr>
              <w:fldChar w:fldCharType="end"/>
            </w:r>
          </w:p>
          <w:p w:rsidR="00415B85" w:rsidRDefault="00E33D6E" w:rsidP="00415B85">
            <w:pPr>
              <w:spacing w:after="0"/>
              <w:jc w:val="center"/>
              <w:rPr>
                <w:sz w:val="18"/>
                <w:szCs w:val="18"/>
              </w:rPr>
            </w:pPr>
            <w:r>
              <w:rPr>
                <w:sz w:val="18"/>
                <w:szCs w:val="18"/>
              </w:rPr>
              <w:fldChar w:fldCharType="begin" w:fldLock="1"/>
            </w:r>
            <w:r w:rsidR="00415B85">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415B85">
              <w:rPr>
                <w:rFonts w:ascii="MS Mincho" w:eastAsia="MS Mincho" w:hAnsi="MS Mincho" w:cs="MS Mincho" w:hint="eastAsia"/>
                <w:sz w:val="18"/>
                <w:szCs w:val="18"/>
              </w:rPr>
              <w:instrText>‑</w:instrText>
            </w:r>
            <w:r w:rsidR="00415B85">
              <w:rPr>
                <w:rFonts w:cs="Times New Roman"/>
                <w:sz w:val="18"/>
                <w:szCs w:val="18"/>
              </w:rPr>
              <w:instrText>eclampsia o</w:instrText>
            </w:r>
            <w:r w:rsidR="00415B85">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415B85" w:rsidRPr="00FA32AE">
              <w:rPr>
                <w:noProof/>
                <w:sz w:val="18"/>
                <w:szCs w:val="18"/>
              </w:rPr>
              <w:t>(Vashukova et al., 2016)</w:t>
            </w:r>
            <w:r>
              <w:rPr>
                <w:sz w:val="18"/>
                <w:szCs w:val="18"/>
              </w:rPr>
              <w:fldChar w:fldCharType="end"/>
            </w:r>
          </w:p>
          <w:p w:rsidR="008D11D7"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{"citationItems":[{"id":"ITEM-1","itemData":{"abstract":"Increasing evidence indicated that the dysregulation of trophoblast cell proliferation and invasion might play a central role in the pathogenesis of preeclampsia. MicroRNAs (miRs) are critical in the regulation of the patho-genesis of preeclampsia and a reduction or increase in the expression of certain miRs can mediate the proliferative and invasive activities of trophoblast cells. In the present study, we aimed to explore the effects and underlying mechanism of miR-223 on the proliferation and invasion of trophoblast cells. Real time PCR results showed that the expression of miR-223 was significantly down-regulated whereas STAT3 was high expression in preeclamptic patients. MiR-223 mimics markedly promoted trophoblast cell survival, proliferation and invasion, while inhibition of miR-223 expression has been shown to impede trophoblast cell survival, proliferation and invasion. Dual-luciferase reporter assay was confirmed that STAT3 is a direct target for miR-223, and miR-223 mimics strikingly inhibited the mRNA and protein expression of STAT3. Overexpression of STAT3 reversed the proliferation and invasion promoting effect of miR-223 in JEG-3 cells. These findings emphasized the essential role of miR-223 and opened new avenues and provide a mew target for diagnosis and treatment for preeclampsia.","author":[{"dropping-particle":"","family":"Meng","given":"Hai-Xia","non-dropping-particle":"","parse-names":false,"suffix":""},{"dropping-particle":"","family":"Xu","given":"Li-Na","non-dropping-particle":"","parse-names":false,"suffix":""},{"dropping-particle":"","family":"Jing","given":"Guo","non-dropping-particle":"","parse-names":false,"suffix":""},{"dropping-particle":"","family":"Qian","given":"Li","non-dropping-particle":"","parse-names":false,"suffix":""},{"dropping-particle":"","family":"Qi","given":"Mu-Ge","non-dropping-particle":"","parse-names":false,"suffix":""}],"container-title":"Int J Clin Exp Med","id":"ITEM-1","issue":"4","issued":{"date-parts":[["2017"]]},"page":"6577-6585","title":"MiR-223 promotes trophoblast cell survival and invasion by targeting STAT3 in preeclampsia","type":"article-journal","volume":"10"},"uris":["http://www.mendeley.com/documents/?uuid=de1c366a-7a9f-3f4e-8d38-1fc208113ee7"]}],"mendeley":{"formattedCitation":"(Meng et al., 2017)","plainTextFormattedCitation":"(Meng et al., 2017)","previouslyFormattedCitation":"(Meng et al., 2017)"},"properties":{"noteIndex":0},"schema":"https://github.com/citation-style-language/schema/raw/master/csl-citation.json"}</w:instrText>
            </w:r>
            <w:r>
              <w:rPr>
                <w:sz w:val="18"/>
                <w:szCs w:val="18"/>
              </w:rPr>
              <w:fldChar w:fldCharType="separate"/>
            </w:r>
            <w:r w:rsidR="00415B85" w:rsidRPr="00415B85">
              <w:rPr>
                <w:noProof/>
                <w:sz w:val="18"/>
                <w:szCs w:val="18"/>
              </w:rPr>
              <w:t>(Meng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11</w:t>
            </w:r>
          </w:p>
          <w:p w:rsidR="00460963" w:rsidRDefault="00460963" w:rsidP="009B2A14">
            <w:pPr>
              <w:spacing w:after="0"/>
              <w:jc w:val="center"/>
              <w:rPr>
                <w:sz w:val="18"/>
                <w:szCs w:val="18"/>
              </w:rPr>
            </w:pPr>
            <w:r>
              <w:rPr>
                <w:sz w:val="18"/>
                <w:szCs w:val="18"/>
              </w:rPr>
              <w:t>44</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74</w:t>
            </w:r>
          </w:p>
          <w:p w:rsidR="00460963" w:rsidRDefault="00460963" w:rsidP="009B2A14">
            <w:pPr>
              <w:spacing w:after="0"/>
              <w:jc w:val="center"/>
              <w:rPr>
                <w:sz w:val="18"/>
                <w:szCs w:val="18"/>
              </w:rPr>
            </w:pPr>
            <w:r>
              <w:rPr>
                <w:sz w:val="18"/>
                <w:szCs w:val="18"/>
              </w:rPr>
              <w:t>105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let-7d</w:t>
            </w:r>
          </w:p>
        </w:tc>
        <w:tc>
          <w:tcPr>
            <w:tcW w:w="2136" w:type="dxa"/>
            <w:vAlign w:val="center"/>
          </w:tcPr>
          <w:p w:rsidR="00460963" w:rsidRDefault="00460963" w:rsidP="009B2A14">
            <w:pPr>
              <w:spacing w:after="0"/>
              <w:jc w:val="center"/>
              <w:rPr>
                <w:color w:val="000000"/>
                <w:sz w:val="18"/>
                <w:szCs w:val="18"/>
              </w:rPr>
            </w:pPr>
            <w:r w:rsidRPr="00944061">
              <w:rPr>
                <w:color w:val="000000"/>
                <w:sz w:val="18"/>
                <w:szCs w:val="18"/>
              </w:rPr>
              <w:t>MPB (serum)</w:t>
            </w:r>
          </w:p>
          <w:p w:rsidR="00460963" w:rsidRPr="00903B12" w:rsidRDefault="00460963" w:rsidP="009B2A14">
            <w:pPr>
              <w:spacing w:after="0"/>
              <w:jc w:val="center"/>
              <w:rPr>
                <w:sz w:val="18"/>
                <w:szCs w:val="18"/>
              </w:rPr>
            </w:pPr>
            <w:r>
              <w:rPr>
                <w:color w:val="000000"/>
                <w:sz w:val="18"/>
                <w:szCs w:val="18"/>
              </w:rPr>
              <w:t>Placenta (trophoblast cells)</w:t>
            </w:r>
          </w:p>
        </w:tc>
        <w:tc>
          <w:tcPr>
            <w:tcW w:w="2859" w:type="dxa"/>
            <w:vAlign w:val="center"/>
          </w:tcPr>
          <w:p w:rsidR="00460963" w:rsidRDefault="00460963" w:rsidP="009B2A14">
            <w:pPr>
              <w:spacing w:after="0"/>
              <w:jc w:val="center"/>
              <w:rPr>
                <w:color w:val="000000"/>
                <w:sz w:val="18"/>
                <w:szCs w:val="18"/>
              </w:rPr>
            </w:pPr>
            <w:r w:rsidRPr="009B1EBF">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{"citationItems":[{"id":"ITEM-1","itemData":{"DOI":"10.1016/j.cca.2011.07.029","abstract":"Background: Circulating miRNAs, as a new family of miRNAs existing in plasma and serum, had shown great potential to serve as a novel biomarker in body fluid for non-invasive diagnosis and prognosis of plenty kinds of disease, such as cancer and prenatal screening. Methods: In this present study, we analyzed the expression profiles of circulating miRNAs in the serum of four pregnant women with preeclampsia (PE) and one normal control of pregnant women, by the next generation sequencing technology. Results: By annotated the raw sequence reads with the databases of miRNA, genome and others small RNA library, miRNA was found to be the major composition of those small RNA-annotated reads. In the result of circulating miRNA profiles in serum, up to 573 distinct miRNAs were annotated to miRBase. The biological features of circulating miRNA in serum were consistent with those tissue/cell based miRNA in the database. Notably, 22 miRNAs were found to be dys-regulated expressed with PE. Compared to the normal control, 15 and 7 miRNAs were up-regulated and down-regulated respectively in each four PE samples. Among these 22 miRNAs, 3 dys-regulated miRNAs have been reported to be dys-regulated in the placentas of PE pregnancies. Conclusions: Results showed that circulating miRNAs in serum of pregnant women could be detected more comprehensive by the next generation sequencing technology. It also suggested that those PE-related miRNAs obtained in this study might be used as notable biomarkers for diagnosis and prognosis of PE. © 2011 Elsevier B.V.","author":[{"dropping-particle":"","family":"Yang","given":"Qi","non-dropping-particle":"","parse-names":false,"suffix":""},{"dropping-particle":"","family":"Lu","given":"Jiafeng","non-dropping-particle":"","parse-names":false,"suffix":""},{"dropping-particle":"","family":"Wang","given":"Shengqin","non-dropping-particle":"","parse-names":false,"suffix":""},{"dropping-particle":"","family":"Li","given":"Hailin","non-dropping-particle":"","parse-names":false,"suffix":""},{"dropping-particle":"","family":"Ge","given":"Qinyu","non-dropping-particle":"","parse-names":false,"suffix":""},{"dropping-particle":"","family":"Lu","given":"Zuhong","non-dropping-particle":"","parse-names":false,"suffix":""}],"container-title":"Clinica Chimica Acta","id":"ITEM-1","issue":"23-24","issued":{"date-parts":[["2011"]]},"page":"2167-2173","title":"Application of next-generation sequencing technology to profile the circulating microRNAs in the serum of preeclampsia versus normal pregnant women","type":"article-journal","volume":"412"},"uris":["http://www.mendeley.com/documents/?uuid=e63e5120-2f03-33d9-af4f-607d91526a62"]}],"mendeley":{"formattedCitation":"(Yang et al., 2011)","plainTextFormattedCitation":"(Yang et al., 2011)","previouslyFormattedCitation":"(Yang et al., 2011)"},"properties":{"noteIndex":0},"schema":"https://github.com/citation-style-language/schema/raw/master/csl-citation.json"}</w:instrText>
            </w:r>
            <w:r>
              <w:rPr>
                <w:sz w:val="18"/>
                <w:szCs w:val="18"/>
              </w:rPr>
              <w:fldChar w:fldCharType="separate"/>
            </w:r>
            <w:r w:rsidR="00691318" w:rsidRPr="00C346EA">
              <w:rPr>
                <w:noProof/>
                <w:sz w:val="18"/>
                <w:szCs w:val="18"/>
              </w:rPr>
              <w:t>(Yang et al., 2011)</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{"citationItems":[{"id":"ITEM-1","itemData":{"DOI":"10.1002/jcb.26282","abstract":"Preeclampsia (PE) is a serious pregnancy complication that continues to adverse effects on mother and the fetus. The study investigated the effect of microRNA let-7d (miR-let-7d) on the proliferation and invasion of trophoblast cells (TC) in PE. In situ hybridization techniques were employed to evaluate the miR-let-7d expressions in the placental tissues from 63 PE patients as well as 65 normal placental tissues. Transfection of pre-let-7d, anti-let-7d, and their corresponding control sequences was performed in TCs obtained from PE. The blank group was composed of TCs no transfection and normal group consisted of normal TCs. Expressions of proliferation and invasion markers in TCs were detected by qRT-PCR. Proliferation, apoptosis, and the invasion ability of the TCs were determined using a CCK-8 assay, flow cytometry, and Transwell assay. In comparison to the normal placental tissues, PE placental tissues exhibited increased levels of let-7d expression. Following transfection of anti-let-7d, when compared with the blank group, the anti-let-7d group displayed increased levels of proliferation ability, expression of proliferation labeling proteins PCNA and Ki67, number of TCs as well as expressions of the invasion related proteins MMP-2, MMP-9, and TIMP-1. In contrast declines in cell apoptosis rate were observed. Compared with the blank group, the changes of the indexes were reversed in the pre-let-7d group. The study provided evidence suggesting that low expression levels of miR-let-7d plays a central role in suppressing apoptosis in addition to promoting the proliferation and invasion of PE TCs.","author":[{"dropping-particle":"","family":"Dai","given":"Xu","non-dropping-particle":"","parse-names":false,"suffix":""},{"dropping-particle":"","family":"Cai","given":"Yan","non-dropping-particle":"","parse-names":false,"suffix":""}],"container-title":"Journal of Cellular Biochemistry","id":"ITEM-1","issue":"1","issued":{"date-parts":[["2018"]]},"page":"1141-1151","title":"Down-regulation of microRNA let-7d inhibits the proliferation and invasion of trophoblast cells in preeclampsia","type":"article-journal","volume":"119"},"uris":["http://www.mendeley.com/documents/?uuid=7948d5a2-262f-33c0-a87c-f7504dec2ed4"]}],"mendeley":{"formattedCitation":"(Dai and Cai, 2018)","plainTextFormattedCitation":"(Dai and Cai, 2018)","previouslyFormattedCitation":"(Dai and Cai, 2018)"},"properties":{"noteIndex":0},"schema":"https://github.com/citation-style-language/schema/raw/master/csl-citation.json"}</w:instrText>
            </w:r>
            <w:r>
              <w:rPr>
                <w:sz w:val="18"/>
                <w:szCs w:val="18"/>
              </w:rPr>
              <w:fldChar w:fldCharType="separate"/>
            </w:r>
            <w:r w:rsidR="00691318" w:rsidRPr="00691318">
              <w:rPr>
                <w:noProof/>
                <w:sz w:val="18"/>
                <w:szCs w:val="18"/>
              </w:rPr>
              <w:t>(Dai and Cai,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11</w:t>
            </w:r>
          </w:p>
          <w:p w:rsidR="00460963" w:rsidRDefault="00460963" w:rsidP="009B2A14">
            <w:pPr>
              <w:spacing w:after="0"/>
              <w:jc w:val="center"/>
              <w:rPr>
                <w:sz w:val="18"/>
                <w:szCs w:val="18"/>
              </w:rPr>
            </w:pPr>
            <w:r>
              <w:rPr>
                <w:sz w:val="18"/>
                <w:szCs w:val="18"/>
              </w:rPr>
              <w:t>122</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let-7f-5p</w:t>
            </w:r>
          </w:p>
        </w:tc>
        <w:tc>
          <w:tcPr>
            <w:tcW w:w="2136" w:type="dxa"/>
            <w:vAlign w:val="center"/>
          </w:tcPr>
          <w:p w:rsidR="00460963" w:rsidRPr="00944061"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9B1EBF" w:rsidRDefault="00460963" w:rsidP="009B2A14">
            <w:pPr>
              <w:spacing w:after="0"/>
              <w:jc w:val="center"/>
              <w:rPr>
                <w:color w:val="000000"/>
                <w:sz w:val="18"/>
                <w:szCs w:val="18"/>
              </w:rPr>
            </w:pPr>
            <w:r>
              <w:rPr>
                <w:color w:val="000000"/>
                <w:sz w:val="18"/>
                <w:szCs w:val="18"/>
              </w:rPr>
              <w:t>No difference in sPE at delivery and 1 year after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691318" w:rsidRPr="00932CA1">
              <w:rPr>
                <w:noProof/>
                <w:sz w:val="18"/>
                <w:szCs w:val="18"/>
              </w:rPr>
              <w:t>(Murphy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let-7f</w:t>
            </w:r>
          </w:p>
        </w:tc>
        <w:tc>
          <w:tcPr>
            <w:tcW w:w="2136" w:type="dxa"/>
            <w:vAlign w:val="center"/>
          </w:tcPr>
          <w:p w:rsidR="00460963" w:rsidRDefault="00460963" w:rsidP="009B2A14">
            <w:pPr>
              <w:spacing w:after="0"/>
              <w:jc w:val="center"/>
              <w:rPr>
                <w:color w:val="000000"/>
                <w:sz w:val="18"/>
                <w:szCs w:val="18"/>
              </w:rPr>
            </w:pPr>
            <w:r w:rsidRPr="00944061">
              <w:rPr>
                <w:color w:val="000000"/>
                <w:sz w:val="18"/>
                <w:szCs w:val="18"/>
              </w:rPr>
              <w:t>MPB (serum)</w:t>
            </w:r>
          </w:p>
          <w:p w:rsidR="00460963" w:rsidRPr="00903B12" w:rsidRDefault="00460963" w:rsidP="009B2A14">
            <w:pPr>
              <w:spacing w:after="0"/>
              <w:jc w:val="center"/>
              <w:rPr>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sidRPr="009B1EBF">
              <w:rPr>
                <w:color w:val="000000"/>
                <w:sz w:val="18"/>
                <w:szCs w:val="18"/>
              </w:rPr>
              <w:t>Up in sPE</w:t>
            </w:r>
          </w:p>
          <w:p w:rsidR="00460963"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{"citationItems":[{"id":"ITEM-1","itemData":{"DOI":"10.1016/j.cca.2011.07.029","abstract":"Background: Circulating miRNAs, as a new family of miRNAs existing in plasma and serum, had shown great potential to serve as a novel biomarker in body fluid for non-invasive diagnosis and prognosis of plenty kinds of disease, such as cancer and prenatal screening. Methods: In this present study, we analyzed the expression profiles of circulating miRNAs in the serum of four pregnant women with preeclampsia (PE) and one normal control of pregnant women, by the next generation sequencing technology. Results: By annotated the raw sequence reads with the databases of miRNA, genome and others small RNA library, miRNA was found to be the major composition of those small RNA-annotated reads. In the result of circulating miRNA profiles in serum, up to 573 distinct miRNAs were annotated to miRBase. The biological features of circulating miRNA in serum were consistent with those tissue/cell based miRNA in the database. Notably, 22 miRNAs were found to be dys-regulated expressed with PE. Compared to the normal control, 15 and 7 miRNAs were up-regulated and down-regulated respectively in each four PE samples. Among these 22 miRNAs, 3 dys-regulated miRNAs have been reported to be dys-regulated in the placentas of PE pregnancies. Conclusions: Results showed that circulating miRNAs in serum of pregnant women could be detected more comprehensive by the next generation sequencing technology. It also suggested that those PE-related miRNAs obtained in this study might be used as notable biomarkers for diagnosis and prognosis of PE. © 2011 Elsevier B.V.","author":[{"dropping-particle":"","family":"Yang","given":"Qi","non-dropping-particle":"","parse-names":false,"suffix":""},{"dropping-particle":"","family":"Lu","given":"Jiafeng","non-dropping-particle":"","parse-names":false,"suffix":""},{"dropping-particle":"","family":"Wang","given":"Shengqin","non-dropping-particle":"","parse-names":false,"suffix":""},{"dropping-particle":"","family":"Li","given":"Hailin","non-dropping-particle":"","parse-names":false,"suffix":""},{"dropping-particle":"","family":"Ge","given":"Qinyu","non-dropping-particle":"","parse-names":false,"suffix":""},{"dropping-particle":"","family":"Lu","given":"Zuhong","non-dropping-particle":"","parse-names":false,"suffix":""}],"container-title":"Clinica Chimica Acta","id":"ITEM-1","issue":"23-24","issued":{"date-parts":[["2011"]]},"page":"2167-2173","title":"Application of next-generation sequencing technology to profile the circulating microRNAs in the serum of preeclampsia versus normal pregnant women","type":"article-journal","volume":"412"},"uris":["http://www.mendeley.com/documents/?uuid=e63e5120-2f03-33d9-af4f-607d91526a62"]}],"mendeley":{"formattedCitation":"(Yang et al., 2011)","plainTextFormattedCitation":"(Yang et al., 2011)","previouslyFormattedCitation":"(Yang et al., 2011)"},"properties":{"noteIndex":0},"schema":"https://github.com/citation-style-language/schema/raw/master/csl-citation.json"}</w:instrText>
            </w:r>
            <w:r>
              <w:rPr>
                <w:sz w:val="18"/>
                <w:szCs w:val="18"/>
              </w:rPr>
              <w:fldChar w:fldCharType="separate"/>
            </w:r>
            <w:r w:rsidR="00691318" w:rsidRPr="00C346EA">
              <w:rPr>
                <w:noProof/>
                <w:sz w:val="18"/>
                <w:szCs w:val="18"/>
              </w:rPr>
              <w:t>(Yang et al., 2011)</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691318">
              <w:rPr>
                <w:rFonts w:ascii="MS Mincho" w:eastAsia="MS Mincho" w:hAnsi="MS Mincho" w:cs="MS Mincho" w:hint="eastAsia"/>
                <w:sz w:val="18"/>
                <w:szCs w:val="18"/>
              </w:rPr>
              <w:instrText>‑</w:instrText>
            </w:r>
            <w:r w:rsidR="00691318">
              <w:rPr>
                <w:rFonts w:cs="Times New Roman"/>
                <w:sz w:val="18"/>
                <w:szCs w:val="18"/>
              </w:rPr>
              <w:instrText>eclampsia o</w:instrText>
            </w:r>
            <w:r w:rsidR="00691318">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691318"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11</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34c</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(villi)</w:t>
            </w:r>
          </w:p>
          <w:p w:rsidR="00460963" w:rsidRDefault="00460963" w:rsidP="009B2A14">
            <w:pPr>
              <w:spacing w:after="0"/>
              <w:jc w:val="center"/>
              <w:rPr>
                <w:color w:val="000000"/>
                <w:sz w:val="18"/>
                <w:szCs w:val="18"/>
              </w:rPr>
            </w:pPr>
            <w:r>
              <w:rPr>
                <w:color w:val="000000"/>
                <w:sz w:val="18"/>
                <w:szCs w:val="18"/>
              </w:rPr>
              <w:t>Placenta</w:t>
            </w:r>
          </w:p>
          <w:p w:rsidR="00460963" w:rsidRPr="0094406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no difference</w:t>
            </w:r>
          </w:p>
          <w:p w:rsidR="00460963" w:rsidRDefault="00460963" w:rsidP="009B2A14">
            <w:pPr>
              <w:spacing w:after="0"/>
              <w:jc w:val="center"/>
              <w:rPr>
                <w:color w:val="000000"/>
                <w:sz w:val="18"/>
                <w:szCs w:val="18"/>
              </w:rPr>
            </w:pPr>
            <w:r>
              <w:rPr>
                <w:color w:val="000000"/>
                <w:sz w:val="18"/>
                <w:szCs w:val="18"/>
              </w:rPr>
              <w:t>Up in sPE</w:t>
            </w:r>
          </w:p>
          <w:p w:rsidR="00460963" w:rsidRPr="009B1EBF"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{"citationItems":[{"id":"ITEM-1","itemData":{"DOI":"10.1016/j.placenta.2012.07.002","abstract":"Preeclampsia (PE) affects 5-8% of all pregnancies and is associated with significant maternal and fetal morbidity and mortality. Placental mitochondrial dysfunction has been reported in PE. MicroRNAs (miRNA) are small non-coding RNAs that regulate gene expression through mRNA degradation and translational repression. MiR-210 has been previously shown to be upregulated in placentas from pregnancies complicated by PE. We hypothesized that placental mitochondrial dysfunction during PE can be mediated by miR-210. Placentas were collected at term from normotensive pregnancies (CTRL) and those complicated by severe PE (n = 6 each) following c-section (no labor). Villous tissue from PE showed significantly increased levels of HIF-1α compared to CTRL with no change in corresponding mRNA expression but with reduced DNA-binding activity. Mitochondrial complex III was significantly decreased in PE along with significantly reduced protein expression in complex I and IV during PE. Among the four miRNAs tested, miR-210 showed significant up regulation in PE and significant downregulation of its target, ISCU mRNA. To understand the role of miR-210 in PE, loss- and gain-of-function studies were performed using primary trophoblasts. Trophoblasts were transfected with miR-210 inhibitor or pre-miR-210 and mitochondrial function was measured using Seahorse Extracellular Flux Analyzer. Cells transfected with pre-miR-210 showed significant reduction in oxygen consumption. In contrast, transfection of trophoblast with AntagomiR-210 was sufficient to prevent the DFO-mediated respiratory deficiency. These data collectively suggest that miR-210 overexpression during PE could be responsible for placental mitochondria dysfunction. © 2012 Elsevier Ltd. All rights reserved.","author":[{"dropping-particle":"","family":"Muralimanoharan","given":"S.","non-dropping-particle":"","parse-names":false,"suffix":""},{"dropping-particle":"","family":"Maloyan","given":"A.","non-dropping-particle":"","parse-names":false,"suffix":""},{"dropping-particle":"","family":"Mele","given":"J.","non-dropping-particle":"","parse-names":false,"suffix":""},{"dropping-particle":"","family":"Guo","given":"C.","non-dropping-particle":"","parse-names":false,"suffix":""},{"dropping-particle":"","family":"Myatt","given":"L. G.","non-dropping-particle":"","parse-names":false,"suffix":""},{"dropping-particle":"","family":"Myatt","given":"L.","non-dropping-particle":"","parse-names":false,"suffix":""}],"container-title":"Placenta","id":"ITEM-1","issue":"10","issued":{"date-parts":[["2012"]]},"page":"816-823","title":"MIR-210 modulates mitochondrial respiration in placenta with preeclampsia","type":"article-journal","volume":"33"},"uris":["http://www.mendeley.com/documents/?uuid=7d72b5a2-9c94-3b18-a187-15a436f75c4e"]}],"mendeley":{"formattedCitation":"(Muralimanoharan et al., 2012)","plainTextFormattedCitation":"(Muralimanoharan et al., 2012)","previouslyFormattedCitation":"(Muralimanoharan et al., 2012)"},"properties":{"noteIndex":0},"schema":"https://github.com/citation-style-language/schema/raw/master/csl-citation.json"}</w:instrText>
            </w:r>
            <w:r>
              <w:rPr>
                <w:sz w:val="18"/>
                <w:szCs w:val="18"/>
              </w:rPr>
              <w:fldChar w:fldCharType="separate"/>
            </w:r>
            <w:r w:rsidR="00691318" w:rsidRPr="00460963">
              <w:rPr>
                <w:noProof/>
                <w:sz w:val="18"/>
                <w:szCs w:val="18"/>
              </w:rPr>
              <w:t>(Muralimanoharan et al., 2012)</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E74CAA">
              <w:rPr>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sz w:val="18"/>
                <w:szCs w:val="18"/>
              </w:rPr>
              <w:fldChar w:fldCharType="separate"/>
            </w:r>
            <w:r w:rsidR="00691318" w:rsidRPr="00691318">
              <w:rPr>
                <w:noProof/>
                <w:sz w:val="18"/>
                <w:szCs w:val="18"/>
              </w:rPr>
              <w:t>(Wang et al., 2012a)</w:t>
            </w:r>
            <w:r>
              <w:rPr>
                <w:sz w:val="18"/>
                <w:szCs w:val="18"/>
              </w:rPr>
              <w:fldChar w:fldCharType="end"/>
            </w:r>
          </w:p>
          <w:p w:rsidR="00691318"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691318">
              <w:rPr>
                <w:rFonts w:ascii="MS Mincho" w:eastAsia="MS Mincho" w:hAnsi="MS Mincho" w:cs="MS Mincho" w:hint="eastAsia"/>
                <w:sz w:val="18"/>
                <w:szCs w:val="18"/>
              </w:rPr>
              <w:instrText>‑</w:instrText>
            </w:r>
            <w:r w:rsidR="00691318">
              <w:rPr>
                <w:rFonts w:cs="Times New Roman"/>
                <w:sz w:val="18"/>
                <w:szCs w:val="18"/>
              </w:rPr>
              <w:instrText>eclampsia o</w:instrText>
            </w:r>
            <w:r w:rsidR="00691318">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691318"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17</w:t>
            </w:r>
          </w:p>
          <w:p w:rsidR="00460963" w:rsidRDefault="00460963" w:rsidP="009B2A14">
            <w:pPr>
              <w:spacing w:after="0"/>
              <w:jc w:val="center"/>
              <w:rPr>
                <w:sz w:val="18"/>
                <w:szCs w:val="18"/>
              </w:rPr>
            </w:pPr>
            <w:r>
              <w:rPr>
                <w:sz w:val="18"/>
                <w:szCs w:val="18"/>
              </w:rPr>
              <w:t>18</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129</w:t>
            </w:r>
          </w:p>
        </w:tc>
        <w:tc>
          <w:tcPr>
            <w:tcW w:w="2136" w:type="dxa"/>
            <w:vAlign w:val="center"/>
          </w:tcPr>
          <w:p w:rsidR="00460963" w:rsidRPr="00944061"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(villi)</w:t>
            </w:r>
          </w:p>
        </w:tc>
        <w:tc>
          <w:tcPr>
            <w:tcW w:w="2859" w:type="dxa"/>
            <w:vAlign w:val="center"/>
          </w:tcPr>
          <w:p w:rsidR="00460963" w:rsidRPr="009B1EBF" w:rsidRDefault="00460963" w:rsidP="009B2A14">
            <w:pPr>
              <w:spacing w:after="0"/>
              <w:jc w:val="center"/>
              <w:rPr>
                <w:color w:val="000000"/>
                <w:sz w:val="18"/>
                <w:szCs w:val="18"/>
              </w:rPr>
            </w:pPr>
            <w:r w:rsidRPr="00EB6201">
              <w:rPr>
                <w:color w:val="000000"/>
                <w:sz w:val="18"/>
                <w:szCs w:val="18"/>
              </w:rPr>
              <w:t>no difference</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{"citationItems":[{"id":"ITEM-1","itemData":{"DOI":"10.1016/j.placenta.2012.07.002","abstract":"Preeclampsia (PE) affects 5-8% of all pregnancies and is associated with significant maternal and fetal morbidity and mortality. Placental mitochondrial dysfunction has been reported in PE. MicroRNAs (miRNA) are small non-coding RNAs that regulate gene expression through mRNA degradation and translational repression. MiR-210 has been previously shown to be upregulated in placentas from pregnancies complicated by PE. We hypothesized that placental mitochondrial dysfunction during PE can be mediated by miR-210. Placentas were collected at term from normotensive pregnancies (CTRL) and those complicated by severe PE (n = 6 each) following c-section (no labor). Villous tissue from PE showed significantly increased levels of HIF-1α compared to CTRL with no change in corresponding mRNA expression but with reduced DNA-binding activity. Mitochondrial complex III was significantly decreased in PE along with significantly reduced protein expression in complex I and IV during PE. Among the four miRNAs tested, miR-210 showed significant up regulation in PE and significant downregulation of its target, ISCU mRNA. To understand the role of miR-210 in PE, loss- and gain-of-function studies were performed using primary trophoblasts. Trophoblasts were transfected with miR-210 inhibitor or pre-miR-210 and mitochondrial function was measured using Seahorse Extracellular Flux Analyzer. Cells transfected with pre-miR-210 showed significant reduction in oxygen consumption. In contrast, transfection of trophoblast with AntagomiR-210 was sufficient to prevent the DFO-mediated respiratory deficiency. These data collectively suggest that miR-210 overexpression during PE could be responsible for placental mitochondria dysfunction. © 2012 Elsevier Ltd. All rights reserved.","author":[{"dropping-particle":"","family":"Muralimanoharan","given":"S.","non-dropping-particle":"","parse-names":false,"suffix":""},{"dropping-particle":"","family":"Maloyan","given":"A.","non-dropping-particle":"","parse-names":false,"suffix":""},{"dropping-particle":"","family":"Mele","given":"J.","non-dropping-particle":"","parse-names":false,"suffix":""},{"dropping-particle":"","family":"Guo","given":"C.","non-dropping-particle":"","parse-names":false,"suffix":""},{"dropping-particle":"","family":"Myatt","given":"L. G.","non-dropping-particle":"","parse-names":false,"suffix":""},{"dropping-particle":"","family":"Myatt","given":"L.","non-dropping-particle":"","parse-names":false,"suffix":""}],"container-title":"Placenta","id":"ITEM-1","issue":"10","issued":{"date-parts":[["2012"]]},"page":"816-823","title":"MIR-210 modulates mitochondrial respiration in placenta with preeclampsia","type":"article-journal","volume":"33"},"uris":["http://www.mendeley.com/documents/?uuid=7d72b5a2-9c94-3b18-a187-15a436f75c4e"]}],"mendeley":{"formattedCitation":"(Muralimanoharan et al., 2012)","plainTextFormattedCitation":"(Muralimanoharan et al., 2012)","previouslyFormattedCitation":"(Muralimanoharan et al., 2012)"},"properties":{"noteIndex":0},"schema":"https://github.com/citation-style-language/schema/raw/master/csl-citation.json"}</w:instrText>
            </w:r>
            <w:r>
              <w:rPr>
                <w:sz w:val="18"/>
                <w:szCs w:val="18"/>
              </w:rPr>
              <w:fldChar w:fldCharType="separate"/>
            </w:r>
            <w:r w:rsidR="00691318" w:rsidRPr="00460963">
              <w:rPr>
                <w:noProof/>
                <w:sz w:val="18"/>
                <w:szCs w:val="18"/>
              </w:rPr>
              <w:t>(Muralimanoharan et al., 2012)</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17</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328</w:t>
            </w:r>
          </w:p>
        </w:tc>
        <w:tc>
          <w:tcPr>
            <w:tcW w:w="2136" w:type="dxa"/>
            <w:vAlign w:val="center"/>
          </w:tcPr>
          <w:p w:rsidR="00460963" w:rsidRPr="00944061" w:rsidRDefault="00460963" w:rsidP="009B2A14">
            <w:pPr>
              <w:spacing w:after="0"/>
              <w:jc w:val="center"/>
              <w:rPr>
                <w:color w:val="000000"/>
                <w:sz w:val="18"/>
                <w:szCs w:val="18"/>
              </w:rPr>
            </w:pPr>
            <w:r>
              <w:rPr>
                <w:color w:val="000000"/>
                <w:sz w:val="18"/>
                <w:szCs w:val="18"/>
              </w:rPr>
              <w:t>Placenta</w:t>
            </w:r>
            <w:r w:rsidRPr="00EB6201">
              <w:rPr>
                <w:color w:val="000000"/>
                <w:sz w:val="18"/>
                <w:szCs w:val="18"/>
              </w:rPr>
              <w:t xml:space="preserve"> (villi)</w:t>
            </w:r>
          </w:p>
        </w:tc>
        <w:tc>
          <w:tcPr>
            <w:tcW w:w="2859" w:type="dxa"/>
            <w:vAlign w:val="center"/>
          </w:tcPr>
          <w:p w:rsidR="00460963" w:rsidRPr="009B1EBF" w:rsidRDefault="00460963" w:rsidP="009B2A14">
            <w:pPr>
              <w:spacing w:after="0"/>
              <w:jc w:val="center"/>
              <w:rPr>
                <w:color w:val="000000"/>
                <w:sz w:val="18"/>
                <w:szCs w:val="18"/>
              </w:rPr>
            </w:pPr>
            <w:r w:rsidRPr="00EB6201">
              <w:rPr>
                <w:color w:val="000000"/>
                <w:sz w:val="18"/>
                <w:szCs w:val="18"/>
              </w:rPr>
              <w:t>no difference</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{"citationItems":[{"id":"ITEM-1","itemData":{"DOI":"10.1016/j.placenta.2012.07.002","abstract":"Preeclampsia (PE) affects 5-8% of all pregnancies and is associated with significant maternal and fetal morbidity and mortality. Placental mitochondrial dysfunction has been reported in PE. MicroRNAs (miRNA) are small non-coding RNAs that regulate gene expression through mRNA degradation and translational repression. MiR-210 has been previously shown to be upregulated in placentas from pregnancies complicated by PE. We hypothesized that placental mitochondrial dysfunction during PE can be mediated by miR-210. Placentas were collected at term from normotensive pregnancies (CTRL) and those complicated by severe PE (n = 6 each) following c-section (no labor). Villous tissue from PE showed significantly increased levels of HIF-1α compared to CTRL with no change in corresponding mRNA expression but with reduced DNA-binding activity. Mitochondrial complex III was significantly decreased in PE along with significantly reduced protein expression in complex I and IV during PE. Among the four miRNAs tested, miR-210 showed significant up regulation in PE and significant downregulation of its target, ISCU mRNA. To understand the role of miR-210 in PE, loss- and gain-of-function studies were performed using primary trophoblasts. Trophoblasts were transfected with miR-210 inhibitor or pre-miR-210 and mitochondrial function was measured using Seahorse Extracellular Flux Analyzer. Cells transfected with pre-miR-210 showed significant reduction in oxygen consumption. In contrast, transfection of trophoblast with AntagomiR-210 was sufficient to prevent the DFO-mediated respiratory deficiency. These data collectively suggest that miR-210 overexpression during PE could be responsible for placental mitochondria dysfunction. © 2012 Elsevier Ltd. All rights reserved.","author":[{"dropping-particle":"","family":"Muralimanoharan","given":"S.","non-dropping-particle":"","parse-names":false,"suffix":""},{"dropping-particle":"","family":"Maloyan","given":"A.","non-dropping-particle":"","parse-names":false,"suffix":""},{"dropping-particle":"","family":"Mele","given":"J.","non-dropping-particle":"","parse-names":false,"suffix":""},{"dropping-particle":"","family":"Guo","given":"C.","non-dropping-particle":"","parse-names":false,"suffix":""},{"dropping-particle":"","family":"Myatt","given":"L. G.","non-dropping-particle":"","parse-names":false,"suffix":""},{"dropping-particle":"","family":"Myatt","given":"L.","non-dropping-particle":"","parse-names":false,"suffix":""}],"container-title":"Placenta","id":"ITEM-1","issue":"10","issued":{"date-parts":[["2012"]]},"page":"816-823","title":"MIR-210 modulates mitochondrial respiration in placenta with preeclampsia","type":"article-journal","volume":"33"},"uris":["http://www.mendeley.com/documents/?uuid=7d72b5a2-9c94-3b18-a187-15a436f75c4e"]}],"mendeley":{"formattedCitation":"(Muralimanoharan et al., 2012)","plainTextFormattedCitation":"(Muralimanoharan et al., 2012)","previouslyFormattedCitation":"(Muralimanoharan et al., 2012)"},"properties":{"noteIndex":0},"schema":"https://github.com/citation-style-language/schema/raw/master/csl-citation.json"}</w:instrText>
            </w:r>
            <w:r>
              <w:rPr>
                <w:sz w:val="18"/>
                <w:szCs w:val="18"/>
              </w:rPr>
              <w:fldChar w:fldCharType="separate"/>
            </w:r>
            <w:r w:rsidR="00691318" w:rsidRPr="00460963">
              <w:rPr>
                <w:noProof/>
                <w:sz w:val="18"/>
                <w:szCs w:val="18"/>
              </w:rPr>
              <w:t>(Muralimanoharan et al., 2012)</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17</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17</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 (syncytiotrophoblast)</w:t>
            </w:r>
          </w:p>
          <w:p w:rsidR="00460963" w:rsidRPr="00EB6201" w:rsidRDefault="00460963" w:rsidP="009B2A14">
            <w:pPr>
              <w:spacing w:after="0"/>
              <w:jc w:val="center"/>
              <w:rPr>
                <w:color w:val="000000"/>
                <w:sz w:val="18"/>
                <w:szCs w:val="18"/>
              </w:rPr>
            </w:pPr>
            <w:r>
              <w:rPr>
                <w:color w:val="000000"/>
                <w:sz w:val="18"/>
                <w:szCs w:val="18"/>
              </w:rPr>
              <w:t>Endothelium</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tc>
        <w:tc>
          <w:tcPr>
            <w:tcW w:w="2977" w:type="dxa"/>
          </w:tcPr>
          <w:p w:rsidR="00691318" w:rsidRDefault="00E33D6E" w:rsidP="00691318">
            <w:pPr>
              <w:spacing w:after="0"/>
              <w:jc w:val="center"/>
              <w:rPr>
                <w:sz w:val="18"/>
                <w:szCs w:val="18"/>
              </w:rPr>
            </w:pPr>
            <w:r>
              <w:rPr>
                <w:sz w:val="18"/>
                <w:szCs w:val="18"/>
              </w:rPr>
              <w:fldChar w:fldCharType="begin" w:fldLock="1"/>
            </w:r>
            <w:r w:rsidR="00E74CAA">
              <w:rPr>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sz w:val="18"/>
                <w:szCs w:val="18"/>
              </w:rPr>
              <w:fldChar w:fldCharType="separate"/>
            </w:r>
            <w:r w:rsidR="00691318" w:rsidRPr="00691318">
              <w:rPr>
                <w:noProof/>
                <w:sz w:val="18"/>
                <w:szCs w:val="18"/>
              </w:rPr>
              <w:t>(Wang et al., 2012a)</w:t>
            </w:r>
            <w:r>
              <w:rPr>
                <w:sz w:val="18"/>
                <w:szCs w:val="18"/>
              </w:rPr>
              <w:fldChar w:fldCharType="end"/>
            </w:r>
          </w:p>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{"citationItems":[{"id":"ITEM-1","itemData":{"DOI":"10.1007/s10517-018-4267-7","abstract":"The expression of microRNA-17, microRNA-181a, and microRNA-519a in the villous tree in preeclampsia was analyzed using chromogenic in situ hybridization technique (CISH). It was found that in early-onset preeclampsia, the expression of microRNA-17 in the syncytiotrophoblast was higher (p&lt;0.05) than in late preeclampsia, and the expression of microRNA-519a was higher (p&lt;0.05) than in women with preterm birth at 26-31 weeks gestation. We revealed higher level of expression of microRNA-181a (p&lt;0.05) in the cytoplasm of the syncytiotrophoblast of intermediate placental villi in the group with premature delivery in comparison with early preeclampsia. In full-term pregnancy, the expression of microRNA-181a in the vascular endothelium of placental villi was higher (p&lt;0.02) than in women with premature deliveries. Analysis of the target genes associated with these microRNAs showed that damage to the trophoblast typical of preeclampsia, especially up to 34 weeks gestation, was accompanied by selective activation of genes participating in invasion and compensatory suppression of oncoprotective genes associated with the development of malignant neoplasms.","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I.","non-dropping-particle":"","parse-names":false,"suffix":""}],"container-title":"Bulletin of Experimental Biology and Medicine","id":"ITEM-1","issue":"6","issued":{"date-parts":[["2018"]]},"page":"793-797","title":"Change in OncomicroRNA Expression in the Placenta during Preeclampsia","type":"article-journal","volume":"165"},"uris":["http://www.mendeley.com/documents/?uuid=6cf29799-cb89-32f0-b827-9d5410886217"]}],"mendeley":{"formattedCitation":"(Nizyaeva et al., 2018)","plainTextFormattedCitation":"(Nizyaeva et al., 2018)","previouslyFormattedCitation":"(Nizyaeva et al., 2018)"},"properties":{"noteIndex":0},"schema":"https://github.com/citation-style-language/schema/raw/master/csl-citation.json"}</w:instrText>
            </w:r>
            <w:r>
              <w:rPr>
                <w:sz w:val="18"/>
                <w:szCs w:val="18"/>
              </w:rPr>
              <w:fldChar w:fldCharType="separate"/>
            </w:r>
            <w:r w:rsidR="00691318" w:rsidRPr="005E6D07">
              <w:rPr>
                <w:noProof/>
                <w:sz w:val="18"/>
                <w:szCs w:val="18"/>
              </w:rPr>
              <w:t>(Nizyaeva et al., 2018)</w:t>
            </w:r>
            <w:r>
              <w:rPr>
                <w:sz w:val="18"/>
                <w:szCs w:val="18"/>
              </w:rPr>
              <w:fldChar w:fldCharType="end"/>
            </w:r>
          </w:p>
          <w:p w:rsidR="00691318"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{"citationItems":[{"id":"ITEM-1","itemData":{"DOI":"10.1007/s10517-018-4267-7","abstract":"The expression of microRNA-17, microRNA-181a, and microRNA-519a in the villous tree in preeclampsia was analyzed using chromogenic in situ hybridization technique (CISH). It was found that in early-onset preeclampsia, the expression of microRNA-17 in the syncytiotrophoblast was higher (p&lt;0.05) than in late preeclampsia, and the expression of microRNA-519a was higher (p&lt;0.05) than in women with preterm birth at 26-31 weeks gestation. We revealed higher level of expression of microRNA-181a (p&lt;0.05) in the cytoplasm of the syncytiotrophoblast of intermediate placental villi in the group with premature delivery in comparison with early preeclampsia. In full-term pregnancy, the expression of microRNA-181a in the vascular endothelium of placental villi was higher (p&lt;0.02) than in women with premature deliveries. Analysis of the target genes associated with these microRNAs showed that damage to the trophoblast typical of preeclampsia, especially up to 34 weeks gestation, was accompanied by selective activation of genes participating in invasion and compensatory suppression of oncoprotective genes associated with the development of malignant neoplasms.","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I.","non-dropping-particle":"","parse-names":false,"suffix":""}],"container-title":"Bulletin of Experimental Biology and Medicine","id":"ITEM-1","issue":"6","issued":{"date-parts":[["2018"]]},"page":"793-797","title":"Change in OncomicroRNA Expression in the Placenta during Preeclampsia","type":"article-journal","volume":"165"},"uris":["http://www.mendeley.com/documents/?uuid=6cf29799-cb89-32f0-b827-9d5410886217"]}],"mendeley":{"formattedCitation":"(Nizyaeva et al., 2018)","plainTextFormattedCitation":"(Nizyaeva et al., 2018)","previouslyFormattedCitation":"(Nizyaeva et al., 2018)"},"properties":{"noteIndex":0},"schema":"https://github.com/citation-style-language/schema/raw/master/csl-citation.json"}</w:instrText>
            </w:r>
            <w:r>
              <w:rPr>
                <w:sz w:val="18"/>
                <w:szCs w:val="18"/>
              </w:rPr>
              <w:fldChar w:fldCharType="separate"/>
            </w:r>
            <w:r w:rsidR="00691318" w:rsidRPr="005E6D07">
              <w:rPr>
                <w:noProof/>
                <w:sz w:val="18"/>
                <w:szCs w:val="18"/>
              </w:rPr>
              <w:t>(Nizyaeva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18</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139</w:t>
            </w:r>
          </w:p>
          <w:p w:rsidR="00460963" w:rsidRDefault="00460963" w:rsidP="009B2A14">
            <w:pPr>
              <w:spacing w:after="0"/>
              <w:jc w:val="center"/>
              <w:rPr>
                <w:sz w:val="18"/>
                <w:szCs w:val="18"/>
              </w:rPr>
            </w:pPr>
            <w:r>
              <w:rPr>
                <w:sz w:val="18"/>
                <w:szCs w:val="18"/>
              </w:rPr>
              <w:t>139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17-3p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 xml:space="preserve">Yes </w:t>
            </w:r>
          </w:p>
        </w:tc>
        <w:tc>
          <w:tcPr>
            <w:tcW w:w="2977" w:type="dxa"/>
          </w:tcPr>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17-5p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MPB</w:t>
            </w:r>
          </w:p>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691318" w:rsidRPr="00932CA1">
              <w:rPr>
                <w:noProof/>
                <w:sz w:val="18"/>
                <w:szCs w:val="18"/>
              </w:rPr>
              <w:t>(Murphy et al., 2015)</w:t>
            </w:r>
            <w:r>
              <w:rPr>
                <w:sz w:val="18"/>
                <w:szCs w:val="18"/>
              </w:rPr>
              <w:fldChar w:fldCharType="end"/>
            </w:r>
          </w:p>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691318" w:rsidRPr="00BB7CB7">
              <w:rPr>
                <w:noProof/>
                <w:sz w:val="18"/>
                <w:szCs w:val="18"/>
              </w:rPr>
              <w:t>(Hromadnikova et al., 2016)</w:t>
            </w:r>
            <w:r>
              <w:rPr>
                <w:sz w:val="18"/>
                <w:szCs w:val="18"/>
              </w:rPr>
              <w:fldChar w:fldCharType="end"/>
            </w:r>
          </w:p>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{"citationItems":[{"id":"ITEM-1","itemData":{"DOI":"10.1016/j.ijcard.2019.05.036","abstract":"Background and methods: Gestational hypertension (GH), preeclampsia (PE) and fetal growth restriction (FGR) may predispose to later onset of cardiovascular/cerebrovascular diseases. We examined if pregnancy complications induce postpartum alterations in gene expression of cardiovascular/cerebrovascular disease associated microRNAs. 29 microRNAs were tested in peripheral blood of women, compared between groups with a history of GH, PE, FGR and controls, and correlated with the severity of the disease regarding clinical signs, delivery date, and Doppler parameters. Results: GH was associated with the up-regulation of miR-20a-5p, miR-143-3p, miR-146a-5p, miR-181a-5p, miR-199a-5p, miR-221-3p, and miR-499a-5p. The up-regulation of miR-17-5p, miR-20b-5p, miR-29a-3p, and miR-126-3p was a mutual phenomenon of GH and severe PE. GH and early PE were associated with up-regulation of miR-1-3p and miR-17-5p. GH and late PE showed up-regulation of miR-17-5p, miR-20b-5p, and miR-29a-3p. Severe PE induced up-regulation of miR-133a-3p and down-regulation of miR-130b-3p. MiR-133a-3p up-regulation was also observed in early PE. PE and/or FGR with abnormal Doppler parameters demonstrated up-regulation of miR-100-5p, miR-125b-5p, miR-133a-3p, and miR-145-5p. The combination screening was superior over using individual microRNAs for patients with GH, PE regardless of the severity of the disease, severe PE and early PE. A cardiovascular risk at patients with late PE, PE and/or FGR with abnormal Doppler parameters was identified more accurately using the single microRNA only. Conclusion: Epigenetic changes characteristic for cardiovascular/cerebrovascular diseases are present in women with a prior exposure to pregnancy complications. Screening of microRNAs may be used to identify patients at a higher risk of later development of cardiovascular/cerebrovascular diseases.","author":[{"dropping-particle":"","family":"Hromadnikova","given":"Ilona","non-dropping-particle":"","parse-names":false,"suffix":""},{"dropping-particle":"","family":"Kotlabova","given":"Katerina","non-dropping-particle":"","parse-names":false,"suffix":""},{"dropping-particle":"","family":"Dvorakova","given":"Lenka","non-dropping-particle":"","parse-names":false,"suffix":""},{"dropping-particle":"","family":"Krofta","given":"Ladislav","non-dropping-particle":"","parse-names":false,"suffix":""}],"container-title":"International Journal of Cardiology","id":"ITEM-1","issued":{"date-parts":[["2019"]]},"page":"158-167","publisher":"Elsevier Ireland Ltd","title":"Postpartum profiling of microRNAs involved in pathogenesis of cardiovascular/cerebrovascular diseases in women exposed to pregnancy-related complications","type":"article-journal","volume":"291"},"uris":["http://www.mendeley.com/documents/?uuid=21c8f59f-c373-3ad5-8ab8-4b4735893312"]}],"mendeley":{"formattedCitation":"(Hromadnikova et al., 2019b)","plainTextFormattedCitation":"(Hromadnikova et al., 2019b)","previouslyFormattedCitation":"(Hromadnikova et al., 2019b)"},"properties":{"noteIndex":0},"schema":"https://github.com/citation-style-language/schema/raw/master/csl-citation.json"}</w:instrText>
            </w:r>
            <w:r>
              <w:rPr>
                <w:sz w:val="18"/>
                <w:szCs w:val="18"/>
              </w:rPr>
              <w:fldChar w:fldCharType="separate"/>
            </w:r>
            <w:r w:rsidR="00691318" w:rsidRPr="00C346EA">
              <w:rPr>
                <w:noProof/>
                <w:sz w:val="18"/>
                <w:szCs w:val="18"/>
              </w:rPr>
              <w:t>(Hromadnikova et al., 2019b)</w:t>
            </w:r>
            <w:r>
              <w:rPr>
                <w:sz w:val="18"/>
                <w:szCs w:val="18"/>
              </w:rPr>
              <w:fldChar w:fldCharType="end"/>
            </w:r>
          </w:p>
          <w:p w:rsidR="00691318"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691318"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158</w:t>
            </w:r>
          </w:p>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20a</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Placena (chorionic plate)</w:t>
            </w:r>
          </w:p>
          <w:p w:rsidR="00460963" w:rsidRPr="00EB6201"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No difference in sPE</w:t>
            </w:r>
          </w:p>
          <w:p w:rsidR="00460963" w:rsidRPr="00EB6201"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No </w:t>
            </w:r>
          </w:p>
        </w:tc>
        <w:tc>
          <w:tcPr>
            <w:tcW w:w="2977" w:type="dxa"/>
          </w:tcPr>
          <w:p w:rsidR="00691318" w:rsidRDefault="00E33D6E" w:rsidP="00691318">
            <w:pPr>
              <w:spacing w:after="0"/>
              <w:jc w:val="center"/>
              <w:rPr>
                <w:sz w:val="18"/>
                <w:szCs w:val="18"/>
              </w:rPr>
            </w:pPr>
            <w:r>
              <w:rPr>
                <w:sz w:val="18"/>
                <w:szCs w:val="18"/>
              </w:rPr>
              <w:fldChar w:fldCharType="begin" w:fldLock="1"/>
            </w:r>
            <w:r w:rsidR="00E74CAA">
              <w:rPr>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sz w:val="18"/>
                <w:szCs w:val="18"/>
              </w:rPr>
              <w:fldChar w:fldCharType="separate"/>
            </w:r>
            <w:r w:rsidR="00691318" w:rsidRPr="00691318">
              <w:rPr>
                <w:noProof/>
                <w:sz w:val="18"/>
                <w:szCs w:val="18"/>
              </w:rPr>
              <w:t>(Wang et al., 2012a)</w:t>
            </w:r>
            <w:r>
              <w:rPr>
                <w:sz w:val="18"/>
                <w:szCs w:val="18"/>
              </w:rPr>
              <w:fldChar w:fldCharType="end"/>
            </w:r>
          </w:p>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p w:rsidR="00460963" w:rsidRPr="00E67201"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sidRPr="00E67201">
              <w:rPr>
                <w:sz w:val="18"/>
                <w:szCs w:val="18"/>
              </w:rPr>
              <w:t>18</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lastRenderedPageBreak/>
              <w:t>20a-5p</w:t>
            </w:r>
          </w:p>
        </w:tc>
        <w:tc>
          <w:tcPr>
            <w:tcW w:w="2136" w:type="dxa"/>
            <w:vAlign w:val="center"/>
          </w:tcPr>
          <w:p w:rsidR="00460963" w:rsidRPr="002A5714"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No difference in sPE at delivery and 1 year after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691318" w:rsidRPr="00932CA1">
              <w:rPr>
                <w:noProof/>
                <w:sz w:val="18"/>
                <w:szCs w:val="18"/>
              </w:rPr>
              <w:t>(Murphy et al., 2015)</w:t>
            </w:r>
            <w:r>
              <w:rPr>
                <w:sz w:val="18"/>
                <w:szCs w:val="18"/>
              </w:rPr>
              <w:fldChar w:fldCharType="end"/>
            </w:r>
          </w:p>
        </w:tc>
        <w:tc>
          <w:tcPr>
            <w:tcW w:w="1791" w:type="dxa"/>
            <w:vAlign w:val="center"/>
          </w:tcPr>
          <w:p w:rsidR="00460963" w:rsidRPr="00E67201"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20b</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 (basal plate)</w:t>
            </w:r>
          </w:p>
          <w:p w:rsidR="00460963" w:rsidRPr="00EB6201" w:rsidRDefault="00460963" w:rsidP="009B2A14">
            <w:pPr>
              <w:spacing w:after="0"/>
              <w:jc w:val="center"/>
              <w:rPr>
                <w:color w:val="000000"/>
                <w:sz w:val="18"/>
                <w:szCs w:val="18"/>
              </w:rPr>
            </w:pPr>
            <w:r>
              <w:rPr>
                <w:color w:val="000000"/>
                <w:sz w:val="18"/>
                <w:szCs w:val="18"/>
              </w:rPr>
              <w:t>Placenta (chorionic plate)</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Up in sPE</w:t>
            </w:r>
          </w:p>
          <w:p w:rsidR="00460963" w:rsidRDefault="00460963" w:rsidP="009B2A14">
            <w:pPr>
              <w:spacing w:after="0"/>
              <w:jc w:val="center"/>
              <w:rPr>
                <w:color w:val="000000"/>
                <w:sz w:val="18"/>
                <w:szCs w:val="18"/>
              </w:rPr>
            </w:pPr>
            <w:r w:rsidRPr="00EB6201">
              <w:rPr>
                <w:color w:val="000000"/>
                <w:sz w:val="18"/>
                <w:szCs w:val="18"/>
              </w:rPr>
              <w:t>Up in sPE</w:t>
            </w:r>
          </w:p>
          <w:p w:rsidR="00460963" w:rsidRPr="00EB6201" w:rsidRDefault="00460963" w:rsidP="009B2A14">
            <w:pPr>
              <w:spacing w:after="0"/>
              <w:jc w:val="center"/>
              <w:rPr>
                <w:color w:val="000000"/>
                <w:sz w:val="18"/>
                <w:szCs w:val="18"/>
              </w:rPr>
            </w:pPr>
            <w:r w:rsidRPr="00EB6201">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 xml:space="preserve">Yes </w:t>
            </w:r>
          </w:p>
        </w:tc>
        <w:tc>
          <w:tcPr>
            <w:tcW w:w="2977" w:type="dxa"/>
          </w:tcPr>
          <w:p w:rsidR="00691318" w:rsidRDefault="00E33D6E" w:rsidP="00691318">
            <w:pPr>
              <w:spacing w:after="0"/>
              <w:jc w:val="center"/>
              <w:rPr>
                <w:sz w:val="18"/>
                <w:szCs w:val="18"/>
              </w:rPr>
            </w:pPr>
            <w:r>
              <w:rPr>
                <w:sz w:val="18"/>
                <w:szCs w:val="18"/>
              </w:rPr>
              <w:fldChar w:fldCharType="begin" w:fldLock="1"/>
            </w:r>
            <w:r w:rsidR="00E74CAA">
              <w:rPr>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sz w:val="18"/>
                <w:szCs w:val="18"/>
              </w:rPr>
              <w:fldChar w:fldCharType="separate"/>
            </w:r>
            <w:r w:rsidR="00691318" w:rsidRPr="00691318">
              <w:rPr>
                <w:noProof/>
                <w:sz w:val="18"/>
                <w:szCs w:val="18"/>
              </w:rPr>
              <w:t>(Wang et al., 2012a)</w:t>
            </w:r>
            <w:r>
              <w:rPr>
                <w:sz w:val="18"/>
                <w:szCs w:val="18"/>
              </w:rPr>
              <w:fldChar w:fldCharType="end"/>
            </w:r>
          </w:p>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691318">
              <w:rPr>
                <w:rFonts w:ascii="Cambria Math" w:hAnsi="Cambria Math" w:cs="Cambria Math"/>
                <w:sz w:val="18"/>
                <w:szCs w:val="18"/>
              </w:rPr>
              <w:instrText>∼</w:instrText>
            </w:r>
            <w:r w:rsidR="00691318">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691318">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691318" w:rsidRPr="00947753">
              <w:rPr>
                <w:noProof/>
                <w:sz w:val="18"/>
                <w:szCs w:val="18"/>
              </w:rPr>
              <w:t>(Zhang et al., 2015a)</w:t>
            </w:r>
            <w:r>
              <w:rPr>
                <w:sz w:val="18"/>
                <w:szCs w:val="18"/>
              </w:rPr>
              <w:fldChar w:fldCharType="end"/>
            </w:r>
          </w:p>
          <w:p w:rsidR="00460963" w:rsidRPr="00E67201"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691318">
              <w:rPr>
                <w:rFonts w:ascii="Cambria Math" w:hAnsi="Cambria Math" w:cs="Cambria Math"/>
                <w:sz w:val="18"/>
                <w:szCs w:val="18"/>
              </w:rPr>
              <w:instrText>∼</w:instrText>
            </w:r>
            <w:r w:rsidR="00691318">
              <w:rPr>
                <w:rFonts w:cs="Times New Roman"/>
                <w:sz w:val="18"/>
                <w:szCs w:val="18"/>
              </w:rPr>
              <w:instrText>363 clust</w:instrText>
            </w:r>
            <w:r w:rsidR="00691318">
              <w:rPr>
                <w:sz w:val="18"/>
                <w:szCs w:val="18"/>
              </w:rPr>
              <w:instrText>er was further examined and validated. These findings would facilitate further investigation of aberrant expression of miRNAs in the pathology of preeclampsia.","author":[{"dropping-particle":"","family":"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691318" w:rsidRPr="00947753">
              <w:rPr>
                <w:noProof/>
                <w:sz w:val="18"/>
                <w:szCs w:val="18"/>
              </w:rPr>
              <w:t>(Zhang et al., 2015a)</w:t>
            </w:r>
            <w:r>
              <w:rPr>
                <w:sz w:val="18"/>
                <w:szCs w:val="18"/>
              </w:rPr>
              <w:fldChar w:fldCharType="end"/>
            </w:r>
          </w:p>
        </w:tc>
        <w:tc>
          <w:tcPr>
            <w:tcW w:w="1791" w:type="dxa"/>
            <w:vAlign w:val="center"/>
          </w:tcPr>
          <w:p w:rsidR="00460963" w:rsidRDefault="00460963" w:rsidP="009B2A14">
            <w:pPr>
              <w:spacing w:after="0"/>
              <w:jc w:val="center"/>
              <w:rPr>
                <w:sz w:val="18"/>
                <w:szCs w:val="18"/>
              </w:rPr>
            </w:pPr>
            <w:r w:rsidRPr="00E67201">
              <w:rPr>
                <w:sz w:val="18"/>
                <w:szCs w:val="18"/>
              </w:rPr>
              <w:t>18</w:t>
            </w:r>
          </w:p>
          <w:p w:rsidR="00460963" w:rsidRDefault="00460963" w:rsidP="009B2A14">
            <w:pPr>
              <w:spacing w:after="0"/>
              <w:jc w:val="center"/>
              <w:rPr>
                <w:sz w:val="18"/>
                <w:szCs w:val="18"/>
              </w:rPr>
            </w:pPr>
            <w:r>
              <w:rPr>
                <w:sz w:val="18"/>
                <w:szCs w:val="18"/>
              </w:rPr>
              <w:t>65</w:t>
            </w:r>
          </w:p>
          <w:p w:rsidR="00460963" w:rsidRDefault="00460963" w:rsidP="009B2A14">
            <w:pPr>
              <w:spacing w:after="0"/>
              <w:jc w:val="center"/>
              <w:rPr>
                <w:sz w:val="18"/>
                <w:szCs w:val="18"/>
              </w:rPr>
            </w:pPr>
            <w:r>
              <w:rPr>
                <w:sz w:val="18"/>
                <w:szCs w:val="18"/>
              </w:rPr>
              <w:t>65</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20b-5p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Pr="002A5714" w:rsidRDefault="00460963" w:rsidP="009B2A14">
            <w:pPr>
              <w:spacing w:after="0"/>
              <w:jc w:val="center"/>
              <w:rPr>
                <w:color w:val="000000"/>
                <w:sz w:val="18"/>
                <w:szCs w:val="18"/>
              </w:rPr>
            </w:pPr>
            <w:r>
              <w:rPr>
                <w:color w:val="000000"/>
                <w:sz w:val="18"/>
                <w:szCs w:val="18"/>
              </w:rPr>
              <w:t>MPB</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691318" w:rsidRPr="00932CA1">
              <w:rPr>
                <w:noProof/>
                <w:sz w:val="18"/>
                <w:szCs w:val="18"/>
              </w:rPr>
              <w:t>(Murphy et al., 2015)</w:t>
            </w:r>
            <w:r>
              <w:rPr>
                <w:sz w:val="18"/>
                <w:szCs w:val="18"/>
              </w:rPr>
              <w:fldChar w:fldCharType="end"/>
            </w:r>
          </w:p>
          <w:p w:rsidR="00691318" w:rsidRDefault="00E33D6E" w:rsidP="009B2A14">
            <w:pPr>
              <w:spacing w:after="0"/>
              <w:jc w:val="center"/>
              <w:rPr>
                <w:sz w:val="18"/>
                <w:szCs w:val="18"/>
              </w:rPr>
            </w:pPr>
            <w:r>
              <w:rPr>
                <w:sz w:val="18"/>
                <w:szCs w:val="18"/>
              </w:rPr>
              <w:fldChar w:fldCharType="begin" w:fldLock="1"/>
            </w:r>
            <w:r w:rsidR="00691318">
              <w:rPr>
                <w:sz w:val="18"/>
                <w:szCs w:val="18"/>
              </w:rPr>
              <w:instrText>ADDIN CSL_CITATION {"citationItems":[{"id":"ITEM-1","itemData":{"DOI":"10.1016/j.ijcard.2019.05.036","abstract":"Background and methods: Gestational hypertension (GH), preeclampsia (PE) and fetal growth restriction (FGR) may predispose to later onset of cardiovascular/cerebrovascular diseases. We examined if pregnancy complications induce postpartum alterations in gene expression of cardiovascular/cerebrovascular disease associated microRNAs. 29 microRNAs were tested in peripheral blood of women, compared between groups with a history of GH, PE, FGR and controls, and correlated with the severity of the disease regarding clinical signs, delivery date, and Doppler parameters. Results: GH was associated with the up-regulation of miR-20a-5p, miR-143-3p, miR-146a-5p, miR-181a-5p, miR-199a-5p, miR-221-3p, and miR-499a-5p. The up-regulation of miR-17-5p, miR-20b-5p, miR-29a-3p, and miR-126-3p was a mutual phenomenon of GH and severe PE. GH and early PE were associated with up-regulation of miR-1-3p and miR-17-5p. GH and late PE showed up-regulation of miR-17-5p, miR-20b-5p, and miR-29a-3p. Severe PE induced up-regulation of miR-133a-3p and down-regulation of miR-130b-3p. MiR-133a-3p up-regulation was also observed in early PE. PE and/or FGR with abnormal Doppler parameters demonstrated up-regulation of miR-100-5p, miR-125b-5p, miR-133a-3p, and miR-145-5p. The combination screening was superior over using individual microRNAs for patients with GH, PE regardless of the severity of the disease, severe PE and early PE. A cardiovascular risk at patients with late PE, PE and/or FGR with abnormal Doppler parameters was identified more accurately using the single microRNA only. Conclusion: Epigenetic changes characteristic for cardiovascular/cerebrovascular diseases are present in women with a prior exposure to pregnancy complications. Screening of microRNAs may be used to identify patients at a higher risk of later development of cardiovascular/cerebrovascular diseases.","author":[{"dropping-particle":"","family":"Hromadnikova","given":"Ilona","non-dropping-particle":"","parse-names":false,"suffix":""},{"dropping-particle":"","family":"Kotlabova","given":"Katerina","non-dropping-particle":"","parse-names":false,"suffix":""},{"dropping-particle":"","family":"Dvorakova","given":"Lenka","non-dropping-particle":"","parse-names":false,"suffix":""},{"dropping-particle":"","family":"Krofta","given":"Ladislav","non-dropping-particle":"","parse-names":false,"suffix":""}],"container-title":"International Journal of Cardiology","id":"ITEM-1","issued":{"date-parts":[["2019"]]},"page":"158-167","publisher":"Elsevier Ireland Ltd","title":"Postpartum profiling of microRNAs involved in pathogenesis of cardiovascular/cerebrovascular diseases in women exposed to pregnancy-related complications","type":"article-journal","volume":"291"},"uris":["http://www.mendeley.com/documents/?uuid=21c8f59f-c373-3ad5-8ab8-4b4735893312"]}],"mendeley":{"formattedCitation":"(Hromadnikova et al., 2019b)","plainTextFormattedCitation":"(Hromadnikova et al., 2019b)","previouslyFormattedCitation":"(Hromadnikova et al., 2019b)"},"properties":{"noteIndex":0},"schema":"https://github.com/citation-style-language/schema/raw/master/csl-citation.json"}</w:instrText>
            </w:r>
            <w:r>
              <w:rPr>
                <w:sz w:val="18"/>
                <w:szCs w:val="18"/>
              </w:rPr>
              <w:fldChar w:fldCharType="separate"/>
            </w:r>
            <w:r w:rsidR="00691318" w:rsidRPr="00C346EA">
              <w:rPr>
                <w:noProof/>
                <w:sz w:val="18"/>
                <w:szCs w:val="18"/>
              </w:rPr>
              <w:t>(Hromadnikova et al., 2019b)</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Pr="00E67201" w:rsidRDefault="00460963" w:rsidP="009B2A14">
            <w:pPr>
              <w:spacing w:after="0"/>
              <w:jc w:val="center"/>
              <w:rPr>
                <w:sz w:val="18"/>
                <w:szCs w:val="18"/>
              </w:rPr>
            </w:pPr>
            <w:r>
              <w:rPr>
                <w:sz w:val="18"/>
                <w:szCs w:val="18"/>
              </w:rPr>
              <w:t>158</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151-3p</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no</w:t>
            </w:r>
          </w:p>
        </w:tc>
        <w:tc>
          <w:tcPr>
            <w:tcW w:w="2977" w:type="dxa"/>
          </w:tcPr>
          <w:p w:rsidR="00460963" w:rsidRPr="00E67201" w:rsidRDefault="00E33D6E" w:rsidP="009B2A14">
            <w:pPr>
              <w:spacing w:after="0"/>
              <w:jc w:val="center"/>
              <w:rPr>
                <w:sz w:val="18"/>
                <w:szCs w:val="18"/>
              </w:rPr>
            </w:pPr>
            <w:r>
              <w:rPr>
                <w:sz w:val="18"/>
                <w:szCs w:val="18"/>
              </w:rPr>
              <w:fldChar w:fldCharType="begin" w:fldLock="1"/>
            </w:r>
            <w:r w:rsidR="00E74CAA">
              <w:rPr>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sz w:val="18"/>
                <w:szCs w:val="18"/>
              </w:rPr>
              <w:fldChar w:fldCharType="separate"/>
            </w:r>
            <w:r w:rsidR="00691318" w:rsidRPr="00691318">
              <w:rPr>
                <w:noProof/>
                <w:sz w:val="18"/>
                <w:szCs w:val="18"/>
              </w:rPr>
              <w:t>(Wang et al., 2012a)</w:t>
            </w:r>
            <w:r>
              <w:rPr>
                <w:sz w:val="18"/>
                <w:szCs w:val="18"/>
              </w:rPr>
              <w:fldChar w:fldCharType="end"/>
            </w:r>
          </w:p>
        </w:tc>
        <w:tc>
          <w:tcPr>
            <w:tcW w:w="1791" w:type="dxa"/>
            <w:vAlign w:val="center"/>
          </w:tcPr>
          <w:p w:rsidR="00460963" w:rsidRDefault="00460963" w:rsidP="009B2A14">
            <w:pPr>
              <w:spacing w:after="0"/>
              <w:jc w:val="center"/>
              <w:rPr>
                <w:sz w:val="18"/>
                <w:szCs w:val="18"/>
              </w:rPr>
            </w:pPr>
            <w:r w:rsidRPr="00E67201">
              <w:rPr>
                <w:sz w:val="18"/>
                <w:szCs w:val="18"/>
              </w:rPr>
              <w:t>18</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151</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2A5714"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 xml:space="preserve">Yes </w:t>
            </w:r>
          </w:p>
        </w:tc>
        <w:tc>
          <w:tcPr>
            <w:tcW w:w="2977" w:type="dxa"/>
          </w:tcPr>
          <w:p w:rsidR="00691318"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p w:rsidR="00460963" w:rsidRDefault="00E33D6E" w:rsidP="00691318">
            <w:pPr>
              <w:spacing w:after="0"/>
              <w:jc w:val="center"/>
              <w:rPr>
                <w:sz w:val="18"/>
                <w:szCs w:val="18"/>
              </w:rPr>
            </w:pPr>
            <w:r>
              <w:rPr>
                <w:sz w:val="18"/>
                <w:szCs w:val="18"/>
              </w:rPr>
              <w:fldChar w:fldCharType="begin" w:fldLock="1"/>
            </w:r>
            <w:r w:rsidR="00691318">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691318"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Pr="00E67201"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524-3p</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tc>
        <w:tc>
          <w:tcPr>
            <w:tcW w:w="2977" w:type="dxa"/>
          </w:tcPr>
          <w:p w:rsidR="00460963" w:rsidRPr="00E67201" w:rsidRDefault="00E33D6E" w:rsidP="009B2A14">
            <w:pPr>
              <w:spacing w:after="0"/>
              <w:jc w:val="center"/>
              <w:rPr>
                <w:sz w:val="18"/>
                <w:szCs w:val="18"/>
              </w:rPr>
            </w:pPr>
            <w:r>
              <w:rPr>
                <w:sz w:val="18"/>
                <w:szCs w:val="18"/>
              </w:rPr>
              <w:fldChar w:fldCharType="begin" w:fldLock="1"/>
            </w:r>
            <w:r w:rsidR="00E74CAA">
              <w:rPr>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sz w:val="18"/>
                <w:szCs w:val="18"/>
              </w:rPr>
              <w:fldChar w:fldCharType="separate"/>
            </w:r>
            <w:r w:rsidR="00A92BCC" w:rsidRPr="00691318">
              <w:rPr>
                <w:noProof/>
                <w:sz w:val="18"/>
                <w:szCs w:val="18"/>
              </w:rPr>
              <w:t>(Wang et al., 2012a)</w:t>
            </w:r>
            <w:r>
              <w:rPr>
                <w:sz w:val="18"/>
                <w:szCs w:val="18"/>
              </w:rPr>
              <w:fldChar w:fldCharType="end"/>
            </w:r>
          </w:p>
        </w:tc>
        <w:tc>
          <w:tcPr>
            <w:tcW w:w="1791" w:type="dxa"/>
            <w:vAlign w:val="center"/>
          </w:tcPr>
          <w:p w:rsidR="00460963" w:rsidRDefault="00460963" w:rsidP="009B2A14">
            <w:pPr>
              <w:spacing w:after="0"/>
              <w:jc w:val="center"/>
              <w:rPr>
                <w:sz w:val="18"/>
                <w:szCs w:val="18"/>
              </w:rPr>
            </w:pPr>
            <w:r w:rsidRPr="00E67201">
              <w:rPr>
                <w:sz w:val="18"/>
                <w:szCs w:val="18"/>
              </w:rPr>
              <w:t>18</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524-5p</w:t>
            </w:r>
          </w:p>
        </w:tc>
        <w:tc>
          <w:tcPr>
            <w:tcW w:w="2136" w:type="dxa"/>
            <w:vAlign w:val="center"/>
          </w:tcPr>
          <w:p w:rsidR="00460963" w:rsidRPr="002A5714"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460963" w:rsidRDefault="00460963" w:rsidP="009B2A14">
            <w:pPr>
              <w:spacing w:after="0"/>
              <w:jc w:val="center"/>
              <w:rPr>
                <w:sz w:val="18"/>
                <w:szCs w:val="18"/>
              </w:rPr>
            </w:pPr>
          </w:p>
        </w:tc>
        <w:tc>
          <w:tcPr>
            <w:tcW w:w="1791" w:type="dxa"/>
            <w:vAlign w:val="center"/>
          </w:tcPr>
          <w:p w:rsidR="00460963" w:rsidRPr="00E67201" w:rsidRDefault="00460963" w:rsidP="009B2A14">
            <w:pPr>
              <w:spacing w:after="0"/>
              <w:jc w:val="center"/>
              <w:rPr>
                <w:sz w:val="18"/>
                <w:szCs w:val="18"/>
              </w:rPr>
            </w:pPr>
            <w:r>
              <w:rPr>
                <w:sz w:val="18"/>
                <w:szCs w:val="18"/>
              </w:rPr>
              <w:t>53</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524</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Pr="002A5714"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A92BCC" w:rsidRDefault="00E33D6E" w:rsidP="00A92BCC">
            <w:pPr>
              <w:spacing w:after="0"/>
              <w:jc w:val="center"/>
              <w:rPr>
                <w:sz w:val="18"/>
                <w:szCs w:val="18"/>
              </w:rPr>
            </w:pPr>
            <w:r>
              <w:rPr>
                <w:sz w:val="18"/>
                <w:szCs w:val="18"/>
              </w:rPr>
              <w:fldChar w:fldCharType="begin" w:fldLock="1"/>
            </w:r>
            <w:r w:rsidR="00A92BCC">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A92BCC" w:rsidRPr="00FA32AE">
              <w:rPr>
                <w:noProof/>
                <w:sz w:val="18"/>
                <w:szCs w:val="18"/>
              </w:rPr>
              <w:t>(Xu et al., 2014)</w:t>
            </w:r>
            <w:r>
              <w:rPr>
                <w:sz w:val="18"/>
                <w:szCs w:val="18"/>
              </w:rPr>
              <w:fldChar w:fldCharType="end"/>
            </w:r>
          </w:p>
          <w:p w:rsidR="00460963" w:rsidRDefault="00E33D6E" w:rsidP="00A92BCC">
            <w:pPr>
              <w:spacing w:after="0"/>
              <w:jc w:val="center"/>
              <w:rPr>
                <w:sz w:val="18"/>
                <w:szCs w:val="18"/>
              </w:rPr>
            </w:pPr>
            <w:r>
              <w:rPr>
                <w:sz w:val="18"/>
                <w:szCs w:val="18"/>
              </w:rPr>
              <w:fldChar w:fldCharType="begin" w:fldLock="1"/>
            </w:r>
            <w:r w:rsidR="00A92BCC">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A92BCC" w:rsidRPr="00FA32AE">
              <w:rPr>
                <w:noProof/>
                <w:sz w:val="18"/>
                <w:szCs w:val="18"/>
              </w:rPr>
              <w:t>(Xu et al., 2014)</w:t>
            </w:r>
            <w:r>
              <w:rPr>
                <w:sz w:val="18"/>
                <w:szCs w:val="18"/>
              </w:rPr>
              <w:fldChar w:fldCharType="end"/>
            </w:r>
          </w:p>
          <w:p w:rsidR="00A92BCC" w:rsidRDefault="00E33D6E" w:rsidP="00A92BCC">
            <w:pPr>
              <w:spacing w:after="0"/>
              <w:jc w:val="center"/>
              <w:rPr>
                <w:sz w:val="18"/>
                <w:szCs w:val="18"/>
              </w:rPr>
            </w:pPr>
            <w:r>
              <w:rPr>
                <w:sz w:val="18"/>
                <w:szCs w:val="18"/>
              </w:rPr>
              <w:fldChar w:fldCharType="begin" w:fldLock="1"/>
            </w:r>
            <w:r w:rsidR="00A92BC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A92BCC">
              <w:rPr>
                <w:rFonts w:ascii="MS Mincho" w:eastAsia="MS Mincho" w:hAnsi="MS Mincho" w:cs="MS Mincho" w:hint="eastAsia"/>
                <w:sz w:val="18"/>
                <w:szCs w:val="18"/>
              </w:rPr>
              <w:instrText>‑</w:instrText>
            </w:r>
            <w:r w:rsidR="00A92BCC">
              <w:rPr>
                <w:rFonts w:cs="Times New Roman"/>
                <w:sz w:val="18"/>
                <w:szCs w:val="18"/>
              </w:rPr>
              <w:instrText>eclampsia o</w:instrText>
            </w:r>
            <w:r w:rsidR="00A92BC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A92BCC"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Pr="00E67201"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1975</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no</w:t>
            </w:r>
          </w:p>
        </w:tc>
        <w:tc>
          <w:tcPr>
            <w:tcW w:w="2977" w:type="dxa"/>
          </w:tcPr>
          <w:p w:rsidR="00460963" w:rsidRPr="00E67201" w:rsidRDefault="00E33D6E" w:rsidP="009B2A14">
            <w:pPr>
              <w:spacing w:after="0"/>
              <w:jc w:val="center"/>
              <w:rPr>
                <w:sz w:val="18"/>
                <w:szCs w:val="18"/>
              </w:rPr>
            </w:pPr>
            <w:r>
              <w:rPr>
                <w:sz w:val="18"/>
                <w:szCs w:val="18"/>
              </w:rPr>
              <w:fldChar w:fldCharType="begin" w:fldLock="1"/>
            </w:r>
            <w:r w:rsidR="00E74CAA">
              <w:rPr>
                <w:sz w:val="18"/>
                <w:szCs w:val="18"/>
              </w:rPr>
              <w:instrText>ADDIN CSL_CITATION {"citationItems":[{"id":"ITEM-1","itemData":{"DOI":"10.1210/jc.2011-3131","abstract":"Context: Placental angiogenesis contributes to the pathogenesis of preeclampsia (PE) that affects 5-8% of all human pregnancies. MicroRNA (miRNA) are a class of noncoding 21- to 25-nucleotide RNA that negatively regulate gene expression posttranscriptionly. Objective: The aim of this study was to test the hypothesis that miRNA are differentially expressed in healthy term and PE placentas and a subclass of angiogenesis-associated miRNA are increased by PE. Design: Total miRNA were extracted from villous placental tissues from healthy term and severe preeclamptic pregnancies. Differential miRNA expression was analyzed by microarray and real-time quantitative PCR. Angiogenesis-associated miRNA were analyzed by target prediction databases. In situ hybridization was used to localize miRNA. Target verification was performed by transfection of miRNA precursors or antagomirs into endothelial and BeWo cells and luciferase reporter assays. Results: Three highly expressed miRNA (miR-17, -20a, and -20b) were found significantly increased in PE compared with healthy term placentas (n = 10 per group). They target on the same group of genes important for angiogenesis. miR-20b was expressed primarily in villous syncytiotrophoblasts in term placenta. Overexpression or inhibition of miR-20b differentially regulated mRNA expression of those genes in endothelial vs. trophoblast cells. Luciferase reporter assay showed that miR-20b targets EPHB4 and ephrin-B2 that have beenshownto be critical for early human placental development. Placental ephrin-B2 mRNA was significantly down-regulated in PE compared with normotensive pregnancies. Conclusion: miR-17, miR-20a, and miR-20b are differentially regulated in human placentas by PE. They regulate EPHB4 and ephrin-B2 expression in trophoblast and endothelial cells via the same \"seed\" sequence, suggesting their roles in early placental development. Copyright © 2012 by The Endocrine Society.","author":[{"dropping-particle":"","family":"Wang","given":"Wen","non-dropping-particle":"","parse-names":false,"suffix":""},{"dropping-particle":"","family":"Feng","given":"Lin","non-dropping-particle":"","parse-names":false,"suffix":""},{"dropping-particle":"","family":"Zhang","given":"Honghai","non-dropping-particle":"","parse-names":false,"suffix":""},{"dropping-particle":"","family":"Hachy","given":"Stephanie","non-dropping-particle":"","parse-names":false,"suffix":""},{"dropping-particle":"","family":"Satohisa","given":"Seiro","non-dropping-particle":"","parse-names":false,"suffix":""},{"dropping-particle":"","family":"Laurent","given":"Louise C.","non-dropping-particle":"","parse-names":false,"suffix":""},{"dropping-particle":"","family":"Parast","given":"Mana","non-dropping-particle":"","parse-names":false,"suffix":""},{"dropping-particle":"","family":"Zheng","given":"Jing","non-dropping-particle":"","parse-names":false,"suffix":""},{"dropping-particle":"","family":"Chen","given":"Dong Bao","non-dropping-particle":"","parse-names":false,"suffix":""}],"container-title":"Journal of Clinical Endocrinology and Metabolism","id":"ITEM-1","issue":"6","issued":{"date-parts":[["2012"]]},"page":"E1051-9","title":"Preeclampsia up-regulates angiogenesis-associated microRNA (i.e., miR-17, -20a, and -20b) that target ephrin-B2 and EPHB4 in human placenta","type":"article-journal","volume":"97"},"uris":["http://www.mendeley.com/documents/?uuid=2cc85295-520d-3e55-8c8c-0a144b4e9782"]}],"mendeley":{"formattedCitation":"(Wang et al., 2012a)","plainTextFormattedCitation":"(Wang et al., 2012a)","previouslyFormattedCitation":"(Wang et al., 2012a)"},"properties":{"noteIndex":0},"schema":"https://github.com/citation-style-language/schema/raw/master/csl-citation.json"}</w:instrText>
            </w:r>
            <w:r>
              <w:rPr>
                <w:sz w:val="18"/>
                <w:szCs w:val="18"/>
              </w:rPr>
              <w:fldChar w:fldCharType="separate"/>
            </w:r>
            <w:r w:rsidR="00EA2C3B" w:rsidRPr="00691318">
              <w:rPr>
                <w:noProof/>
                <w:sz w:val="18"/>
                <w:szCs w:val="18"/>
              </w:rPr>
              <w:t>(Wang et al., 2012a)</w:t>
            </w:r>
            <w:r>
              <w:rPr>
                <w:sz w:val="18"/>
                <w:szCs w:val="18"/>
              </w:rPr>
              <w:fldChar w:fldCharType="end"/>
            </w:r>
          </w:p>
        </w:tc>
        <w:tc>
          <w:tcPr>
            <w:tcW w:w="1791" w:type="dxa"/>
            <w:vAlign w:val="center"/>
          </w:tcPr>
          <w:p w:rsidR="00460963" w:rsidRDefault="00460963" w:rsidP="009B2A14">
            <w:pPr>
              <w:spacing w:after="0"/>
              <w:jc w:val="center"/>
              <w:rPr>
                <w:sz w:val="18"/>
                <w:szCs w:val="18"/>
              </w:rPr>
            </w:pPr>
            <w:r w:rsidRPr="00E67201">
              <w:rPr>
                <w:sz w:val="18"/>
                <w:szCs w:val="18"/>
              </w:rPr>
              <w:t>18</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30a</w:t>
            </w:r>
          </w:p>
          <w:p w:rsidR="00460963" w:rsidRPr="00EB6201" w:rsidRDefault="00460963" w:rsidP="009B2A14">
            <w:pPr>
              <w:spacing w:after="0"/>
              <w:jc w:val="center"/>
              <w:rPr>
                <w:color w:val="000000"/>
                <w:sz w:val="18"/>
                <w:szCs w:val="18"/>
              </w:rPr>
            </w:pP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 MSCs)</w:t>
            </w:r>
          </w:p>
          <w:p w:rsidR="00460963" w:rsidRPr="002A5714"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 MSCs)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 xml:space="preserve">Yes </w:t>
            </w:r>
          </w:p>
        </w:tc>
        <w:tc>
          <w:tcPr>
            <w:tcW w:w="2977" w:type="dxa"/>
          </w:tcPr>
          <w:p w:rsidR="00EA2C3B" w:rsidRDefault="00EA2C3B" w:rsidP="009B2A14">
            <w:pPr>
              <w:spacing w:after="0"/>
              <w:jc w:val="center"/>
              <w:rPr>
                <w:sz w:val="18"/>
                <w:szCs w:val="18"/>
              </w:rPr>
            </w:pPr>
          </w:p>
          <w:p w:rsidR="00000000" w:rsidRDefault="00E33D6E">
            <w:pPr>
              <w:jc w:val="center"/>
              <w:rPr>
                <w:sz w:val="18"/>
                <w:szCs w:val="18"/>
              </w:rPr>
            </w:pPr>
            <w:r>
              <w:rPr>
                <w:sz w:val="18"/>
                <w:szCs w:val="18"/>
              </w:rPr>
              <w:fldChar w:fldCharType="begin" w:fldLock="1"/>
            </w:r>
            <w:r w:rsidR="00EA2C3B">
              <w:rPr>
                <w:sz w:val="18"/>
                <w:szCs w:val="18"/>
              </w:rPr>
              <w:instrText>ADDIN CSL_CITATION {"citationItems":[{"id":"ITEM-1","itemData":{"DOI":"10.1111/febs.12037","abstract":"Pre-eclampsia is thought to be a systemic disease of maternal endothelial cell dysfunctions. miRNAs regulate various basic biological functions in cells, including stem cells. Mesenchymal stem cells exist in almost all tissues and are the key cellular source for tissue repair and regeneration. Our aims are to investigate whether miRNAs regulate MSCs in fetal-maternal interfaces to influence the pathogenesis of pre-eclampsia. The differential expression of miRNAs in decidua-derived mesenchymal stem cells of all patients with severe pre-eclampsia (n = 20) and normal groups (n = 20) was first screened by microarray analysis and validated by quantitative real-time PCR analysis. The integrated bioinformatics analysis showed that miR-16 showed the highest number of connections in the miRNA GO network and the miRNA gene network. Moreover, over-expressed miR-16 inhibited the proliferation and migration of decidua-derived mesenchymal stem cells and induced cell-cycle arrest by targeting cyclin E1. Interestingly, over-expression of miR-16 by decidua-derived mesenchymal stem cells reduced the ability of human umbilical vein endothelial cells to form blood vessels and reduced the migration of trophoblast cells. Furthermore, decidua-derived mesenchymal stem cell-expressed endothelial growth factor VEGF-A was involved in migration of trophoblast cells and human umbilical vein endothelial cells as well as tube and network formation. Importantly, the levels of cyclin E1 and VEGF-A were negatively correlated with the level of miR-16 expression in decidua-derived mesenchymal stem cells from the patients with severe pre-eclampsia. Together, these data suggest that the alteration of miR-16 expression in decidua-derived mesenchymal stem cells may be involved in the development of pre-eclampsia. © 2012 FEBS.","author":[{"dropping-particle":"","family":"Wang","given":"Yaping","non-dropping-particle":"","parse-names":false,"suffix":""},{"dropping-particle":"","family":"Fan","given":"Hongye","non-dropping-particle":"","parse-names":false,"suffix":""},{"dropping-particle":"","family":"Zhao","given":"Guangfeng","non-dropping-particle":"","parse-names":false,"suffix":""},{"dropping-particle":"","family":"Liu","given":"Dan","non-dropping-particle":"","parse-names":false,"suffix":""},{"dropping-particle":"","family":"Du","given":"Leilei","non-dropping-particle":"","parse-names":false,"suffix":""},{"dropping-particle":"","family":"Wang","given":"Zhiqun","non-dropping-particle":"","parse-names":false,"suffix":""},{"dropping-particle":"","family":"Hu","given":"Yali","non-dropping-particle":"","parse-names":false,"suffix":""},{"dropping-particle":"","family":"Hou","given":"Yayi","non-dropping-particle":"","parse-names":false,"suffix":""}],"container-title":"FEBS Journal","id":"ITEM-1","issue":"24","issued":{"date-parts":[["2012"]]},"page":"4510-4524","title":"MiR-16 inhibits the proliferation and angiogenesis-regulating potential of mesenchymal stem cells in severe pre-eclampsia","type":"article-journal","volume":"279"},"uris":["http://www.mendeley.com/documents/?uuid=8d7fde39-13d1-3398-b9a3-cbda19dd4b60"]}],"mendeley":{"formattedCitation":"(Wang et al., 2012b)","plainTextFormattedCitation":"(Wang et al., 2012b)","previouslyFormattedCitation":"(Wang et al., 2012b)"},"properties":{"noteIndex":0},"schema":"https://github.com/citation-style-language/schema/raw/master/csl-citation.json"}</w:instrText>
            </w:r>
            <w:r>
              <w:rPr>
                <w:sz w:val="18"/>
                <w:szCs w:val="18"/>
              </w:rPr>
              <w:fldChar w:fldCharType="separate"/>
            </w:r>
            <w:r w:rsidR="00EA2C3B" w:rsidRPr="00460963">
              <w:rPr>
                <w:noProof/>
                <w:sz w:val="18"/>
                <w:szCs w:val="18"/>
              </w:rPr>
              <w:t>(Wang et al., 2012b)</w:t>
            </w:r>
            <w:r>
              <w:rPr>
                <w:sz w:val="18"/>
                <w:szCs w:val="18"/>
              </w:rPr>
              <w:fldChar w:fldCharType="end"/>
            </w:r>
          </w:p>
          <w:p w:rsidR="00000000" w:rsidRDefault="00E33D6E">
            <w:pPr>
              <w:jc w:val="center"/>
              <w:rPr>
                <w:sz w:val="18"/>
                <w:szCs w:val="18"/>
              </w:rPr>
            </w:pPr>
            <w:r>
              <w:rPr>
                <w:sz w:val="18"/>
                <w:szCs w:val="18"/>
              </w:rPr>
              <w:fldChar w:fldCharType="begin" w:fldLock="1"/>
            </w:r>
            <w:r w:rsidR="00E74CA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E74CAA" w:rsidRPr="00E74CAA">
              <w:rPr>
                <w:noProof/>
                <w:sz w:val="18"/>
                <w:szCs w:val="18"/>
              </w:rPr>
              <w:t>(Zhao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19</w:t>
            </w:r>
          </w:p>
          <w:p w:rsidR="00460963" w:rsidRPr="00E67201" w:rsidRDefault="00460963" w:rsidP="009B2A14">
            <w:pPr>
              <w:spacing w:after="0"/>
              <w:jc w:val="center"/>
              <w:rPr>
                <w:sz w:val="18"/>
                <w:szCs w:val="18"/>
              </w:rPr>
            </w:pPr>
            <w:r>
              <w:rPr>
                <w:sz w:val="18"/>
                <w:szCs w:val="18"/>
              </w:rPr>
              <w:t>46</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30a-3p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Yes </w:t>
            </w:r>
          </w:p>
        </w:tc>
        <w:tc>
          <w:tcPr>
            <w:tcW w:w="2977" w:type="dxa"/>
          </w:tcPr>
          <w:p w:rsidR="00E74CAA" w:rsidRDefault="00E33D6E" w:rsidP="00E74CAA">
            <w:pPr>
              <w:spacing w:after="0"/>
              <w:jc w:val="center"/>
              <w:rPr>
                <w:sz w:val="18"/>
                <w:szCs w:val="18"/>
              </w:rPr>
            </w:pPr>
            <w:r>
              <w:rPr>
                <w:sz w:val="18"/>
                <w:szCs w:val="18"/>
              </w:rPr>
              <w:fldChar w:fldCharType="begin" w:fldLock="1"/>
            </w:r>
            <w:r w:rsidR="00E74C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E74CAA" w:rsidRPr="00FA32AE">
              <w:rPr>
                <w:noProof/>
                <w:sz w:val="18"/>
                <w:szCs w:val="18"/>
              </w:rPr>
              <w:t>(Xu et al., 2014)</w:t>
            </w:r>
            <w:r>
              <w:rPr>
                <w:sz w:val="18"/>
                <w:szCs w:val="18"/>
              </w:rPr>
              <w:fldChar w:fldCharType="end"/>
            </w:r>
          </w:p>
          <w:p w:rsidR="00460963" w:rsidRDefault="00E33D6E" w:rsidP="00E74CAA">
            <w:pPr>
              <w:spacing w:after="0"/>
              <w:jc w:val="center"/>
              <w:rPr>
                <w:sz w:val="18"/>
                <w:szCs w:val="18"/>
              </w:rPr>
            </w:pPr>
            <w:r>
              <w:rPr>
                <w:sz w:val="18"/>
                <w:szCs w:val="18"/>
              </w:rPr>
              <w:fldChar w:fldCharType="begin" w:fldLock="1"/>
            </w:r>
            <w:r w:rsidR="00E74C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E74CAA"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26a</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E74CAA">
              <w:rPr>
                <w:sz w:val="18"/>
                <w:szCs w:val="18"/>
              </w:rPr>
              <w:instrText>ADDIN CSL_CITATION {"citationItems":[{"id":"ITEM-1","itemData":{"DOI":"10.1530/REP-11-0304","abstract":"Until recently, the molecular pathogenesis of preeclampsia (PE) remained largely unknown. Reports have shown that circulating microRNAs (miRNAs) are promising novel biomarkers for cancer, pregnancy, tissue injury, and other conditions. The objective of this study was to identify differentially expressed miRNAs in plasma from severe preeclamptic pregnancies compared with plasma from normal pregnancies. By mature miRNA microarray analysis, 15 miRNAs, including 13 up- and two downregulated miRNAs, were screened to be differentially expressed in plasma from women with severe PE (sPE). Seven miRNAs, namely miR-24, miR-26a, miR-103, miR-130b, miR-181a, miR-342-3p, and miR-574-5p, were validated to be elevated in plasma from severe preeclamptic pregnancies by real-time quantitative stem-loop RT-PCR analysis. Gene ontology and pathway enrichment analyses revealed that these miRNAs were involved in specific biological process categories (including regulation of metabolic processes, regulation of transcription, and cell cycle) and signaling pathways (including the MAP kinase signaling pathway, the transforming growth factor-β signaling pathway, and pathways in cancer metastasis). This study presents, for the first time, the differential expression profile of circulating miRNAs in sPE patients. The seven elevated circulating miRNAs may play critical roles in the pathogenesis of sPE, and one or more of them may become potential markers for diagnosing sPE. © 2012 Society for Reproduction and Fertility.","author":[{"dropping-particle":"","family":"Wu","given":"Liang","non-dropping-particle":"","parse-names":false,"suffix":""},{"dropping-particle":"","family":"Zhou","given":"Honghui","non-dropping-particle":"","parse-names":false,"suffix":""},{"dropping-particle":"","family":"Lin","given":"Haiyan","non-dropping-particle":"","parse-names":false,"suffix":""},{"dropping-particle":"","family":"Qi","given":"Jianguo","non-dropping-particle":"","parse-names":false,"suffix":""},{"dropping-particle":"","family":"Zhu","given":"Cheng","non-dropping-particle":"","parse-names":false,"suffix":""},{"dropping-particle":"","family":"Gao","given":"Zhiying","non-dropping-particle":"","parse-names":false,"suffix":""},{"dropping-particle":"","family":"Wang","given":"Hongmei","non-dropping-particle":"","parse-names":false,"suffix":""}],"container-title":"Reproduction","id":"ITEM-1","issue":"3","issued":{"date-parts":[["2012"]]},"page":"389-397","title":"Circulating microRNAs are elevated in plasma from severe preeclamptic pregnancies","type":"article-journal","volume":"143"},"uris":["http://www.mendeley.com/documents/?uuid=08bf4d7f-013a-306f-93ff-ab976015d3cf"]}],"mendeley":{"formattedCitation":"(Wu et al., 2012)","plainTextFormattedCitation":"(Wu et al., 2012)","previouslyFormattedCitation":"(Wu et al., 2012)"},"properties":{"noteIndex":0},"schema":"https://github.com/citation-style-language/schema/raw/master/csl-citation.json"}</w:instrText>
            </w:r>
            <w:r>
              <w:rPr>
                <w:sz w:val="18"/>
                <w:szCs w:val="18"/>
              </w:rPr>
              <w:fldChar w:fldCharType="separate"/>
            </w:r>
            <w:r w:rsidR="00E74CAA" w:rsidRPr="00E74CAA">
              <w:rPr>
                <w:noProof/>
                <w:sz w:val="18"/>
                <w:szCs w:val="18"/>
              </w:rPr>
              <w:t>(Wu et al., 2012)</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26a-5p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UC blood</w:t>
            </w:r>
          </w:p>
          <w:p w:rsidR="00460963" w:rsidRDefault="00460963" w:rsidP="009B2A14">
            <w:pPr>
              <w:spacing w:after="0"/>
              <w:jc w:val="center"/>
              <w:rPr>
                <w:color w:val="000000"/>
                <w:sz w:val="18"/>
                <w:szCs w:val="18"/>
              </w:rPr>
            </w:pPr>
            <w:r>
              <w:rPr>
                <w:color w:val="000000"/>
                <w:sz w:val="18"/>
                <w:szCs w:val="18"/>
              </w:rPr>
              <w:t>UC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EOPE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{"citationItems":[{"id":"ITEM-1","itemData":{"DOI":"10.1371/journal.pone.0138383","abstract":"Aims. To demonstrate that pregnancy-related complications are associated with alterations in cardiovascular and cerebrovascular microRNA expression. Gene expression of 32 microRNAs (miR-1-3p, miR-16-5p, miR-17-5p, miR-20a-5p, miR-20b-5p, miR-21-5p, miR-23a-3p, miR-24-3p, miR-26a-5p, miR-29a-3p, miR-33a-5p, miR-92a-3p, miR-100-5p, miR-103a-3p, miR-122-5p, miR-125b-5p, miR-126-3p, miR-130b-3p, miR-133a-3p, miR-143-3p, miR- 145-5p, miR-146a-5p, miR-155-5p, miR-181a-5p, miR-195-5p, miR-199a-5p, miR-208a-3p, miR-210-3p, miR-221-3p, miR-342-3p, miR-499a-5p, and miR-574-3p) was assessed in placental tissues, compared between groups (35 gestational hypertension, 80 preeclampsia, 35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placental tissues affected by pregnancy-related complications have been carried out.","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PLoS ONE","id":"ITEM-1","issue":"9","issued":{"date-parts":[["2015"]]},"page":"e0138383","title":"Cardiovascular and cerebrovascular disease associated microRNAS are dysregulated in placental tissues affected with gestational hypertension, preeclampsia and intrauterine growth restriction","type":"article-journal","volume":"10"},"uris":["http://www.mendeley.com/documents/?uuid=6c37d6ae-29c0-329f-a584-7063ee1728eb"]}],"mendeley":{"formattedCitation":"(Hromadnikova et al., 2015a)","plainTextFormattedCitation":"(Hromadnikova et al., 2015a)","previouslyFormattedCitation":"(Hromadnikova et al., 2015a)"},"properties":{"noteIndex":0},"schema":"https://github.com/citation-style-language/schema/raw/master/csl-citation.json"}</w:instrText>
            </w:r>
            <w:r>
              <w:rPr>
                <w:sz w:val="18"/>
                <w:szCs w:val="18"/>
              </w:rPr>
              <w:fldChar w:fldCharType="separate"/>
            </w:r>
            <w:r w:rsidR="00E74CAA" w:rsidRPr="00E74CAA">
              <w:rPr>
                <w:noProof/>
                <w:sz w:val="18"/>
                <w:szCs w:val="18"/>
              </w:rPr>
              <w:t>(Hromadnikova et al., 2015a)</w:t>
            </w:r>
            <w:r>
              <w:rPr>
                <w:sz w:val="18"/>
                <w:szCs w:val="18"/>
              </w:rPr>
              <w:fldChar w:fldCharType="end"/>
            </w:r>
          </w:p>
          <w:p w:rsidR="00324B9B"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324B9B" w:rsidRPr="00324B9B">
              <w:rPr>
                <w:noProof/>
                <w:sz w:val="18"/>
                <w:szCs w:val="18"/>
              </w:rPr>
              <w:t>(Hromadnikova et al., 2017)</w:t>
            </w:r>
            <w:r>
              <w:rPr>
                <w:sz w:val="18"/>
                <w:szCs w:val="18"/>
              </w:rPr>
              <w:fldChar w:fldCharType="end"/>
            </w:r>
          </w:p>
          <w:p w:rsidR="00324B9B"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324B9B" w:rsidRPr="00324B9B">
              <w:rPr>
                <w:noProof/>
                <w:sz w:val="18"/>
                <w:szCs w:val="18"/>
              </w:rPr>
              <w:t>(Hromadnikova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52</w:t>
            </w:r>
          </w:p>
          <w:p w:rsidR="00460963" w:rsidRDefault="00460963" w:rsidP="009B2A14">
            <w:pPr>
              <w:spacing w:after="0"/>
              <w:jc w:val="center"/>
              <w:rPr>
                <w:sz w:val="18"/>
                <w:szCs w:val="18"/>
              </w:rPr>
            </w:pPr>
            <w:r>
              <w:rPr>
                <w:sz w:val="18"/>
                <w:szCs w:val="18"/>
              </w:rPr>
              <w:t>92</w:t>
            </w:r>
          </w:p>
          <w:p w:rsidR="00460963" w:rsidRDefault="00460963" w:rsidP="009B2A14">
            <w:pPr>
              <w:spacing w:after="0"/>
              <w:jc w:val="center"/>
              <w:rPr>
                <w:sz w:val="18"/>
                <w:szCs w:val="18"/>
              </w:rPr>
            </w:pPr>
            <w:r>
              <w:rPr>
                <w:sz w:val="18"/>
                <w:szCs w:val="18"/>
              </w:rPr>
              <w:t>92</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130b</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{"citationItems":[{"id":"ITEM-1","itemData":{"DOI":"10.1530/REP-11-0304","abstract":"Until recently, the molecular pathogenesis of preeclampsia (PE) remained largely unknown. Reports have shown that circulating microRNAs (miRNAs) are promising novel biomarkers for cancer, pregnancy, tissue injury, and other conditions. The objective of this study was to identify differentially expressed miRNAs in plasma from severe preeclamptic pregnancies compared with plasma from normal pregnancies. By mature miRNA microarray analysis, 15 miRNAs, including 13 up- and two downregulated miRNAs, were screened to be differentially expressed in plasma from women with severe PE (sPE). Seven miRNAs, namely miR-24, miR-26a, miR-103, miR-130b, miR-181a, miR-342-3p, and miR-574-5p, were validated to be elevated in plasma from severe preeclamptic pregnancies by real-time quantitative stem-loop RT-PCR analysis. Gene ontology and pathway enrichment analyses revealed that these miRNAs were involved in specific biological process categories (including regulation of metabolic processes, regulation of transcription, and cell cycle) and signaling pathways (including the MAP kinase signaling pathway, the transforming growth factor-β signaling pathway, and pathways in cancer metastasis). This study presents, for the first time, the differential expression profile of circulating miRNAs in sPE patients. The seven elevated circulating miRNAs may play critical roles in the pathogenesis of sPE, and one or more of them may become potential markers for diagnosing sPE. © 2012 Society for Reproduction and Fertility.","author":[{"dropping-particle":"","family":"Wu","given":"Liang","non-dropping-particle":"","parse-names":false,"suffix":""},{"dropping-particle":"","family":"Zhou","given":"Honghui","non-dropping-particle":"","parse-names":false,"suffix":""},{"dropping-particle":"","family":"Lin","given":"Haiyan","non-dropping-particle":"","parse-names":false,"suffix":""},{"dropping-particle":"","family":"Qi","given":"Jianguo","non-dropping-particle":"","parse-names":false,"suffix":""},{"dropping-particle":"","family":"Zhu","given":"Cheng","non-dropping-particle":"","parse-names":false,"suffix":""},{"dropping-particle":"","family":"Gao","given":"Zhiying","non-dropping-particle":"","parse-names":false,"suffix":""},{"dropping-particle":"","family":"Wang","given":"Hongmei","non-dropping-particle":"","parse-names":false,"suffix":""}],"container-title":"Reproduction","id":"ITEM-1","issue":"3","issued":{"date-parts":[["2012"]]},"page":"389-397","title":"Circulating microRNAs are elevated in plasma from severe preeclamptic pregnancies","type":"article-journal","volume":"143"},"uris":["http://www.mendeley.com/documents/?uuid=08bf4d7f-013a-306f-93ff-ab976015d3cf"]}],"mendeley":{"formattedCitation":"(Wu et al., 2012)","plainTextFormattedCitation":"(Wu et al., 2012)","previouslyFormattedCitation":"(Wu et al., 2012)"},"properties":{"noteIndex":0},"schema":"https://github.com/citation-style-language/schema/raw/master/csl-citation.json"}</w:instrText>
            </w:r>
            <w:r>
              <w:rPr>
                <w:sz w:val="18"/>
                <w:szCs w:val="18"/>
              </w:rPr>
              <w:fldChar w:fldCharType="separate"/>
            </w:r>
            <w:r w:rsidR="00324B9B" w:rsidRPr="00E74CAA">
              <w:rPr>
                <w:noProof/>
                <w:sz w:val="18"/>
                <w:szCs w:val="18"/>
              </w:rPr>
              <w:t>(Wu et al., 2012)</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342-3p</w:t>
            </w:r>
          </w:p>
        </w:tc>
        <w:tc>
          <w:tcPr>
            <w:tcW w:w="2136" w:type="dxa"/>
            <w:vAlign w:val="center"/>
          </w:tcPr>
          <w:p w:rsidR="00460963" w:rsidRDefault="00460963" w:rsidP="009B2A14">
            <w:pPr>
              <w:spacing w:after="0"/>
              <w:jc w:val="center"/>
              <w:rPr>
                <w:color w:val="000000"/>
                <w:sz w:val="18"/>
                <w:szCs w:val="18"/>
              </w:rPr>
            </w:pPr>
            <w:r w:rsidRPr="00395B3B">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7C58C5">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{"citationItems":[{"id":"ITEM-1","itemData":{"DOI":"10.1530/REP-11-0304","abstract":"Until recently, the molecular pathogenesis of preeclampsia (PE) remained largely unknown. Reports have shown that circulating microRNAs (miRNAs) are promising novel biomarkers for cancer, pregnancy, tissue injury, and other conditions. The objective of this study was to identify differentially expressed miRNAs in plasma from severe preeclamptic pregnancies compared with plasma from normal pregnancies. By mature miRNA microarray analysis, 15 miRNAs, including 13 up- and two downregulated miRNAs, were screened to be differentially expressed in plasma from women with severe PE (sPE). Seven miRNAs, namely miR-24, miR-26a, miR-103, miR-130b, miR-181a, miR-342-3p, and miR-574-5p, were validated to be elevated in plasma from severe preeclamptic pregnancies by real-time quantitative stem-loop RT-PCR analysis. Gene ontology and pathway enrichment analyses revealed that these miRNAs were involved in specific biological process categories (including regulation of metabolic processes, regulation of transcription, and cell cycle) and signaling pathways (including the MAP kinase signaling pathway, the transforming growth factor-β signaling pathway, and pathways in cancer metastasis). This study presents, for the first time, the differential expression profile of circulating miRNAs in sPE patients. The seven elevated circulating miRNAs may play critical roles in the pathogenesis of sPE, and one or more of them may become potential markers for diagnosing sPE. © 2012 Society for Reproduction and Fertility.","author":[{"dropping-particle":"","family":"Wu","given":"Liang","non-dropping-particle":"","parse-names":false,"suffix":""},{"dropping-particle":"","family":"Zhou","given":"Honghui","non-dropping-particle":"","parse-names":false,"suffix":""},{"dropping-particle":"","family":"Lin","given":"Haiyan","non-dropping-particle":"","parse-names":false,"suffix":""},{"dropping-particle":"","family":"Qi","given":"Jianguo","non-dropping-particle":"","parse-names":false,"suffix":""},{"dropping-particle":"","family":"Zhu","given":"Cheng","non-dropping-particle":"","parse-names":false,"suffix":""},{"dropping-particle":"","family":"Gao","given":"Zhiying","non-dropping-particle":"","parse-names":false,"suffix":""},{"dropping-particle":"","family":"Wang","given":"Hongmei","non-dropping-particle":"","parse-names":false,"suffix":""}],"container-title":"Reproduction","id":"ITEM-1","issue":"3","issued":{"date-parts":[["2012"]]},"page":"389-397","title":"Circulating microRNAs are elevated in plasma from severe preeclamptic pregnancies","type":"article-journal","volume":"143"},"uris":["http://www.mendeley.com/documents/?uuid=08bf4d7f-013a-306f-93ff-ab976015d3cf"]}],"mendeley":{"formattedCitation":"(Wu et al., 2012)","plainTextFormattedCitation":"(Wu et al., 2012)","previouslyFormattedCitation":"(Wu et al., 2012)"},"properties":{"noteIndex":0},"schema":"https://github.com/citation-style-language/schema/raw/master/csl-citation.json"}</w:instrText>
            </w:r>
            <w:r>
              <w:rPr>
                <w:sz w:val="18"/>
                <w:szCs w:val="18"/>
              </w:rPr>
              <w:fldChar w:fldCharType="separate"/>
            </w:r>
            <w:r w:rsidR="00324B9B" w:rsidRPr="00E74CAA">
              <w:rPr>
                <w:noProof/>
                <w:sz w:val="18"/>
                <w:szCs w:val="18"/>
              </w:rPr>
              <w:t>(Wu et al., 2012)</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sidRPr="00EB6201">
              <w:rPr>
                <w:color w:val="000000"/>
                <w:sz w:val="18"/>
                <w:szCs w:val="18"/>
              </w:rPr>
              <w:t>574-5p</w:t>
            </w:r>
          </w:p>
        </w:tc>
        <w:tc>
          <w:tcPr>
            <w:tcW w:w="2136" w:type="dxa"/>
            <w:vAlign w:val="center"/>
          </w:tcPr>
          <w:p w:rsidR="00460963" w:rsidRDefault="00460963" w:rsidP="009B2A14">
            <w:pPr>
              <w:spacing w:after="0"/>
              <w:jc w:val="center"/>
              <w:rPr>
                <w:color w:val="000000"/>
                <w:sz w:val="18"/>
                <w:szCs w:val="18"/>
              </w:rPr>
            </w:pPr>
            <w:r w:rsidRPr="00395B3B">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7C58C5">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{"citationItems":[{"id":"ITEM-1","itemData":{"DOI":"10.1530/REP-11-0304","abstract":"Until recently, the molecular pathogenesis of preeclampsia (PE) remained largely unknown. Reports have shown that circulating microRNAs (miRNAs) are promising novel biomarkers for cancer, pregnancy, tissue injury, and other conditions. The objective of this study was to identify differentially expressed miRNAs in plasma from severe preeclamptic pregnancies compared with plasma from normal pregnancies. By mature miRNA microarray analysis, 15 miRNAs, including 13 up- and two downregulated miRNAs, were screened to be differentially expressed in plasma from women with severe PE (sPE). Seven miRNAs, namely miR-24, miR-26a, miR-103, miR-130b, miR-181a, miR-342-3p, and miR-574-5p, were validated to be elevated in plasma from severe preeclamptic pregnancies by real-time quantitative stem-loop RT-PCR analysis. Gene ontology and pathway enrichment analyses revealed that these miRNAs were involved in specific biological process categories (including regulation of metabolic processes, regulation of transcription, and cell cycle) and signaling pathways (including the MAP kinase signaling pathway, the transforming growth factor-β signaling pathway, and pathways in cancer metastasis). This study presents, for the first time, the differential expression profile of circulating miRNAs in sPE patients. The seven elevated circulating miRNAs may play critical roles in the pathogenesis of sPE, and one or more of them may become potential markers for diagnosing sPE. © 2012 Society for Reproduction and Fertility.","author":[{"dropping-particle":"","family":"Wu","given":"Liang","non-dropping-particle":"","parse-names":false,"suffix":""},{"dropping-particle":"","family":"Zhou","given":"Honghui","non-dropping-particle":"","parse-names":false,"suffix":""},{"dropping-particle":"","family":"Lin","given":"Haiyan","non-dropping-particle":"","parse-names":false,"suffix":""},{"dropping-particle":"","family":"Qi","given":"Jianguo","non-dropping-particle":"","parse-names":false,"suffix":""},{"dropping-particle":"","family":"Zhu","given":"Cheng","non-dropping-particle":"","parse-names":false,"suffix":""},{"dropping-particle":"","family":"Gao","given":"Zhiying","non-dropping-particle":"","parse-names":false,"suffix":""},{"dropping-particle":"","family":"Wang","given":"Hongmei","non-dropping-particle":"","parse-names":false,"suffix":""}],"container-title":"Reproduction","id":"ITEM-1","issue":"3","issued":{"date-parts":[["2012"]]},"page":"389-397","title":"Circulating microRNAs are elevated in plasma from severe preeclamptic pregnancies","type":"article-journal","volume":"143"},"uris":["http://www.mendeley.com/documents/?uuid=08bf4d7f-013a-306f-93ff-ab976015d3cf"]}],"mendeley":{"formattedCitation":"(Wu et al., 2012)","plainTextFormattedCitation":"(Wu et al., 2012)","previouslyFormattedCitation":"(Wu et al., 2012)"},"properties":{"noteIndex":0},"schema":"https://github.com/citation-style-language/schema/raw/master/csl-citation.json"}</w:instrText>
            </w:r>
            <w:r>
              <w:rPr>
                <w:sz w:val="18"/>
                <w:szCs w:val="18"/>
              </w:rPr>
              <w:fldChar w:fldCharType="separate"/>
            </w:r>
            <w:r w:rsidR="00324B9B" w:rsidRPr="00E74CAA">
              <w:rPr>
                <w:noProof/>
                <w:sz w:val="18"/>
                <w:szCs w:val="18"/>
              </w:rPr>
              <w:t>(Wu et al., 2012)</w:t>
            </w:r>
            <w:r>
              <w:rPr>
                <w:sz w:val="18"/>
                <w:szCs w:val="18"/>
              </w:rPr>
              <w:fldChar w:fldCharType="end"/>
            </w:r>
          </w:p>
          <w:p w:rsidR="00324B9B"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{"citationItems":[{"id":"ITEM-1","itemData":{"DOI":"10.1016/j.ajog.2019.11.1286","ISSN":"10976868","PMID":"31836544","abstract":"Background: Preeclampsia is a hypertensive pregnancy disorder in which generalized systemic inflammation and maternal endothelial dysfunction are involved in the pathophysiology. MiRNAs are small noncoding RNAs responsible for post-transcriptional regulation of gene expression and involved in many physiological processes. They mainly downregulate translation of their target genes. Objective: We aimed to compare the plasma miRNA concentrations in preeclampsia, healthy pregnant women, and nonpregnant women. Furthermore, we aimed to evaluate the effect of 3 highly increased plasma miRNAs in preeclampsia on endothelial cell function in vitro. Study Design: We compared 3391 (precursor) miRNA concentrations in plasma samples from early-onset preeclamptic women, gestational age–matched healthy pregnant women, and nonpregnant women using miRNA 3.1. arrays (Affymetrix) and validated our findings by real-time quantitative polymerase chain reaction. Subsequently, endothelial cells (human umbilical vein endothelial cells) were transfected with microRNA mimics (we choose the 3 miRNAs with the greatest fold change and lowest false-discovery rate in preeclampsia vs healthy pregnancy). After transfection, functional assays were performed to evaluate whether overexpression of the microRNAs in endothelial cells affected endothelial cell function in vitro. Functional assays were the wound-healing assay (which measures cell migration and proliferation), the proliferation assay, and the tube-formation assay (which assesses formation of endothelial cell tubes during the angiogenic process). To determine whether the miRNAs are able to decrease gene expression of certain genes, RNA was isolated from transfected endothelial cells and gene expression (by measuring RNA expression) was evaluated by gene expression microarray (Genechip Human Gene 2.1 ST arrays; Life Technologies). For the microarray, we used pooled samples, but the differently expressed genes in the microarray were validated by real-time quantitative polymerase chain reaction in individual samples. Results: No significant differences (fold change &lt;–1.2 or &gt;1.2 with a false-discovery rate &lt;0.05) were found in miRNA plasma concentrations between healthy pregnant and nonpregnant women. The plasma concentrations of 26 (precursor) miRNAs were different between preeclampsia and healthy pregnancy. The 3 miRNAs that were increased with the greatest fold change and lowest false-discovery rate in preeclampsia vs healthy preg…","author":[{"dropping-particle":"V.","family":"Lip","given":"Simone","non-dropping-particle":"","parse-names":false,"suffix":""},{"dropping-particle":"V.","family":"Boekschoten","given":"Mark","non-dropping-particle":"","parse-names":false,"suffix":""},{"dropping-particle":"","family":"Hooiveld","given":"Guido J.","non-dropping-particle":"","parse-names":false,"suffix":""},{"dropping-particle":"","family":"Pampus","given":"Mariëlle G.","non-dropping-particle":"van","parse-names":false,"suffix":""},{"dropping-particle":"","family":"Scherjon","given":"Sicco A.","non-dropping-particle":"","parse-names":false,"suffix":""},{"dropping-particle":"","family":"Plösch","given":"Torsten","non-dropping-particle":"","parse-names":false,"suffix":""},{"dropping-particle":"","family":"Faas","given":"Marijke M.","non-dropping-particle":"","parse-names":false,"suffix":""}],"container-title":"American Journal of Obstetrics and Gynecology","id":"ITEM-1","issue":"5","issued":{"date-parts":[["2020"]]},"page":"497.e1-497.e12","title":"Early-onset preeclampsia, plasma microRNAs, and endothelial cell function","type":"article-journal","volume":"222"},"uris":["http://www.mendeley.com/documents/?uuid=7bc2de84-8a54-33e5-af22-afb2273ba54d"]}],"mendeley":{"formattedCitation":"(Lip et al., 2020)","plainTextFormattedCitation":"(Lip et al., 2020)","previouslyFormattedCitation":"(Lip et al., 2020)"},"properties":{"noteIndex":0},"schema":"https://github.com/citation-style-language/schema/raw/master/csl-citation.json"}</w:instrText>
            </w:r>
            <w:r>
              <w:rPr>
                <w:sz w:val="18"/>
                <w:szCs w:val="18"/>
              </w:rPr>
              <w:fldChar w:fldCharType="separate"/>
            </w:r>
            <w:r w:rsidR="00324B9B" w:rsidRPr="00324B9B">
              <w:rPr>
                <w:noProof/>
                <w:sz w:val="18"/>
                <w:szCs w:val="18"/>
              </w:rPr>
              <w:t>(Lip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20</w:t>
            </w:r>
          </w:p>
          <w:p w:rsidR="00460963" w:rsidRDefault="00460963" w:rsidP="009B2A14">
            <w:pPr>
              <w:spacing w:after="0"/>
              <w:jc w:val="center"/>
              <w:rPr>
                <w:sz w:val="18"/>
                <w:szCs w:val="18"/>
              </w:rPr>
            </w:pPr>
            <w:r>
              <w:rPr>
                <w:sz w:val="18"/>
                <w:szCs w:val="18"/>
              </w:rPr>
              <w:t>Lip 2019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574-3p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UC blood</w:t>
            </w:r>
          </w:p>
          <w:p w:rsidR="00460963" w:rsidRPr="00395B3B" w:rsidRDefault="00460963" w:rsidP="009B2A14">
            <w:pPr>
              <w:spacing w:after="0"/>
              <w:jc w:val="center"/>
              <w:rPr>
                <w:color w:val="000000"/>
                <w:sz w:val="18"/>
                <w:szCs w:val="18"/>
              </w:rPr>
            </w:pPr>
            <w:r>
              <w:rPr>
                <w:color w:val="000000"/>
                <w:sz w:val="18"/>
                <w:szCs w:val="18"/>
              </w:rPr>
              <w:t>UC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p w:rsidR="00460963" w:rsidRPr="007C58C5"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324B9B" w:rsidRDefault="00E33D6E" w:rsidP="00324B9B">
            <w:pPr>
              <w:spacing w:after="0"/>
              <w:jc w:val="center"/>
              <w:rPr>
                <w:sz w:val="18"/>
                <w:szCs w:val="18"/>
              </w:rPr>
            </w:pPr>
            <w:r>
              <w:rPr>
                <w:sz w:val="18"/>
                <w:szCs w:val="18"/>
              </w:rPr>
              <w:fldChar w:fldCharType="begin" w:fldLock="1"/>
            </w:r>
            <w:r w:rsidR="00324B9B">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324B9B" w:rsidRPr="00BB7CB7">
              <w:rPr>
                <w:noProof/>
                <w:sz w:val="18"/>
                <w:szCs w:val="18"/>
              </w:rPr>
              <w:t>(Hromadnikova et al., 2016)</w:t>
            </w:r>
            <w:r>
              <w:rPr>
                <w:sz w:val="18"/>
                <w:szCs w:val="18"/>
              </w:rPr>
              <w:fldChar w:fldCharType="end"/>
            </w:r>
          </w:p>
          <w:p w:rsidR="00324B9B" w:rsidRDefault="00E33D6E" w:rsidP="00324B9B">
            <w:pPr>
              <w:spacing w:after="0"/>
              <w:jc w:val="center"/>
              <w:rPr>
                <w:sz w:val="18"/>
                <w:szCs w:val="18"/>
              </w:rPr>
            </w:pPr>
            <w:r>
              <w:rPr>
                <w:sz w:val="18"/>
                <w:szCs w:val="18"/>
              </w:rPr>
              <w:fldChar w:fldCharType="begin" w:fldLock="1"/>
            </w:r>
            <w:r w:rsidR="00324B9B">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324B9B" w:rsidRPr="00324B9B">
              <w:rPr>
                <w:noProof/>
                <w:sz w:val="18"/>
                <w:szCs w:val="18"/>
              </w:rPr>
              <w:t>(Hromadnikova et al., 2017)</w:t>
            </w:r>
            <w:r>
              <w:rPr>
                <w:sz w:val="18"/>
                <w:szCs w:val="18"/>
              </w:rPr>
              <w:fldChar w:fldCharType="end"/>
            </w:r>
          </w:p>
          <w:p w:rsidR="00460963" w:rsidRDefault="00E33D6E" w:rsidP="00324B9B">
            <w:pPr>
              <w:spacing w:after="0"/>
              <w:jc w:val="center"/>
              <w:rPr>
                <w:sz w:val="18"/>
                <w:szCs w:val="18"/>
              </w:rPr>
            </w:pPr>
            <w:r>
              <w:rPr>
                <w:sz w:val="18"/>
                <w:szCs w:val="18"/>
              </w:rPr>
              <w:fldChar w:fldCharType="begin" w:fldLock="1"/>
            </w:r>
            <w:r w:rsidR="00324B9B">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324B9B" w:rsidRPr="00324B9B">
              <w:rPr>
                <w:noProof/>
                <w:sz w:val="18"/>
                <w:szCs w:val="18"/>
              </w:rPr>
              <w:t>(Hromadnikova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92</w:t>
            </w:r>
          </w:p>
          <w:p w:rsidR="00460963" w:rsidRDefault="00460963" w:rsidP="009B2A14">
            <w:pPr>
              <w:spacing w:after="0"/>
              <w:jc w:val="center"/>
              <w:rPr>
                <w:sz w:val="18"/>
                <w:szCs w:val="18"/>
              </w:rPr>
            </w:pPr>
            <w:r>
              <w:rPr>
                <w:sz w:val="18"/>
                <w:szCs w:val="18"/>
              </w:rPr>
              <w:t>92</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141</w:t>
            </w:r>
          </w:p>
        </w:tc>
        <w:tc>
          <w:tcPr>
            <w:tcW w:w="2136" w:type="dxa"/>
            <w:vAlign w:val="center"/>
          </w:tcPr>
          <w:p w:rsidR="00460963" w:rsidRPr="00395B3B"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7C58C5" w:rsidRDefault="00460963" w:rsidP="009B2A14">
            <w:pPr>
              <w:spacing w:after="0"/>
              <w:jc w:val="center"/>
              <w:rPr>
                <w:color w:val="000000"/>
                <w:sz w:val="18"/>
                <w:szCs w:val="18"/>
              </w:rPr>
            </w:pPr>
            <w:r w:rsidRPr="00EB6201">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{"citationItems":[{"id":"ITEM-1","itemData":{"DOI":"10.1155/2013/970265","abstract":"Objective. Preeclampsia (PE) is a pregnancy-specific syndrome and one of the leading causes of maternal and fetal morbidity and mortality. The pathophysiological mechanisms of PE remain poorly known. Recently, circulating miRNAs are considered as potential useful noninvasive biomarkers. The aim of this study was to identify differentially expressed plasma miRNAs in preeclamptic pregnancies compared with normal pregnancies. Methods. Maternal plasma miRNA expression profiles were detected by SOLiD sequencing. Differential expressions between mPE/sPE and control group were found. Next, four differentially expressed plasma miRNAs were chosen to validate their expression in other large scale samples by real-time PCR. Results. In terms of sequencing results, we identified that 51 miRNAs were differentially expressed. Four differentially expressed plasma miRNAs (miR-141, miR-144, miR-221, and miR-29a) were selected to validate the sequencing results. RT-PCR data confirmed the reliability of sequencing results. The further statistical analysis showed that maternal plasma miR-141 and miR-29a are significantly overexpressed in mPE (P &lt; 0.05). Maternal plasma miR-144 is significantly underexpressed in mPE and sPE (P &lt; 0.05). Conclusions. Results showed that there were differentially expressed maternal plasma miRNAs in patients with preeclampsia. These plasma miRNAs might be used as notable biomarkers for diagnosis of preeclampsia. © 2013 Hailing Li et al.","author":[{"dropping-particle":"","family":"Li","given":"Hailing","non-dropping-particle":"","parse-names":false,"suffix":""},{"dropping-particle":"","family":"Ge","given":"Qinyu","non-dropping-particle":"","parse-names":false,"suffix":""},{"dropping-particle":"","family":"Guo","given":"Li","non-dropping-particle":"","parse-names":false,"suffix":""},{"dropping-particle":"","family":"Lu","given":"Zuhong","non-dropping-particle":"","parse-names":false,"suffix":""}],"container-title":"BioMed Research International","id":"ITEM-1","issued":{"date-parts":[["2013"]]},"page":"970265","title":"Maternal plasma miRNAs expression in preeclamptic pregnancies","type":"article-journal","volume":"2013"},"uris":["http://www.mendeley.com/documents/?uuid=7de901b7-e0e2-38e3-b4d4-aba3699e4d0d"]}],"mendeley":{"formattedCitation":"(Li et al., 2013a)","plainTextFormattedCitation":"(Li et al., 2013a)","previouslyFormattedCitation":"(Li et al., 2013a)"},"properties":{"noteIndex":0},"schema":"https://github.com/citation-style-language/schema/raw/master/csl-citation.json"}</w:instrText>
            </w:r>
            <w:r>
              <w:rPr>
                <w:sz w:val="18"/>
                <w:szCs w:val="18"/>
              </w:rPr>
              <w:fldChar w:fldCharType="separate"/>
            </w:r>
            <w:r w:rsidR="00324B9B" w:rsidRPr="00324B9B">
              <w:rPr>
                <w:noProof/>
                <w:sz w:val="18"/>
                <w:szCs w:val="18"/>
              </w:rPr>
              <w:t>(Li et al., 2013a)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144</w:t>
            </w:r>
          </w:p>
        </w:tc>
        <w:tc>
          <w:tcPr>
            <w:tcW w:w="2136" w:type="dxa"/>
            <w:vAlign w:val="center"/>
          </w:tcPr>
          <w:p w:rsidR="00460963" w:rsidRPr="00395B3B" w:rsidRDefault="00460963" w:rsidP="009B2A14">
            <w:pPr>
              <w:spacing w:after="0"/>
              <w:jc w:val="center"/>
              <w:rPr>
                <w:color w:val="000000"/>
                <w:sz w:val="18"/>
                <w:szCs w:val="18"/>
              </w:rPr>
            </w:pPr>
            <w:r w:rsidRPr="00395B3B">
              <w:rPr>
                <w:color w:val="000000"/>
                <w:sz w:val="18"/>
                <w:szCs w:val="18"/>
              </w:rPr>
              <w:t>MPB (plasma)</w:t>
            </w:r>
          </w:p>
        </w:tc>
        <w:tc>
          <w:tcPr>
            <w:tcW w:w="2859" w:type="dxa"/>
            <w:vAlign w:val="center"/>
          </w:tcPr>
          <w:p w:rsidR="00460963" w:rsidRPr="007C58C5" w:rsidRDefault="00460963" w:rsidP="009B2A14">
            <w:pPr>
              <w:spacing w:after="0"/>
              <w:jc w:val="center"/>
              <w:rPr>
                <w:color w:val="000000"/>
                <w:sz w:val="18"/>
                <w:szCs w:val="18"/>
              </w:rPr>
            </w:pPr>
            <w:r w:rsidRPr="00EB6201">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{"citationItems":[{"id":"ITEM-1","itemData":{"DOI":"10.1155/2013/970265","abstract":"Objective. Preeclampsia (PE) is a pregnancy-specific syndrome and one of the leading causes of maternal and fetal morbidity and mortality. The pathophysiological mechanisms of PE remain poorly known. Recently, circulating miRNAs are considered as potential useful noninvasive biomarkers. The aim of this study was to identify differentially expressed plasma miRNAs in preeclamptic pregnancies compared with normal pregnancies. Methods. Maternal plasma miRNA expression profiles were detected by SOLiD sequencing. Differential expressions between mPE/sPE and control group were found. Next, four differentially expressed plasma miRNAs were chosen to validate their expression in other large scale samples by real-time PCR. Results. In terms of sequencing results, we identified that 51 miRNAs were differentially expressed. Four differentially expressed plasma miRNAs (miR-141, miR-144, miR-221, and miR-29a) were selected to validate the sequencing results. RT-PCR data confirmed the reliability of sequencing results. The further statistical analysis showed that maternal plasma miR-141 and miR-29a are significantly overexpressed in mPE (P &lt; 0.05). Maternal plasma miR-144 is significantly underexpressed in mPE and sPE (P &lt; 0.05). Conclusions. Results showed that there were differentially expressed maternal plasma miRNAs in patients with preeclampsia. These plasma miRNAs might be used as notable biomarkers for diagnosis of preeclampsia. © 2013 Hailing Li et al.","author":[{"dropping-particle":"","family":"Li","given":"Hailing","non-dropping-particle":"","parse-names":false,"suffix":""},{"dropping-particle":"","family":"Ge","given":"Qinyu","non-dropping-particle":"","parse-names":false,"suffix":""},{"dropping-particle":"","family":"Guo","given":"Li","non-dropping-particle":"","parse-names":false,"suffix":""},{"dropping-particle":"","family":"Lu","given":"Zuhong","non-dropping-particle":"","parse-names":false,"suffix":""}],"container-title":"BioMed Research International","id":"ITEM-1","issued":{"date-parts":[["2013"]]},"page":"970265","title":"Maternal plasma miRNAs expression in preeclamptic pregnancies","type":"article-journal","volume":"2013"},"uris":["http://www.mendeley.com/documents/?uuid=7de901b7-e0e2-38e3-b4d4-aba3699e4d0d"]}],"mendeley":{"formattedCitation":"(Li et al., 2013a)","plainTextFormattedCitation":"(Li et al., 2013a)","previouslyFormattedCitation":"(Li et al., 2013a)"},"properties":{"noteIndex":0},"schema":"https://github.com/citation-style-language/schema/raw/master/csl-citation.json"}</w:instrText>
            </w:r>
            <w:r>
              <w:rPr>
                <w:sz w:val="18"/>
                <w:szCs w:val="18"/>
              </w:rPr>
              <w:fldChar w:fldCharType="separate"/>
            </w:r>
            <w:r w:rsidR="00324B9B" w:rsidRPr="00324B9B">
              <w:rPr>
                <w:noProof/>
                <w:sz w:val="18"/>
                <w:szCs w:val="18"/>
              </w:rPr>
              <w:t>(Li et al., 2013a)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221</w:t>
            </w:r>
          </w:p>
        </w:tc>
        <w:tc>
          <w:tcPr>
            <w:tcW w:w="2136" w:type="dxa"/>
            <w:vAlign w:val="center"/>
          </w:tcPr>
          <w:p w:rsidR="00460963" w:rsidRDefault="00460963" w:rsidP="009B2A14">
            <w:pPr>
              <w:spacing w:after="0"/>
              <w:jc w:val="center"/>
              <w:rPr>
                <w:color w:val="000000"/>
                <w:sz w:val="18"/>
                <w:szCs w:val="18"/>
              </w:rPr>
            </w:pPr>
            <w:r w:rsidRPr="00395B3B">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(serum)</w:t>
            </w:r>
          </w:p>
          <w:p w:rsidR="00460963" w:rsidRPr="00395B3B"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 MSCs)</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No difference in EOPE</w:t>
            </w:r>
          </w:p>
          <w:p w:rsidR="00460963" w:rsidRPr="007C58C5"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w:t>
            </w:r>
            <w:r w:rsidRPr="00EB6201">
              <w:rPr>
                <w:color w:val="000000"/>
                <w:sz w:val="18"/>
                <w:szCs w:val="18"/>
              </w:rPr>
              <w:t>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{"citationItems":[{"id":"ITEM-1","itemData":{"DOI":"10.1155/2013/970265","abstract":"Objective. Preeclampsia (PE) is a pregnancy-specific syndrome and one of the leading causes of maternal and fetal morbidity and mortality. The pathophysiological mechanisms of PE remain poorly known. Recently, circulating miRNAs are considered as potential useful noninvasive biomarkers. The aim of this study was to identify differentially expressed plasma miRNAs in preeclamptic pregnancies compared with normal pregnancies. Methods. Maternal plasma miRNA expression profiles were detected by SOLiD sequencing. Differential expressions between mPE/sPE and control group were found. Next, four differentially expressed plasma miRNAs were chosen to validate their expression in other large scale samples by real-time PCR. Results. In terms of sequencing results, we identified that 51 miRNAs were differentially expressed. Four differentially expressed plasma miRNAs (miR-141, miR-144, miR-221, and miR-29a) were selected to validate the sequencing results. RT-PCR data confirmed the reliability of sequencing results. The further statistical analysis showed that maternal plasma miR-141 and miR-29a are significantly overexpressed in mPE (P &lt; 0.05). Maternal plasma miR-144 is significantly underexpressed in mPE and sPE (P &lt; 0.05). Conclusions. Results showed that there were differentially expressed maternal plasma miRNAs in patients with preeclampsia. These plasma miRNAs might be used as notable biomarkers for diagnosis of preeclampsia. © 2013 Hailing Li et al.","author":[{"dropping-particle":"","family":"Li","given":"Hailing","non-dropping-particle":"","parse-names":false,"suffix":""},{"dropping-particle":"","family":"Ge","given":"Qinyu","non-dropping-particle":"","parse-names":false,"suffix":""},{"dropping-particle":"","family":"Guo","given":"Li","non-dropping-particle":"","parse-names":false,"suffix":""},{"dropping-particle":"","family":"Lu","given":"Zuhong","non-dropping-particle":"","parse-names":false,"suffix":""}],"container-title":"BioMed Research International","id":"ITEM-1","issued":{"date-parts":[["2013"]]},"page":"970265","title":"Maternal plasma miRNAs expression in preeclamptic pregnancies","type":"article-journal","volume":"2013"},"uris":["http://www.mendeley.com/documents/?uuid=7de901b7-e0e2-38e3-b4d4-aba3699e4d0d"]}],"mendeley":{"formattedCitation":"(Li et al., 2013a)","plainTextFormattedCitation":"(Li et al., 2013a)","previouslyFormattedCitation":"(Li et al., 2013a)"},"properties":{"noteIndex":0},"schema":"https://github.com/citation-style-language/schema/raw/master/csl-citation.json"}</w:instrText>
            </w:r>
            <w:r>
              <w:rPr>
                <w:sz w:val="18"/>
                <w:szCs w:val="18"/>
              </w:rPr>
              <w:fldChar w:fldCharType="separate"/>
            </w:r>
            <w:r w:rsidR="00324B9B" w:rsidRPr="00324B9B">
              <w:rPr>
                <w:noProof/>
                <w:sz w:val="18"/>
                <w:szCs w:val="18"/>
              </w:rPr>
              <w:t>(Li et al., 2013a)</w:t>
            </w:r>
            <w:r>
              <w:rPr>
                <w:sz w:val="18"/>
                <w:szCs w:val="18"/>
              </w:rPr>
              <w:fldChar w:fldCharType="end"/>
            </w:r>
          </w:p>
          <w:p w:rsidR="00324B9B"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sz w:val="18"/>
                <w:szCs w:val="18"/>
              </w:rPr>
              <w:fldChar w:fldCharType="separate"/>
            </w:r>
            <w:r w:rsidR="00324B9B" w:rsidRPr="00324B9B">
              <w:rPr>
                <w:noProof/>
                <w:sz w:val="18"/>
                <w:szCs w:val="18"/>
              </w:rPr>
              <w:t>(Luque et al., 2014)</w:t>
            </w:r>
            <w:r>
              <w:rPr>
                <w:sz w:val="18"/>
                <w:szCs w:val="18"/>
              </w:rPr>
              <w:fldChar w:fldCharType="end"/>
            </w:r>
          </w:p>
          <w:p w:rsidR="00324B9B"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324B9B" w:rsidRPr="00E74CAA">
              <w:rPr>
                <w:noProof/>
                <w:sz w:val="18"/>
                <w:szCs w:val="18"/>
              </w:rPr>
              <w:t>(Zhao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29</w:t>
            </w:r>
          </w:p>
          <w:p w:rsidR="00460963" w:rsidRDefault="00460963" w:rsidP="009B2A14">
            <w:pPr>
              <w:spacing w:after="0"/>
              <w:jc w:val="center"/>
              <w:rPr>
                <w:sz w:val="18"/>
                <w:szCs w:val="18"/>
              </w:rPr>
            </w:pPr>
            <w:r>
              <w:rPr>
                <w:sz w:val="18"/>
                <w:szCs w:val="18"/>
              </w:rPr>
              <w:t>40</w:t>
            </w:r>
          </w:p>
          <w:p w:rsidR="00460963" w:rsidRDefault="00460963" w:rsidP="009B2A14">
            <w:pPr>
              <w:spacing w:after="0"/>
              <w:jc w:val="center"/>
              <w:rPr>
                <w:sz w:val="18"/>
                <w:szCs w:val="18"/>
              </w:rPr>
            </w:pPr>
            <w:r>
              <w:rPr>
                <w:sz w:val="18"/>
                <w:szCs w:val="18"/>
              </w:rPr>
              <w:t>46</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lastRenderedPageBreak/>
              <w:t>125b-1-3p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(basal plate)</w:t>
            </w:r>
          </w:p>
          <w:p w:rsidR="00460963" w:rsidRPr="00395B3B" w:rsidRDefault="00460963" w:rsidP="009B2A14">
            <w:pPr>
              <w:spacing w:after="0"/>
              <w:jc w:val="center"/>
              <w:rPr>
                <w:color w:val="000000"/>
                <w:sz w:val="18"/>
                <w:szCs w:val="18"/>
              </w:rPr>
            </w:pPr>
            <w:r>
              <w:rPr>
                <w:color w:val="000000"/>
                <w:sz w:val="18"/>
                <w:szCs w:val="18"/>
              </w:rPr>
              <w:t>Placenta (chorionic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{"citationItems":[{"id":"ITEM-1","itemData":{"DOI":"10.1016/j.bbrc.2014.09.059","abstract":"Preeclampsia (PE) is the leading cause of maternal and perinatal mortality and morbidity. Understanding the molecular mechanisms underlying placentation facilitates the development of better intervention of this disease. MicroRNAs are strongly implicated in the pathogenesis of this syndrome. In current study, we found that miR-125b-1-3p was elevated in placentas derived from preeclampsia patients. Transfection of miR-125b-1-3p mimics significantly inhibited the invasiveness of human trophoblast cells, whereas miR-125b-1-3p inhibitor enhanced trophoblast cell invasion. Luciferase assays identified that S1PR1 was a novel direct target of miR-125b-1-3p in the placenta. Overexpression of S1PR1 could reverse the inhibitory effect of miR-125b-1-3p on the invasion of trophoblast cells. These findings suggested that abnormal expression of miR-125b-1-3p might contribute to the pathogenesis of preeclampsia.","author":[{"dropping-particle":"","family":"Li","given":"Qinghua","non-dropping-particle":"","parse-names":false,"suffix":""},{"dropping-particle":"","family":"Pan","given":"Zhifang","non-dropping-particle":"","parse-names":false,"suffix":""},{"dropping-particle":"","family":"Wang","given":"Xuejian","non-dropping-particle":"","parse-names":false,"suffix":""},{"dropping-particle":"","family":"Gao","given":"Zhiqin","non-dropping-particle":"","parse-names":false,"suffix":""},{"dropping-particle":"","family":"Ren","given":"Chune","non-dropping-particle":"","parse-names":false,"suffix":""},{"dropping-particle":"","family":"Yang","given":"Weiwei","non-dropping-particle":"","parse-names":false,"suffix":""}],"container-title":"Biochemical and Biophysical Research Communications","id":"ITEM-1","issue":"1","issued":{"date-parts":[["2014"]]},"page":"57-63","title":"MiR-125b-1-3p inhibits trophoblast cell invasion by targeting sphingosine-1-phosphate receptor 1 in preeclampsia","type":"article-journal","volume":"453"},"uris":["http://www.mendeley.com/documents/?uuid=948f4e9d-e547-34cb-8cf0-a99286e2c4c0"]}],"mendeley":{"formattedCitation":"(Li et al., 2014a)","plainTextFormattedCitation":"(Li et al., 2014a)","previouslyFormattedCitation":"(Li et al., 2014a)"},"properties":{"noteIndex":0},"schema":"https://github.com/citation-style-language/schema/raw/master/csl-citation.json"}</w:instrText>
            </w:r>
            <w:r>
              <w:rPr>
                <w:sz w:val="18"/>
                <w:szCs w:val="18"/>
              </w:rPr>
              <w:fldChar w:fldCharType="separate"/>
            </w:r>
            <w:r w:rsidR="00324B9B" w:rsidRPr="00324B9B">
              <w:rPr>
                <w:noProof/>
                <w:sz w:val="18"/>
                <w:szCs w:val="18"/>
              </w:rPr>
              <w:t>(Li et al., 2014a)</w:t>
            </w:r>
            <w:r>
              <w:rPr>
                <w:sz w:val="18"/>
                <w:szCs w:val="18"/>
              </w:rPr>
              <w:fldChar w:fldCharType="end"/>
            </w:r>
          </w:p>
          <w:p w:rsidR="00324B9B"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{"citationItems":[{"id":"ITEM-1","itemData":{"DOI":"10.1016/j.bbrc.2014.09.059","abstract":"Preeclampsia (PE) is the leading cause of maternal and perinatal mortality and morbidity. Understanding the molecular mechanisms underlying placentation facilitates the development of better intervention of this disease. MicroRNAs are strongly implicated in the pathogenesis of this syndrome. In current study, we found that miR-125b-1-3p was elevated in placentas derived from preeclampsia patients. Transfection of miR-125b-1-3p mimics significantly inhibited the invasiveness of human trophoblast cells, whereas miR-125b-1-3p inhibitor enhanced trophoblast cell invasion. Luciferase assays identified that S1PR1 was a novel direct target of miR-125b-1-3p in the placenta. Overexpression of S1PR1 could reverse the inhibitory effect of miR-125b-1-3p on the invasion of trophoblast cells. These findings suggested that abnormal expression of miR-125b-1-3p might contribute to the pathogenesis of preeclampsia.","author":[{"dropping-particle":"","family":"Li","given":"Qinghua","non-dropping-particle":"","parse-names":false,"suffix":""},{"dropping-particle":"","family":"Pan","given":"Zhifang","non-dropping-particle":"","parse-names":false,"suffix":""},{"dropping-particle":"","family":"Wang","given":"Xuejian","non-dropping-particle":"","parse-names":false,"suffix":""},{"dropping-particle":"","family":"Gao","given":"Zhiqin","non-dropping-particle":"","parse-names":false,"suffix":""},{"dropping-particle":"","family":"Ren","given":"Chune","non-dropping-particle":"","parse-names":false,"suffix":""},{"dropping-particle":"","family":"Yang","given":"Weiwei","non-dropping-particle":"","parse-names":false,"suffix":""}],"container-title":"Biochemical and Biophysical Research Communications","id":"ITEM-1","issue":"1","issued":{"date-parts":[["2014"]]},"page":"57-63","title":"MiR-125b-1-3p inhibits trophoblast cell invasion by targeting sphingosine-1-phosphate receptor 1 in preeclampsia","type":"article-journal","volume":"453"},"uris":["http://www.mendeley.com/documents/?uuid=948f4e9d-e547-34cb-8cf0-a99286e2c4c0"]}],"mendeley":{"formattedCitation":"(Li et al., 2014a)","plainTextFormattedCitation":"(Li et al., 2014a)","previouslyFormattedCitation":"(Li et al., 2014a)"},"properties":{"noteIndex":0},"schema":"https://github.com/citation-style-language/schema/raw/master/csl-citation.json"}</w:instrText>
            </w:r>
            <w:r>
              <w:rPr>
                <w:sz w:val="18"/>
                <w:szCs w:val="18"/>
              </w:rPr>
              <w:fldChar w:fldCharType="separate"/>
            </w:r>
            <w:r w:rsidR="00324B9B" w:rsidRPr="00324B9B">
              <w:rPr>
                <w:noProof/>
                <w:sz w:val="18"/>
                <w:szCs w:val="18"/>
              </w:rPr>
              <w:t>(Li et al., 2014a)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37</w:t>
            </w:r>
          </w:p>
          <w:p w:rsidR="00460963" w:rsidRDefault="00460963" w:rsidP="009B2A14">
            <w:pPr>
              <w:spacing w:after="0"/>
              <w:jc w:val="center"/>
              <w:rPr>
                <w:sz w:val="18"/>
                <w:szCs w:val="18"/>
              </w:rPr>
            </w:pPr>
            <w:r>
              <w:rPr>
                <w:sz w:val="18"/>
                <w:szCs w:val="18"/>
              </w:rPr>
              <w:t>37</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125-5p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Pr="00EB6201"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 xml:space="preserve">Yes </w:t>
            </w:r>
          </w:p>
        </w:tc>
        <w:tc>
          <w:tcPr>
            <w:tcW w:w="2977" w:type="dxa"/>
          </w:tcPr>
          <w:p w:rsidR="00324B9B" w:rsidRDefault="00E33D6E" w:rsidP="00324B9B">
            <w:pPr>
              <w:spacing w:after="0"/>
              <w:jc w:val="center"/>
              <w:rPr>
                <w:sz w:val="18"/>
                <w:szCs w:val="18"/>
              </w:rPr>
            </w:pPr>
            <w:r>
              <w:rPr>
                <w:sz w:val="18"/>
                <w:szCs w:val="18"/>
              </w:rPr>
              <w:fldChar w:fldCharType="begin" w:fldLock="1"/>
            </w:r>
            <w:r w:rsidR="00324B9B">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324B9B" w:rsidRPr="00BB7CB7">
              <w:rPr>
                <w:noProof/>
                <w:sz w:val="18"/>
                <w:szCs w:val="18"/>
              </w:rPr>
              <w:t>(Hromadnikova et al., 2016)</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324B9B" w:rsidRPr="00BB7CB7">
              <w:rPr>
                <w:noProof/>
                <w:sz w:val="18"/>
                <w:szCs w:val="18"/>
              </w:rPr>
              <w:t>(Hromadnikova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66</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192</w:t>
            </w:r>
          </w:p>
        </w:tc>
        <w:tc>
          <w:tcPr>
            <w:tcW w:w="2136" w:type="dxa"/>
            <w:vAlign w:val="center"/>
          </w:tcPr>
          <w:p w:rsidR="00460963" w:rsidRPr="00395B3B" w:rsidRDefault="00460963" w:rsidP="009B2A14">
            <w:pPr>
              <w:spacing w:after="0"/>
              <w:jc w:val="center"/>
              <w:rPr>
                <w:color w:val="000000"/>
                <w:sz w:val="18"/>
                <w:szCs w:val="18"/>
              </w:rPr>
            </w:pPr>
            <w:r>
              <w:rPr>
                <w:color w:val="000000"/>
                <w:sz w:val="18"/>
                <w:szCs w:val="18"/>
              </w:rPr>
              <w:t>MPB (serum)</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No difference in EOPE</w:t>
            </w:r>
          </w:p>
        </w:tc>
        <w:tc>
          <w:tcPr>
            <w:tcW w:w="1173" w:type="dxa"/>
            <w:vAlign w:val="center"/>
          </w:tcPr>
          <w:p w:rsidR="00460963" w:rsidRPr="00EB6201" w:rsidRDefault="00460963" w:rsidP="009B2A14">
            <w:pPr>
              <w:spacing w:after="0"/>
              <w:jc w:val="center"/>
              <w:rPr>
                <w:color w:val="000000"/>
                <w:sz w:val="18"/>
                <w:szCs w:val="18"/>
              </w:rPr>
            </w:pPr>
            <w:r w:rsidRPr="00EB6201">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sz w:val="18"/>
                <w:szCs w:val="18"/>
              </w:rPr>
              <w:fldChar w:fldCharType="separate"/>
            </w:r>
            <w:r w:rsidR="00324B9B" w:rsidRPr="00324B9B">
              <w:rPr>
                <w:noProof/>
                <w:sz w:val="18"/>
                <w:szCs w:val="18"/>
              </w:rPr>
              <w:t>(Luque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143</w:t>
            </w:r>
          </w:p>
        </w:tc>
        <w:tc>
          <w:tcPr>
            <w:tcW w:w="2136" w:type="dxa"/>
            <w:vAlign w:val="center"/>
          </w:tcPr>
          <w:p w:rsidR="00460963" w:rsidRPr="00395B3B" w:rsidRDefault="00460963" w:rsidP="009B2A14">
            <w:pPr>
              <w:spacing w:after="0"/>
              <w:jc w:val="center"/>
              <w:rPr>
                <w:color w:val="000000"/>
                <w:sz w:val="18"/>
                <w:szCs w:val="18"/>
              </w:rPr>
            </w:pPr>
            <w:r w:rsidRPr="00527D61">
              <w:rPr>
                <w:color w:val="000000"/>
                <w:sz w:val="18"/>
                <w:szCs w:val="18"/>
              </w:rPr>
              <w:t>MPB (serum)</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No</w:t>
            </w:r>
            <w:r>
              <w:rPr>
                <w:color w:val="000000"/>
                <w:sz w:val="18"/>
                <w:szCs w:val="18"/>
              </w:rPr>
              <w:t xml:space="preserve"> </w:t>
            </w:r>
            <w:r w:rsidRPr="00EB6201">
              <w:rPr>
                <w:color w:val="000000"/>
                <w:sz w:val="18"/>
                <w:szCs w:val="18"/>
              </w:rPr>
              <w:t>difference in EOPE</w:t>
            </w:r>
          </w:p>
        </w:tc>
        <w:tc>
          <w:tcPr>
            <w:tcW w:w="1173" w:type="dxa"/>
            <w:vAlign w:val="center"/>
          </w:tcPr>
          <w:p w:rsidR="00460963" w:rsidRPr="00EB6201" w:rsidRDefault="00460963" w:rsidP="009B2A14">
            <w:pPr>
              <w:spacing w:after="0"/>
              <w:jc w:val="center"/>
              <w:rPr>
                <w:color w:val="000000"/>
                <w:sz w:val="18"/>
                <w:szCs w:val="18"/>
              </w:rPr>
            </w:pPr>
            <w:r w:rsidRPr="00EB6201">
              <w:rPr>
                <w:color w:val="000000"/>
                <w:sz w:val="18"/>
                <w:szCs w:val="18"/>
              </w:rPr>
              <w:t>no</w:t>
            </w:r>
          </w:p>
        </w:tc>
        <w:tc>
          <w:tcPr>
            <w:tcW w:w="2977" w:type="dxa"/>
          </w:tcPr>
          <w:p w:rsidR="00460963" w:rsidRPr="00F41D88"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sz w:val="18"/>
                <w:szCs w:val="18"/>
              </w:rPr>
              <w:fldChar w:fldCharType="separate"/>
            </w:r>
            <w:r w:rsidR="00324B9B" w:rsidRPr="00324B9B">
              <w:rPr>
                <w:noProof/>
                <w:sz w:val="18"/>
                <w:szCs w:val="18"/>
              </w:rPr>
              <w:t>(Luque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sidRPr="00F41D88">
              <w:rPr>
                <w:sz w:val="18"/>
                <w:szCs w:val="18"/>
              </w:rPr>
              <w:t>40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143-3p</w:t>
            </w:r>
          </w:p>
        </w:tc>
        <w:tc>
          <w:tcPr>
            <w:tcW w:w="2136" w:type="dxa"/>
            <w:vAlign w:val="center"/>
          </w:tcPr>
          <w:p w:rsidR="00460963" w:rsidRPr="00527D61"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324B9B" w:rsidRPr="00FF4CEA">
              <w:rPr>
                <w:noProof/>
                <w:sz w:val="18"/>
                <w:szCs w:val="18"/>
              </w:rPr>
              <w:t>(Luizon et al., 2021)</w:t>
            </w:r>
            <w:r>
              <w:rPr>
                <w:sz w:val="18"/>
                <w:szCs w:val="18"/>
              </w:rPr>
              <w:fldChar w:fldCharType="end"/>
            </w:r>
          </w:p>
        </w:tc>
        <w:tc>
          <w:tcPr>
            <w:tcW w:w="1791" w:type="dxa"/>
            <w:vAlign w:val="center"/>
          </w:tcPr>
          <w:p w:rsidR="00460963" w:rsidRPr="00F41D88"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125b</w:t>
            </w:r>
          </w:p>
        </w:tc>
        <w:tc>
          <w:tcPr>
            <w:tcW w:w="2136" w:type="dxa"/>
            <w:vAlign w:val="center"/>
          </w:tcPr>
          <w:p w:rsidR="00460963" w:rsidRPr="00395B3B" w:rsidRDefault="00460963" w:rsidP="009B2A14">
            <w:pPr>
              <w:spacing w:after="0"/>
              <w:jc w:val="center"/>
              <w:rPr>
                <w:color w:val="000000"/>
                <w:sz w:val="18"/>
                <w:szCs w:val="18"/>
              </w:rPr>
            </w:pPr>
            <w:r w:rsidRPr="00527D61">
              <w:rPr>
                <w:color w:val="000000"/>
                <w:sz w:val="18"/>
                <w:szCs w:val="18"/>
              </w:rPr>
              <w:t>MPB (serum)</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No difference in EOPE</w:t>
            </w:r>
          </w:p>
        </w:tc>
        <w:tc>
          <w:tcPr>
            <w:tcW w:w="1173" w:type="dxa"/>
            <w:vAlign w:val="center"/>
          </w:tcPr>
          <w:p w:rsidR="00460963" w:rsidRPr="00EB6201" w:rsidRDefault="00460963" w:rsidP="009B2A14">
            <w:pPr>
              <w:spacing w:after="0"/>
              <w:jc w:val="center"/>
              <w:rPr>
                <w:color w:val="000000"/>
                <w:sz w:val="18"/>
                <w:szCs w:val="18"/>
              </w:rPr>
            </w:pPr>
            <w:r w:rsidRPr="00EB6201">
              <w:rPr>
                <w:color w:val="000000"/>
                <w:sz w:val="18"/>
                <w:szCs w:val="18"/>
              </w:rPr>
              <w:t>no</w:t>
            </w:r>
          </w:p>
        </w:tc>
        <w:tc>
          <w:tcPr>
            <w:tcW w:w="2977" w:type="dxa"/>
          </w:tcPr>
          <w:p w:rsidR="00460963" w:rsidRPr="00F41D88"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sz w:val="18"/>
                <w:szCs w:val="18"/>
              </w:rPr>
              <w:fldChar w:fldCharType="separate"/>
            </w:r>
            <w:r w:rsidR="00324B9B" w:rsidRPr="00324B9B">
              <w:rPr>
                <w:noProof/>
                <w:sz w:val="18"/>
                <w:szCs w:val="18"/>
              </w:rPr>
              <w:t>(Luque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sidRPr="00F41D88">
              <w:rPr>
                <w:sz w:val="18"/>
                <w:szCs w:val="18"/>
              </w:rPr>
              <w:t>40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127</w:t>
            </w:r>
          </w:p>
        </w:tc>
        <w:tc>
          <w:tcPr>
            <w:tcW w:w="2136" w:type="dxa"/>
            <w:vAlign w:val="center"/>
          </w:tcPr>
          <w:p w:rsidR="00460963" w:rsidRPr="00395B3B" w:rsidRDefault="00460963" w:rsidP="009B2A14">
            <w:pPr>
              <w:spacing w:after="0"/>
              <w:jc w:val="center"/>
              <w:rPr>
                <w:color w:val="000000"/>
                <w:sz w:val="18"/>
                <w:szCs w:val="18"/>
              </w:rPr>
            </w:pPr>
            <w:r w:rsidRPr="00527D61">
              <w:rPr>
                <w:color w:val="000000"/>
                <w:sz w:val="18"/>
                <w:szCs w:val="18"/>
              </w:rPr>
              <w:t>MPB (serum)</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No difference in EOPE</w:t>
            </w:r>
          </w:p>
        </w:tc>
        <w:tc>
          <w:tcPr>
            <w:tcW w:w="1173" w:type="dxa"/>
            <w:vAlign w:val="center"/>
          </w:tcPr>
          <w:p w:rsidR="00460963" w:rsidRPr="00EB6201" w:rsidRDefault="00460963" w:rsidP="009B2A14">
            <w:pPr>
              <w:spacing w:after="0"/>
              <w:jc w:val="center"/>
              <w:rPr>
                <w:color w:val="000000"/>
                <w:sz w:val="18"/>
                <w:szCs w:val="18"/>
              </w:rPr>
            </w:pPr>
            <w:r w:rsidRPr="00EB6201">
              <w:rPr>
                <w:color w:val="000000"/>
                <w:sz w:val="18"/>
                <w:szCs w:val="18"/>
              </w:rPr>
              <w:t>no</w:t>
            </w:r>
          </w:p>
        </w:tc>
        <w:tc>
          <w:tcPr>
            <w:tcW w:w="2977" w:type="dxa"/>
          </w:tcPr>
          <w:p w:rsidR="00460963" w:rsidRPr="00F41D88"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sz w:val="18"/>
                <w:szCs w:val="18"/>
              </w:rPr>
              <w:fldChar w:fldCharType="separate"/>
            </w:r>
            <w:r w:rsidR="00324B9B" w:rsidRPr="00324B9B">
              <w:rPr>
                <w:noProof/>
                <w:sz w:val="18"/>
                <w:szCs w:val="18"/>
              </w:rPr>
              <w:t>(Luque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sidRPr="00F41D88">
              <w:rPr>
                <w:sz w:val="18"/>
                <w:szCs w:val="18"/>
              </w:rPr>
              <w:t>40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942</w:t>
            </w:r>
          </w:p>
        </w:tc>
        <w:tc>
          <w:tcPr>
            <w:tcW w:w="2136" w:type="dxa"/>
            <w:vAlign w:val="center"/>
          </w:tcPr>
          <w:p w:rsidR="00460963" w:rsidRDefault="00460963" w:rsidP="009B2A14">
            <w:pPr>
              <w:spacing w:after="0"/>
              <w:jc w:val="center"/>
              <w:rPr>
                <w:color w:val="000000"/>
                <w:sz w:val="18"/>
                <w:szCs w:val="18"/>
              </w:rPr>
            </w:pPr>
            <w:r w:rsidRPr="00527D61">
              <w:rPr>
                <w:color w:val="000000"/>
                <w:sz w:val="18"/>
                <w:szCs w:val="18"/>
              </w:rPr>
              <w:t>MPB (serum)</w:t>
            </w:r>
          </w:p>
          <w:p w:rsidR="00460963" w:rsidRPr="00395B3B"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No difference in EOPE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No</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sz w:val="18"/>
                <w:szCs w:val="18"/>
              </w:rPr>
              <w:fldChar w:fldCharType="separate"/>
            </w:r>
            <w:r w:rsidR="00324B9B" w:rsidRPr="00324B9B">
              <w:rPr>
                <w:noProof/>
                <w:sz w:val="18"/>
                <w:szCs w:val="18"/>
              </w:rPr>
              <w:t>(Luque et al., 2014)</w:t>
            </w:r>
            <w:r>
              <w:rPr>
                <w:sz w:val="18"/>
                <w:szCs w:val="18"/>
              </w:rPr>
              <w:fldChar w:fldCharType="end"/>
            </w:r>
          </w:p>
          <w:p w:rsidR="00324B9B" w:rsidRPr="00F41D88"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{"citationItems":[{"id":"ITEM-1","itemData":{"DOI":"10.1016/j.preghy.2017.04.002","abstract":"MicroRNA (miRNA) expression has not been studied during placentation in pregnancies that develop preeclampsia, when it likely manifests. In this pilot study, miRNA expression in late first trimester placenta from four pregnancies that developed severe preeclampsia matched to controls using the Affymetrix GeneChip® miRNA 3.0 Array identified 9 miRNAs differentially expressed, with miR-202-3p the most significantly overexpressed in severe preeclampsia. Real-time reverse transcription polymerase chain reaction (qRT-PCR) confirmed overexpression of miR-202-3p in a validation cohort, with a 7-fold increase in pregnancies that developed severe preeclampsia (p ≤ 0.05). Differential miRNA expression, specifically miR-202-3p, is seen in first trimester placenta in severe preeclampsia.","author":[{"dropping-particle":"","family":"Singh","given":"Krishna","non-dropping-particle":"","parse-names":false,"suffix":""},{"dropping-particle":"","family":"Williams","given":"John","non-dropping-particle":"","parse-names":false,"suffix":""},{"dropping-particle":"","family":"Brown","given":"Jordan","non-dropping-particle":"","parse-names":false,"suffix":""},{"dropping-particle":"","family":"Wang","given":"Erica T.","non-dropping-particle":"","parse-names":false,"suffix":""},{"dropping-particle":"","family":"Lee","given":"Bora","non-dropping-particle":"","parse-names":false,"suffix":""},{"dropping-particle":"","family":"Gonzalez","given":"Tania L.","non-dropping-particle":"","parse-names":false,"suffix":""},{"dropping-particle":"","family":"Cui","given":"Jinrui","non-dropping-particle":"","parse-names":false,"suffix":""},{"dropping-particle":"","family":"Goodarzi","given":"Mark O.","non-dropping-particle":"","parse-names":false,"suffix":""},{"dropping-particle":"","family":"Pisarska","given":"Margareta D.","non-dropping-particle":"","parse-names":false,"suffix":""}],"container-title":"Pregnancy Hypertension","id":"ITEM-1","issued":{"date-parts":[["2017"]]},"page":"7-9","title":"Up-regulation of microRNA-202-3p in first trimester placenta of pregnancies destined to develop severe preeclampsia, a pilot study","type":"article-journal","volume":"10"},"uris":["http://www.mendeley.com/documents/?uuid=65aa2861-5f93-3198-9524-a119bdee35e6"]}],"mendeley":{"formattedCitation":"(Singh et al., 2017)","plainTextFormattedCitation":"(Singh et al., 2017)","previouslyFormattedCitation":"(Singh et al., 2017)"},"properties":{"noteIndex":0},"schema":"https://github.com/citation-style-language/schema/raw/master/csl-citation.json"}</w:instrText>
            </w:r>
            <w:r>
              <w:rPr>
                <w:sz w:val="18"/>
                <w:szCs w:val="18"/>
              </w:rPr>
              <w:fldChar w:fldCharType="separate"/>
            </w:r>
            <w:r w:rsidR="00324B9B" w:rsidRPr="00324B9B">
              <w:rPr>
                <w:noProof/>
                <w:sz w:val="18"/>
                <w:szCs w:val="18"/>
              </w:rPr>
              <w:t>(Singh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sidRPr="00F41D88">
              <w:rPr>
                <w:sz w:val="18"/>
                <w:szCs w:val="18"/>
              </w:rPr>
              <w:t>40</w:t>
            </w:r>
          </w:p>
          <w:p w:rsidR="00460963" w:rsidRDefault="00460963" w:rsidP="009B2A14">
            <w:pPr>
              <w:spacing w:after="0"/>
              <w:jc w:val="center"/>
              <w:rPr>
                <w:sz w:val="18"/>
                <w:szCs w:val="18"/>
              </w:rPr>
            </w:pPr>
            <w:r>
              <w:rPr>
                <w:sz w:val="18"/>
                <w:szCs w:val="18"/>
              </w:rPr>
              <w:t>109</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126</w:t>
            </w:r>
          </w:p>
        </w:tc>
        <w:tc>
          <w:tcPr>
            <w:tcW w:w="2136" w:type="dxa"/>
            <w:vAlign w:val="center"/>
          </w:tcPr>
          <w:p w:rsidR="00460963" w:rsidRDefault="00460963" w:rsidP="009B2A14">
            <w:pPr>
              <w:spacing w:after="0"/>
              <w:jc w:val="center"/>
              <w:rPr>
                <w:color w:val="000000"/>
                <w:sz w:val="18"/>
                <w:szCs w:val="18"/>
              </w:rPr>
            </w:pPr>
            <w:r w:rsidRPr="00527D61">
              <w:rPr>
                <w:color w:val="000000"/>
                <w:sz w:val="18"/>
                <w:szCs w:val="18"/>
              </w:rPr>
              <w:t>MPB (serum)</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w:t>
            </w:r>
          </w:p>
          <w:p w:rsidR="00460963" w:rsidRPr="00395B3B"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No difference in EOPE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No difference in EOPE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No</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{"citationItems":[{"id":"ITEM-1","itemData":{"DOI":"10.1038/srep04882","abstract":"To assess the usefulness of circulating microRNAs (miRNAs) as non-invasive molecular biomarkers for early prediction of preeclampsia, a differential miRNA profiling analysis was performed in first-trimester pooled sera from 31 early preeclampsia patients, requiring delivery before 34 weeks of gestation, and 44 uncomplicated pregnancies using microfluidic arrays. Among a total of 754 miRNAs analyzed, the presence of 63 miRNAs (8%) was consistently documented in the sera from preeclampsia and control samples. Nevertheless, only 15 amplified miRNAs (2%) seemed to be differentially, although modestly, represented (fold change range: 0.4-1.4). After stem loop RT-qPCR from individual samples, the statistical analysis confirmed that none of the most consistent and differentially represented miRNAs (3 overrepresented and 4 underrepresented) were differentially abundant in serum from preeclamptic pregnancies compared with serum from normal pregnancies. Therefore, maternal serum miRNA assessment at first-trimester of pregnancy does not appear to have any predictive value for early preeclampsia.","author":[{"dropping-particle":"","family":"Luque","given":"Ana","non-dropping-particle":"","parse-names":false,"suffix":""},{"dropping-particle":"","family":"Farwati","given":"Abduljalil","non-dropping-particle":"","parse-names":false,"suffix":""},{"dropping-particle":"","family":"Crovetto","given":"Francesca","non-dropping-particle":"","parse-names":false,"suffix":""},{"dropping-particle":"","family":"Crispi","given":"Fatima","non-dropping-particle":"","parse-names":false,"suffix":""},{"dropping-particle":"","family":"Figueras","given":"Francesc","non-dropping-particle":"","parse-names":false,"suffix":""},{"dropping-particle":"","family":"Gratacós","given":"Eduard","non-dropping-particle":"","parse-names":false,"suffix":""},{"dropping-particle":"","family":"Aran","given":"Josep M.","non-dropping-particle":"","parse-names":false,"suffix":""}],"container-title":"Scientific Reports","id":"ITEM-1","issued":{"date-parts":[["2014"]]},"page":"4882","title":"Usefulness of circulating microRNAs for the prediction of early preeclampsia at first-trimester of pregnancy","type":"article-journal","volume":"4"},"uris":["http://www.mendeley.com/documents/?uuid=0d1707b2-f284-34a1-a3c4-86653a830b8e"]}],"mendeley":{"formattedCitation":"(Luque et al., 2014)","plainTextFormattedCitation":"(Luque et al., 2014)","previouslyFormattedCitation":"(Luque et al., 2014)"},"properties":{"noteIndex":0},"schema":"https://github.com/citation-style-language/schema/raw/master/csl-citation.json"}</w:instrText>
            </w:r>
            <w:r>
              <w:rPr>
                <w:sz w:val="18"/>
                <w:szCs w:val="18"/>
              </w:rPr>
              <w:fldChar w:fldCharType="separate"/>
            </w:r>
            <w:r w:rsidR="00324B9B" w:rsidRPr="00324B9B">
              <w:rPr>
                <w:noProof/>
                <w:sz w:val="18"/>
                <w:szCs w:val="18"/>
              </w:rPr>
              <w:t>(Luque et al., 2014)</w:t>
            </w:r>
            <w:r>
              <w:rPr>
                <w:sz w:val="18"/>
                <w:szCs w:val="18"/>
              </w:rPr>
              <w:fldChar w:fldCharType="end"/>
            </w:r>
          </w:p>
          <w:p w:rsidR="00324B9B" w:rsidRDefault="00E33D6E" w:rsidP="00324B9B">
            <w:pPr>
              <w:spacing w:after="0"/>
              <w:jc w:val="center"/>
              <w:rPr>
                <w:sz w:val="18"/>
                <w:szCs w:val="18"/>
              </w:rPr>
            </w:pPr>
            <w:r>
              <w:rPr>
                <w:sz w:val="18"/>
                <w:szCs w:val="18"/>
              </w:rPr>
              <w:fldChar w:fldCharType="begin" w:fldLock="1"/>
            </w:r>
            <w:r w:rsidR="00324B9B">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324B9B">
              <w:rPr>
                <w:rFonts w:ascii="Cambria Math" w:hAnsi="Cambria Math" w:cs="Cambria Math"/>
                <w:sz w:val="18"/>
                <w:szCs w:val="18"/>
              </w:rPr>
              <w:instrText>∗</w:instrText>
            </w:r>
            <w:r w:rsidR="00324B9B">
              <w:rPr>
                <w:rFonts w:cs="Times New Roman"/>
                <w:sz w:val="18"/>
                <w:szCs w:val="18"/>
              </w:rPr>
              <w:instrText>, miR-130a, miR-135b, miR-142-3p, miR-149, miR-188</w:instrText>
            </w:r>
            <w:r w:rsidR="00324B9B">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324B9B" w:rsidRPr="00FF4CEA">
              <w:rPr>
                <w:noProof/>
                <w:sz w:val="18"/>
                <w:szCs w:val="18"/>
              </w:rPr>
              <w:t>(Yang et al., 2015)</w:t>
            </w:r>
            <w:r>
              <w:rPr>
                <w:sz w:val="18"/>
                <w:szCs w:val="18"/>
              </w:rPr>
              <w:fldChar w:fldCharType="end"/>
            </w:r>
          </w:p>
          <w:p w:rsidR="00324B9B" w:rsidRDefault="00E33D6E" w:rsidP="00324B9B">
            <w:pPr>
              <w:spacing w:after="0"/>
              <w:jc w:val="center"/>
              <w:rPr>
                <w:sz w:val="18"/>
                <w:szCs w:val="18"/>
              </w:rPr>
            </w:pPr>
            <w:r>
              <w:rPr>
                <w:sz w:val="18"/>
                <w:szCs w:val="18"/>
              </w:rPr>
              <w:fldChar w:fldCharType="begin" w:fldLock="1"/>
            </w:r>
            <w:r w:rsidR="00324B9B">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324B9B">
              <w:rPr>
                <w:rFonts w:ascii="Cambria Math" w:hAnsi="Cambria Math" w:cs="Cambria Math"/>
                <w:sz w:val="18"/>
                <w:szCs w:val="18"/>
              </w:rPr>
              <w:instrText>∗</w:instrText>
            </w:r>
            <w:r w:rsidR="00324B9B">
              <w:rPr>
                <w:rFonts w:cs="Times New Roman"/>
                <w:sz w:val="18"/>
                <w:szCs w:val="18"/>
              </w:rPr>
              <w:instrText>, miR-130a, miR-135b, miR-142-3p, miR-149, miR-188</w:instrText>
            </w:r>
            <w:r w:rsidR="00324B9B">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324B9B" w:rsidRPr="00FF4CEA">
              <w:rPr>
                <w:noProof/>
                <w:sz w:val="18"/>
                <w:szCs w:val="18"/>
              </w:rPr>
              <w:t>(Yang et al., 2015)</w:t>
            </w:r>
            <w:r>
              <w:rPr>
                <w:sz w:val="18"/>
                <w:szCs w:val="18"/>
              </w:rPr>
              <w:fldChar w:fldCharType="end"/>
            </w:r>
          </w:p>
          <w:p w:rsidR="00324B9B" w:rsidRDefault="00E33D6E" w:rsidP="009B2A14">
            <w:pPr>
              <w:spacing w:after="0"/>
              <w:jc w:val="center"/>
              <w:rPr>
                <w:sz w:val="18"/>
                <w:szCs w:val="18"/>
              </w:rPr>
            </w:pPr>
            <w:r>
              <w:rPr>
                <w:sz w:val="18"/>
                <w:szCs w:val="18"/>
              </w:rPr>
              <w:fldChar w:fldCharType="begin" w:fldLock="1"/>
            </w:r>
            <w:r w:rsidR="00324B9B">
              <w:rPr>
                <w:sz w:val="18"/>
                <w:szCs w:val="18"/>
              </w:rPr>
              <w:instrText>ADDIN CSL_CITATION {"citationItems":[{"id":"ITEM-1","itemData":{"DOI":"10.1111/jog.14732","ISSN":"14470756","PMID":"33694224","abstract":"Objective: To investigate the expression of microRNA-126 (miR-126) and vascular endothelial cell adhesion molecule-1 (VCAM-1) in the placental tissues of women with early-onset preeclampsia (EOPE) and their effects on trophoblast invasion. Materials and Methods: The placental tissues of 30 pregnant women with EOPE who delivered in the Third Affiliated Hospital of Zhengzhou University from November 2019 to May 2020 were selected as the preeclampsia (PE) group, and the placental tissues of 30 healthy pregnant women with normal prenatal examination were selected as the normal group. Immunohistochemistry was used to localize VCAM-1 in placental tissues</w:instrText>
            </w:r>
            <w:r w:rsidR="00324B9B">
              <w:rPr>
                <w:rFonts w:hint="eastAsia"/>
                <w:sz w:val="18"/>
                <w:szCs w:val="18"/>
              </w:rPr>
              <w:instrText>，</w:instrText>
            </w:r>
            <w:r w:rsidR="00324B9B">
              <w:rPr>
                <w:sz w:val="18"/>
                <w:szCs w:val="18"/>
              </w:rPr>
              <w:instrText>the expression of miR-126 and VCAM-1 in placenta tissues of two groups and HTR-8/SVneo cells transfected with miR-126 were detected by real-time polymerase chain reaction (RT-PCR) and Western blot, and the correlation between them was analyzed. The invasion ability of cells transfected with miR-126 was observed by Transwell invasion test. Results: Compared with the normal group, the expression of miR-126 was higher and VCAM-1 was lower in the placental tissues of the PE group, and the difference were statistically significant (p &lt; 0.01). Moreover, VCAM-1 was negatively correlated with the expression of miR-126 (r = −0.391, p &lt; 0.05). In vitro experiment, the expression level of VCAM-1 in miR-126 mimics transfection group was decreased, and the expression level of VCAM-1 in miR-126 inhibitor transfection group was increased; the invasion ability of HTR-8/SVneo cells transfected with miR-126 mimics was decreased, and the invasion ability of HTR-8/SVneo cells transfected with miR-126 inhibitor was enhanced. Conclusion: There was a negative correlation between the expression of miR-126 and VCAM-1 in EOPE.MiR-126 and VCAM-1 may participate in the occurrence and development of EOPE by affecting the invasion ability of trophoblast cells.","author":[{"dropping-particle":"","family":"Liu","given":"Beibei","non-dropping-particle":"","parse-names":false,"suffix":""},{"dropping-particle":"","family":"Liu","given":"Ling","non-dropping-particle":"","parse-names":false,"suffix":""},{"dropping-particle":"","family":"Cui","given":"Shihong","non-dropping-particle":"","parse-names":false,"suffix":""},{"dropping-particle":"","family":"Qi","given":"Yue","non-dropping-particle":"","parse-names":false,"suffix":""},{"dropping-particle":"","family":"Wang","given":"Tiantian","non-dropping-particle":"","parse-names":false,"suffix":""}],"container-title":"Journal of Obstetrics and Gynaecology Research","id":"ITEM-1","issue":"6","issued":{"date-parts":[["2021","6","1"]]},"page":"2042-2050","publisher":"Blackwell Publishing","title":"Expression and significance of microRNA-126 and VCAM-1 in placental tissues of women with early-onset preeclampsia","type":"article-journal","volume":"47"},"uris":["http://www.mendeley.com/documents/?uuid=ba687633-cafd-3b20-bc26-ea21602c4549"]}],"mendeley":{"formattedCitation":"(Liu et al., 2021)","plainTextFormattedCitation":"(Liu et al., 2021)","previouslyFormattedCitation":"(Liu et al., 2021)"},"properties":{"noteIndex":0},"schema":"https://github.com/citation-style-language/schema/raw/master/csl-citation.json"}</w:instrText>
            </w:r>
            <w:r>
              <w:rPr>
                <w:sz w:val="18"/>
                <w:szCs w:val="18"/>
              </w:rPr>
              <w:fldChar w:fldCharType="separate"/>
            </w:r>
            <w:r w:rsidR="00324B9B" w:rsidRPr="00324B9B">
              <w:rPr>
                <w:noProof/>
                <w:sz w:val="18"/>
                <w:szCs w:val="18"/>
              </w:rPr>
              <w:t>(Liu et al., 2021)</w:t>
            </w:r>
            <w:r>
              <w:rPr>
                <w:sz w:val="18"/>
                <w:szCs w:val="18"/>
              </w:rPr>
              <w:fldChar w:fldCharType="end"/>
            </w:r>
          </w:p>
          <w:p w:rsidR="00324B9B" w:rsidRPr="00F41D88"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{"citationItems":[{"id":"ITEM-1","itemData":{"DOI":"10.1042/BSR20210874","ISSN":"15734935","PMID":"34318873","abstract":"In preeclampsia (PE), pre-existent maternal endothelial dysfunction leads to impaired placentation and vascular maladaptation. The vascular endothelial growth factor (VEGF) pathway is essential in the placentation process and VEGF expression is regulated through post-transcriptional modification by microRNAs (miRNAs). We investigated the expression of VEGF-related circulating miR-16, miR-29b, miR-126, miR-155 and miR-200c in PE vs healthy pregnancies (HPs), and their relation with vascular function, oxidative stress (OS) and systemic inflammation. In this case-control study, 24 women with early PE (&lt;34 weeks) were compared with 30 women with HP. Circulating microRNA levels (RT-qPCR), OS and systemic inflammation were assessed in plasma samples (PE 29.5 vs HP 25.8 weeks) and related to extensive in vivo vascular function (flow-mediated dilatation (FMD), modified FMD (mFMD), carotid-femoral pulse wave velocity (CF-PWV), heart rate corrected augmentation index (AIx75) and reactive hyperemia index (RHI)). FMD, CF-PWV, AIx75 and RHI were all significantly impaired in PE (P&lt;0.05). PE patients had reduced levels of miR-16 (5.53 +− 0.36 vs 5.84 +− 0.61) and increased levels of miR-200c (1.34 +− 0.57 vs 0.97 +− 0.68) (P&lt;0.05). Independent of age and parity, miR-16 was related to impaired FMD (β 2.771, 95% C.I.: 0.023-5.519, P=0.048) and mFMD (β 3.401, 95% C.I.: 0.201-6.602, P=0.038). Likewise, miR-200c was independently associated with CF-PWV (β 0.513, 95% C.I.: 0.034-0.992, P=0.036). In conclusion, circulating levels of miR-16 were lower in PE, which correlated with impaired endothelial function. Circulating miR-200c was increased in PE and correlated with higher arterial stiffness. These findings suggest a post-transcriptional dysregulation of the VEGF pathway in PE and identify miR-16 and miR-200c as possible diagnostic biomarkers for PE.","author":[{"dropping-particle":"","family":"Witvrouwen","given":"Isabel","non-dropping-particle":"","parse-names":false,"suffix":""},{"dropping-particle":"","family":"Mannaerts","given":"Dominique","non-dropping-particle":"","parse-names":false,"suffix":""},{"dropping-particle":"","family":"Ratajczak","given":"Jessica","non-dropping-particle":"","parse-names":false,"suffix":""},{"dropping-particle":"","family":"Boeren","given":"Evi","non-dropping-particle":"","parse-names":false,"suffix":""},{"dropping-particle":"","family":"Faes","given":"Ellen","non-dropping-particle":"","parse-names":false,"suffix":""},{"dropping-particle":"","family":"Craenenbroeck","given":"Amaryllis H.","non-dropping-particle":"van","parse-names":false,"suffix":""},{"dropping-particle":"","family":"Jacquemyn","given":"Yves","non-dropping-particle":"","parse-names":false,"suffix":""},{"dropping-particle":"","family":"Craenenbroeck","given":"Emeline M.","non-dropping-particle":"van","parse-names":false,"suffix":""}],"container-title":"Bioscience Reports","id":"ITEM-1","issue":"8","issued":{"date-parts":[["2021","8","1"]]},"page":"BSR20210874","publisher":"Portland Press Ltd","title":"MicroRNAs targeting VEGF are related to vascular dysfunction in preeclampsia","type":"article-journal","volume":"41"},"uris":["http://www.mendeley.com/documents/?uuid=5f138707-1204-3809-a0e3-46422e1b0d59"]}],"mendeley":{"formattedCitation":"(Witvrouwen et al., 2021)","plainTextFormattedCitation":"(Witvrouwen et al., 2021)","previouslyFormattedCitation":"(Witvrouwen et al., 2021)"},"properties":{"noteIndex":0},"schema":"https://github.com/citation-style-language/schema/raw/master/csl-citation.json"}</w:instrText>
            </w:r>
            <w:r>
              <w:rPr>
                <w:sz w:val="18"/>
                <w:szCs w:val="18"/>
              </w:rPr>
              <w:fldChar w:fldCharType="separate"/>
            </w:r>
            <w:r w:rsidR="00324B9B" w:rsidRPr="00324B9B">
              <w:rPr>
                <w:noProof/>
                <w:sz w:val="18"/>
                <w:szCs w:val="18"/>
              </w:rPr>
              <w:t>(Witvrouwen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sidRPr="00F41D88">
              <w:rPr>
                <w:sz w:val="18"/>
                <w:szCs w:val="18"/>
              </w:rPr>
              <w:t>40</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324B9B" w:rsidP="009B2A14">
            <w:pPr>
              <w:spacing w:after="0"/>
              <w:jc w:val="center"/>
              <w:rPr>
                <w:sz w:val="18"/>
                <w:szCs w:val="18"/>
              </w:rPr>
            </w:pPr>
            <w:r>
              <w:rPr>
                <w:sz w:val="18"/>
                <w:szCs w:val="18"/>
              </w:rPr>
              <w:t>L</w:t>
            </w:r>
            <w:r w:rsidR="00460963">
              <w:rPr>
                <w:sz w:val="18"/>
                <w:szCs w:val="18"/>
              </w:rPr>
              <w:t>iu 2021</w:t>
            </w:r>
          </w:p>
          <w:p w:rsidR="00460963" w:rsidRDefault="00460963" w:rsidP="009B2A14">
            <w:pPr>
              <w:spacing w:after="0"/>
              <w:jc w:val="center"/>
              <w:rPr>
                <w:sz w:val="18"/>
                <w:szCs w:val="18"/>
              </w:rPr>
            </w:pPr>
            <w:r>
              <w:rPr>
                <w:sz w:val="18"/>
                <w:szCs w:val="18"/>
              </w:rPr>
              <w:t>Witvrouwen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126*</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Pr="00527D6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E65BB1"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E65BB1">
              <w:rPr>
                <w:rFonts w:ascii="Cambria Math" w:hAnsi="Cambria Math" w:cs="Cambria Math"/>
                <w:sz w:val="18"/>
                <w:szCs w:val="18"/>
              </w:rPr>
              <w:instrText>∗</w:instrText>
            </w:r>
            <w:r w:rsidR="00E65BB1">
              <w:rPr>
                <w:rFonts w:cs="Times New Roman"/>
                <w:sz w:val="18"/>
                <w:szCs w:val="18"/>
              </w:rPr>
              <w:instrText>, miR-130a, miR-135b, miR-142-3p, miR-149, miR-188</w:instrText>
            </w:r>
            <w:r w:rsidR="00E65BB1">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E65BB1" w:rsidRPr="00FF4CEA">
              <w:rPr>
                <w:noProof/>
                <w:sz w:val="18"/>
                <w:szCs w:val="18"/>
              </w:rPr>
              <w:t>(Yang et al., 2015)</w:t>
            </w:r>
            <w:r>
              <w:rPr>
                <w:sz w:val="18"/>
                <w:szCs w:val="18"/>
              </w:rPr>
              <w:fldChar w:fldCharType="end"/>
            </w:r>
          </w:p>
          <w:p w:rsidR="00460963"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E65BB1">
              <w:rPr>
                <w:rFonts w:ascii="Cambria Math" w:hAnsi="Cambria Math" w:cs="Cambria Math"/>
                <w:sz w:val="18"/>
                <w:szCs w:val="18"/>
              </w:rPr>
              <w:instrText>∗</w:instrText>
            </w:r>
            <w:r w:rsidR="00E65BB1">
              <w:rPr>
                <w:rFonts w:cs="Times New Roman"/>
                <w:sz w:val="18"/>
                <w:szCs w:val="18"/>
              </w:rPr>
              <w:instrText>, miR-130a, miR-135b, miR-142-3p, miR-149, miR-188</w:instrText>
            </w:r>
            <w:r w:rsidR="00E65BB1">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E65BB1"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Pr="00F41D88"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126-3p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w:t>
            </w:r>
          </w:p>
          <w:p w:rsidR="00460963" w:rsidRPr="00527D61" w:rsidRDefault="00460963" w:rsidP="009B2A14">
            <w:pPr>
              <w:spacing w:after="0"/>
              <w:jc w:val="center"/>
              <w:rPr>
                <w:color w:val="000000"/>
                <w:sz w:val="18"/>
                <w:szCs w:val="18"/>
              </w:rPr>
            </w:pPr>
            <w:r>
              <w:rPr>
                <w:color w:val="000000"/>
                <w:sz w:val="18"/>
                <w:szCs w:val="18"/>
              </w:rPr>
              <w:t>MPB (plasma exosomes)</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Default="00460963" w:rsidP="009B2A14">
            <w:pPr>
              <w:spacing w:after="0"/>
              <w:jc w:val="center"/>
              <w:rPr>
                <w:color w:val="000000"/>
                <w:sz w:val="18"/>
                <w:szCs w:val="18"/>
              </w:rPr>
            </w:pPr>
            <w:r>
              <w:rPr>
                <w:color w:val="000000"/>
                <w:sz w:val="18"/>
                <w:szCs w:val="18"/>
              </w:rPr>
              <w:t>No difference in sPE</w:t>
            </w:r>
          </w:p>
          <w:p w:rsidR="00460963" w:rsidRPr="00EB6201" w:rsidRDefault="00460963" w:rsidP="009B2A14">
            <w:pPr>
              <w:spacing w:after="0"/>
              <w:jc w:val="center"/>
              <w:rPr>
                <w:color w:val="000000"/>
                <w:sz w:val="18"/>
                <w:szCs w:val="18"/>
              </w:rPr>
            </w:pPr>
            <w:r>
              <w:rPr>
                <w:color w:val="000000"/>
                <w:sz w:val="18"/>
                <w:szCs w:val="18"/>
              </w:rPr>
              <w:t>Up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E65BB1"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E65BB1"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{"citationItems":[{"id":"ITEM-1","itemData":{"DOI":"10.1016/j.ijcard.2019.05.036","abstract":"Background and methods: Gestational hypertension (GH), preeclampsia (PE) and fetal growth restriction (FGR) may predispose to later onset of cardiovascular/cerebrovascular diseases. We examined if pregnancy complications induce postpartum alterations in gene expression of cardiovascular/cerebrovascular disease associated microRNAs. 29 microRNAs were tested in peripheral blood of women, compared between groups with a history of GH, PE, FGR and controls, and correlated with the severity of the disease regarding clinical signs, delivery date, and Doppler parameters. Results: GH was associated with the up-regulation of miR-20a-5p, miR-143-3p, miR-146a-5p, miR-181a-5p, miR-199a-5p, miR-221-3p, and miR-499a-5p. The up-regulation of miR-17-5p, miR-20b-5p, miR-29a-3p, and miR-126-3p was a mutual phenomenon of GH and severe PE. GH and early PE were associated with up-regulation of miR-1-3p and miR-17-5p. GH and late PE showed up-regulation of miR-17-5p, miR-20b-5p, and miR-29a-3p. Severe PE induced up-regulation of miR-133a-3p and down-regulation of miR-130b-3p. MiR-133a-3p up-regulation was also observed in early PE. PE and/or FGR with abnormal Doppler parameters demonstrated up-regulation of miR-100-5p, miR-125b-5p, miR-133a-3p, and miR-145-5p. The combination screening was superior over using individual microRNAs for patients with GH, PE regardless of the severity of the disease, severe PE and early PE. A cardiovascular risk at patients with late PE, PE and/or FGR with abnormal Doppler parameters was identified more accurately using the single microRNA only. Conclusion: Epigenetic changes characteristic for cardiovascular/cerebrovascular diseases are present in women with a prior exposure to pregnancy complications. Screening of microRNAs may be used to identify patients at a higher risk of later development of cardiovascular/cerebrovascular diseases.","author":[{"dropping-particle":"","family":"Hromadnikova","given":"Ilona","non-dropping-particle":"","parse-names":false,"suffix":""},{"dropping-particle":"","family":"Kotlabova","given":"Katerina","non-dropping-particle":"","parse-names":false,"suffix":""},{"dropping-particle":"","family":"Dvorakova","given":"Lenka","non-dropping-particle":"","parse-names":false,"suffix":""},{"dropping-particle":"","family":"Krofta","given":"Ladislav","non-dropping-particle":"","parse-names":false,"suffix":""}],"container-title":"International Journal of Cardiology","id":"ITEM-1","issued":{"date-parts":[["2019"]]},"page":"158-167","publisher":"Elsevier Ireland Ltd","title":"Postpartum profiling of microRNAs involved in pathogenesis of cardiovascular/cerebrovascular diseases in women exposed to pregnancy-related complications","type":"article-journal","volume":"291"},"uris":["http://www.mendeley.com/documents/?uuid=21c8f59f-c373-3ad5-8ab8-4b4735893312"]}],"mendeley":{"formattedCitation":"(Hromadnikova et al., 2019b)","plainTextFormattedCitation":"(Hromadnikova et al., 2019b)","previouslyFormattedCitation":"(Hromadnikova et al., 2019b)"},"properties":{"noteIndex":0},"schema":"https://github.com/citation-style-language/schema/raw/master/csl-citation.json"}</w:instrText>
            </w:r>
            <w:r>
              <w:rPr>
                <w:sz w:val="18"/>
                <w:szCs w:val="18"/>
              </w:rPr>
              <w:fldChar w:fldCharType="separate"/>
            </w:r>
            <w:r w:rsidR="00E65BB1" w:rsidRPr="00C346EA">
              <w:rPr>
                <w:noProof/>
                <w:sz w:val="18"/>
                <w:szCs w:val="18"/>
              </w:rPr>
              <w:t>(Hromadnikova et al., 2019b)</w:t>
            </w:r>
            <w:r>
              <w:rPr>
                <w:sz w:val="18"/>
                <w:szCs w:val="18"/>
              </w:rPr>
              <w:fldChar w:fldCharType="end"/>
            </w:r>
          </w:p>
          <w:p w:rsidR="00E65BB1"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E65BB1" w:rsidRPr="00E65BB1">
              <w:rPr>
                <w:noProof/>
                <w:sz w:val="18"/>
                <w:szCs w:val="18"/>
              </w:rPr>
              <w:t>(Pillay et al., 2019)</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158</w:t>
            </w:r>
          </w:p>
          <w:p w:rsidR="00460963" w:rsidRPr="00F41D88" w:rsidRDefault="00460963" w:rsidP="009B2A14">
            <w:pPr>
              <w:spacing w:after="0"/>
              <w:jc w:val="center"/>
              <w:rPr>
                <w:sz w:val="18"/>
                <w:szCs w:val="18"/>
              </w:rPr>
            </w:pPr>
            <w:r>
              <w:rPr>
                <w:sz w:val="18"/>
                <w:szCs w:val="18"/>
              </w:rPr>
              <w:t>171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223-3p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 (plasma exosomes)</w:t>
            </w:r>
          </w:p>
          <w:p w:rsidR="00460963" w:rsidRPr="00527D61"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EB6201">
              <w:rPr>
                <w:color w:val="000000"/>
                <w:sz w:val="18"/>
                <w:szCs w:val="18"/>
              </w:rPr>
              <w:t>Down in EOPE</w:t>
            </w:r>
          </w:p>
          <w:p w:rsidR="00460963" w:rsidRDefault="00460963" w:rsidP="009B2A14">
            <w:pPr>
              <w:spacing w:after="0"/>
              <w:jc w:val="center"/>
              <w:rPr>
                <w:color w:val="000000"/>
                <w:sz w:val="18"/>
                <w:szCs w:val="18"/>
              </w:rPr>
            </w:pPr>
            <w:r>
              <w:rPr>
                <w:color w:val="000000"/>
                <w:sz w:val="18"/>
                <w:szCs w:val="18"/>
              </w:rPr>
              <w:t>Up in EOPE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sidRPr="00EB6201">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{"citationItems":[{"id":"ITEM-1","itemData":{"DOI":"10.1016/j.placenta.2014.07.002","abstract":"Introduction miRNAs are small non-coding RNAs important for the regulation of mRNA in many organs including placenta. Adipokines and specifically leptin are known to be dysregulated in preeclampsia, but little is known regarding their regulation by miRNAs during pregnancy. Methods We performed high-throughput sequencing of small RNAs in placenta from 72 well-defined patients: 23 early-onset preeclampsia (PE), 26 late-onset PE and 23 controls. The regulation of some miRNAs was confirmed on qRT-PCR. Maternal circulating levels and placental mRNA of leptin, resistin and adiponectin were measured using Bio-Plex and qRT-PCR. Results We found that miR-1301, miR-223 and miR-224 expression was downregulated in early-onset PE, but not in late-onset PE, compared to controls. In silico analysis predicted the leptin gene (LEP) to be a target for all three miRNAs. Indeed, we found significant correlation between maternal circulating levels of leptin and placental LEP expression. In addition, we found a significant inverse correlation between maternal circulating leptin/placental LEP expression and placental miR-1301 expression levels. Interestingly, placental expression of miR-1301 was also correlated with newborn weight percentile and inversely correlated with both maternal systolic and diastolic blood pressure prior to delivery. Discussion Our results confirm that placenta is a major site of LEP expression during pregnancy. It further suggests that miR-1301 could be involved in the regulation of leptin during pregnancy and may play a role in early-onset PE. Conclusions miR-1301 is dysregulated in early-onset preeclampsia and could possibly play a role in the regulation of leptin during pregnancy. © 2014 Elsevier Ltd. All rights reserved.","author":[{"dropping-particle":"","family":"Weedon-Fekjær","given":"M. S.","non-dropping-particle":"","parse-names":false,"suffix":""},{"dropping-particle":"","family":"Sheng","given":"Y.","non-dropping-particle":"","parse-names":false,"suffix":""},{"dropping-particle":"","family":"Sugulle","given":"M.","non-dropping-particle":"","parse-names":false,"suffix":""},{"dropping-particle":"","family":"Johnsen","given":"G. M.","non-dropping-particle":"","parse-names":false,"suffix":""},{"dropping-particle":"","family":"Herse","given":"F.","non-dropping-particle":"","parse-names":false,"suffix":""},{"dropping-particle":"","family":"Redman","given":"C. W.","non-dropping-particle":"","parse-names":false,"suffix":""},{"dropping-particle":"","family":"Lyle","given":"R.","non-dropping-particle":"","parse-names":false,"suffix":""},{"dropping-particle":"","family":"Dechend","given":"R.","non-dropping-particle":"","parse-names":false,"suffix":""},{"dropping-particle":"","family":"Staff","given":"A. C.","non-dropping-particle":"","parse-names":false,"suffix":""}],"container-title":"Placenta","id":"ITEM-1","issue":"9","issued":{"date-parts":[["2014"]]},"page":"709-717","title":"Placental miR-1301 is dysregulated in early-onset preeclampsia and inversely correlated with maternal circulating leptin","type":"article-journal","volume":"35"},"uris":["http://www.mendeley.com/documents/?uuid=aa99bcde-7f0f-31f3-a871-a59392704b89"]}],"mendeley":{"formattedCitation":"(Weedon-Fekjær et al., 2014)","plainTextFormattedCitation":"(Weedon-Fekjær et al., 2014)","previouslyFormattedCitation":"(Weedon-Fekjær et al., 2014)"},"properties":{"noteIndex":0},"schema":"https://github.com/citation-style-language/schema/raw/master/csl-citation.json"}</w:instrText>
            </w:r>
            <w:r>
              <w:rPr>
                <w:sz w:val="18"/>
                <w:szCs w:val="18"/>
              </w:rPr>
              <w:fldChar w:fldCharType="separate"/>
            </w:r>
            <w:r w:rsidR="00E65BB1" w:rsidRPr="00E65BB1">
              <w:rPr>
                <w:noProof/>
                <w:sz w:val="18"/>
                <w:szCs w:val="18"/>
              </w:rPr>
              <w:t>(Weedon-Fekjær et al., 2014)</w:t>
            </w:r>
            <w:r>
              <w:rPr>
                <w:sz w:val="18"/>
                <w:szCs w:val="18"/>
              </w:rPr>
              <w:fldChar w:fldCharType="end"/>
            </w:r>
          </w:p>
          <w:p w:rsidR="00E65BB1"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E65BB1" w:rsidRPr="00E65BB1">
              <w:rPr>
                <w:noProof/>
                <w:sz w:val="18"/>
                <w:szCs w:val="18"/>
              </w:rPr>
              <w:t>(Pillay et al., 2019)</w:t>
            </w:r>
            <w:r>
              <w:rPr>
                <w:sz w:val="18"/>
                <w:szCs w:val="18"/>
              </w:rPr>
              <w:fldChar w:fldCharType="end"/>
            </w:r>
          </w:p>
          <w:p w:rsidR="00E65BB1"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E65BB1"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43</w:t>
            </w:r>
          </w:p>
          <w:p w:rsidR="00460963" w:rsidRDefault="00460963" w:rsidP="009B2A14">
            <w:pPr>
              <w:spacing w:after="0"/>
              <w:jc w:val="center"/>
              <w:rPr>
                <w:sz w:val="18"/>
                <w:szCs w:val="18"/>
              </w:rPr>
            </w:pPr>
            <w:r>
              <w:rPr>
                <w:sz w:val="18"/>
                <w:szCs w:val="18"/>
              </w:rPr>
              <w:t>171</w:t>
            </w:r>
          </w:p>
          <w:p w:rsidR="00460963" w:rsidRPr="00F41D88"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224</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Pr="00EB620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Pr="00EB6201"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E65BB1"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E65BB1">
              <w:rPr>
                <w:rFonts w:ascii="Cambria Math" w:hAnsi="Cambria Math" w:cs="Cambria Math"/>
                <w:sz w:val="18"/>
                <w:szCs w:val="18"/>
              </w:rPr>
              <w:instrText>∗</w:instrText>
            </w:r>
            <w:r w:rsidR="00E65BB1">
              <w:rPr>
                <w:rFonts w:cs="Times New Roman"/>
                <w:sz w:val="18"/>
                <w:szCs w:val="18"/>
              </w:rPr>
              <w:instrText>, miR-130a, miR-135b, miR-142-3p, miR-149, miR-188</w:instrText>
            </w:r>
            <w:r w:rsidR="00E65BB1">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E65BB1" w:rsidRPr="00FF4CEA">
              <w:rPr>
                <w:noProof/>
                <w:sz w:val="18"/>
                <w:szCs w:val="18"/>
              </w:rPr>
              <w:t>(Yang et al., 2015)</w:t>
            </w:r>
            <w:r>
              <w:rPr>
                <w:sz w:val="18"/>
                <w:szCs w:val="18"/>
              </w:rPr>
              <w:fldChar w:fldCharType="end"/>
            </w:r>
          </w:p>
          <w:p w:rsidR="00460963"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E65BB1">
              <w:rPr>
                <w:rFonts w:ascii="Cambria Math" w:hAnsi="Cambria Math" w:cs="Cambria Math"/>
                <w:sz w:val="18"/>
                <w:szCs w:val="18"/>
              </w:rPr>
              <w:instrText>∗</w:instrText>
            </w:r>
            <w:r w:rsidR="00E65BB1">
              <w:rPr>
                <w:rFonts w:cs="Times New Roman"/>
                <w:sz w:val="18"/>
                <w:szCs w:val="18"/>
              </w:rPr>
              <w:instrText>, miR-130a, miR-135b, miR-142-3p, miR-149, miR-188</w:instrText>
            </w:r>
            <w:r w:rsidR="00E65BB1">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E65BB1"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224-5p</w:t>
            </w:r>
          </w:p>
        </w:tc>
        <w:tc>
          <w:tcPr>
            <w:tcW w:w="2136" w:type="dxa"/>
            <w:vAlign w:val="center"/>
          </w:tcPr>
          <w:p w:rsidR="00460963" w:rsidRPr="00527D6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Down in EOPE</w:t>
            </w:r>
          </w:p>
        </w:tc>
        <w:tc>
          <w:tcPr>
            <w:tcW w:w="1173" w:type="dxa"/>
            <w:vAlign w:val="center"/>
          </w:tcPr>
          <w:p w:rsidR="00460963" w:rsidRPr="00EB6201" w:rsidRDefault="00460963" w:rsidP="009B2A14">
            <w:pPr>
              <w:spacing w:after="0"/>
              <w:jc w:val="center"/>
              <w:rPr>
                <w:color w:val="000000"/>
                <w:sz w:val="18"/>
                <w:szCs w:val="18"/>
              </w:rPr>
            </w:pPr>
            <w:r w:rsidRPr="00EB6201">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{"citationItems":[{"id":"ITEM-1","itemData":{"DOI":"10.1016/j.placenta.2014.07.002","abstract":"Introduction miRNAs are small non-coding RNAs important for the regulation of mRNA in many organs including placenta. Adipokines and specifically leptin are known to be dysregulated in preeclampsia, but little is known regarding their regulation by miRNAs during pregnancy. Methods We performed high-throughput sequencing of small RNAs in placenta from 72 well-defined patients: 23 early-onset preeclampsia (PE), 26 late-onset PE and 23 controls. The regulation of some miRNAs was confirmed on qRT-PCR. Maternal circulating levels and placental mRNA of leptin, resistin and adiponectin were measured using Bio-Plex and qRT-PCR. Results We found that miR-1301, miR-223 and miR-224 expression was downregulated in early-onset PE, but not in late-onset PE, compared to controls. In silico analysis predicted the leptin gene (LEP) to be a target for all three miRNAs. Indeed, we found significant correlation between maternal circulating levels of leptin and placental LEP expression. In addition, we found a significant inverse correlation between maternal circulating leptin/placental LEP expression and placental miR-1301 expression levels. Interestingly, placental expression of miR-1301 was also correlated with newborn weight percentile and inversely correlated with both maternal systolic and diastolic blood pressure prior to delivery. Discussion Our results confirm that placenta is a major site of LEP expression during pregnancy. It further suggests that miR-1301 could be involved in the regulation of leptin during pregnancy and may play a role in early-onset PE. Conclusions miR-1301 is dysregulated in early-onset preeclampsia and could possibly play a role in the regulation of leptin during pregnancy. © 2014 Elsevier Ltd. All rights reserved.","author":[{"dropping-particle":"","family":"Weedon-Fekjær","given":"M. S.","non-dropping-particle":"","parse-names":false,"suffix":""},{"dropping-particle":"","family":"Sheng","given":"Y.","non-dropping-particle":"","parse-names":false,"suffix":""},{"dropping-particle":"","family":"Sugulle","given":"M.","non-dropping-particle":"","parse-names":false,"suffix":""},{"dropping-particle":"","family":"Johnsen","given":"G. M.","non-dropping-particle":"","parse-names":false,"suffix":""},{"dropping-particle":"","family":"Herse","given":"F.","non-dropping-particle":"","parse-names":false,"suffix":""},{"dropping-particle":"","family":"Redman","given":"C. W.","non-dropping-particle":"","parse-names":false,"suffix":""},{"dropping-particle":"","family":"Lyle","given":"R.","non-dropping-particle":"","parse-names":false,"suffix":""},{"dropping-particle":"","family":"Dechend","given":"R.","non-dropping-particle":"","parse-names":false,"suffix":""},{"dropping-particle":"","family":"Staff","given":"A. C.","non-dropping-particle":"","parse-names":false,"suffix":""}],"container-title":"Placenta","id":"ITEM-1","issue":"9","issued":{"date-parts":[["2014"]]},"page":"709-717","title":"Placental miR-1301 is dysregulated in early-onset preeclampsia and inversely correlated with maternal circulating leptin","type":"article-journal","volume":"35"},"uris":["http://www.mendeley.com/documents/?uuid=aa99bcde-7f0f-31f3-a871-a59392704b89"]}],"mendeley":{"formattedCitation":"(Weedon-Fekjær et al., 2014)","plainTextFormattedCitation":"(Weedon-Fekjær et al., 2014)","previouslyFormattedCitation":"(Weedon-Fekjær et al., 2014)"},"properties":{"noteIndex":0},"schema":"https://github.com/citation-style-language/schema/raw/master/csl-citation.json"}</w:instrText>
            </w:r>
            <w:r>
              <w:rPr>
                <w:sz w:val="18"/>
                <w:szCs w:val="18"/>
              </w:rPr>
              <w:fldChar w:fldCharType="separate"/>
            </w:r>
            <w:r w:rsidR="00E65BB1" w:rsidRPr="00E65BB1">
              <w:rPr>
                <w:noProof/>
                <w:sz w:val="18"/>
                <w:szCs w:val="18"/>
              </w:rPr>
              <w:t>(Weedon-Fekjær et al., 2014)</w:t>
            </w:r>
            <w:r>
              <w:rPr>
                <w:sz w:val="18"/>
                <w:szCs w:val="18"/>
              </w:rPr>
              <w:fldChar w:fldCharType="end"/>
            </w:r>
          </w:p>
        </w:tc>
        <w:tc>
          <w:tcPr>
            <w:tcW w:w="1791" w:type="dxa"/>
            <w:vAlign w:val="center"/>
          </w:tcPr>
          <w:p w:rsidR="00460963" w:rsidRPr="00F41D88" w:rsidRDefault="00460963" w:rsidP="009B2A14">
            <w:pPr>
              <w:spacing w:after="0"/>
              <w:jc w:val="center"/>
              <w:rPr>
                <w:sz w:val="18"/>
                <w:szCs w:val="18"/>
              </w:rPr>
            </w:pPr>
            <w:r>
              <w:rPr>
                <w:sz w:val="18"/>
                <w:szCs w:val="18"/>
              </w:rPr>
              <w:t>43</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1301</w:t>
            </w:r>
          </w:p>
        </w:tc>
        <w:tc>
          <w:tcPr>
            <w:tcW w:w="2136" w:type="dxa"/>
            <w:vAlign w:val="center"/>
          </w:tcPr>
          <w:p w:rsidR="00460963" w:rsidRPr="00527D6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Pr="00EB6201" w:rsidRDefault="00460963" w:rsidP="009B2A14">
            <w:pPr>
              <w:spacing w:after="0"/>
              <w:jc w:val="center"/>
              <w:rPr>
                <w:color w:val="000000"/>
                <w:sz w:val="18"/>
                <w:szCs w:val="18"/>
              </w:rPr>
            </w:pPr>
            <w:r w:rsidRPr="00EB6201">
              <w:rPr>
                <w:color w:val="000000"/>
                <w:sz w:val="18"/>
                <w:szCs w:val="18"/>
              </w:rPr>
              <w:t>Down in EOPE</w:t>
            </w:r>
          </w:p>
        </w:tc>
        <w:tc>
          <w:tcPr>
            <w:tcW w:w="1173" w:type="dxa"/>
            <w:vAlign w:val="center"/>
          </w:tcPr>
          <w:p w:rsidR="00460963" w:rsidRPr="00EB6201" w:rsidRDefault="00460963" w:rsidP="009B2A14">
            <w:pPr>
              <w:spacing w:after="0"/>
              <w:jc w:val="center"/>
              <w:rPr>
                <w:color w:val="000000"/>
                <w:sz w:val="18"/>
                <w:szCs w:val="18"/>
              </w:rPr>
            </w:pPr>
            <w:r w:rsidRPr="00EB6201">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{"citationItems":[{"id":"ITEM-1","itemData":{"DOI":"10.1016/j.placenta.2014.07.002","abstract":"Introduction miRNAs are small non-coding RNAs important for the regulation of mRNA in many organs including placenta. Adipokines and specifically leptin are known to be dysregulated in preeclampsia, but little is known regarding their regulation by miRNAs during pregnancy. Methods We performed high-throughput sequencing of small RNAs in placenta from 72 well-defined patients: 23 early-onset preeclampsia (PE), 26 late-onset PE and 23 controls. The regulation of some miRNAs was confirmed on qRT-PCR. Maternal circulating levels and placental mRNA of leptin, resistin and adiponectin were measured using Bio-Plex and qRT-PCR. Results We found that miR-1301, miR-223 and miR-224 expression was downregulated in early-onset PE, but not in late-onset PE, compared to controls. In silico analysis predicted the leptin gene (LEP) to be a target for all three miRNAs. Indeed, we found significant correlation between maternal circulating levels of leptin and placental LEP expression. In addition, we found a significant inverse correlation between maternal circulating leptin/placental LEP expression and placental miR-1301 expression levels. Interestingly, placental expression of miR-1301 was also correlated with newborn weight percentile and inversely correlated with both maternal systolic and diastolic blood pressure prior to delivery. Discussion Our results confirm that placenta is a major site of LEP expression during pregnancy. It further suggests that miR-1301 could be involved in the regulation of leptin during pregnancy and may play a role in early-onset PE. Conclusions miR-1301 is dysregulated in early-onset preeclampsia and could possibly play a role in the regulation of leptin during pregnancy. © 2014 Elsevier Ltd. All rights reserved.","author":[{"dropping-particle":"","family":"Weedon-Fekjær","given":"M. S.","non-dropping-particle":"","parse-names":false,"suffix":""},{"dropping-particle":"","family":"Sheng","given":"Y.","non-dropping-particle":"","parse-names":false,"suffix":""},{"dropping-particle":"","family":"Sugulle","given":"M.","non-dropping-particle":"","parse-names":false,"suffix":""},{"dropping-particle":"","family":"Johnsen","given":"G. M.","non-dropping-particle":"","parse-names":false,"suffix":""},{"dropping-particle":"","family":"Herse","given":"F.","non-dropping-particle":"","parse-names":false,"suffix":""},{"dropping-particle":"","family":"Redman","given":"C. W.","non-dropping-particle":"","parse-names":false,"suffix":""},{"dropping-particle":"","family":"Lyle","given":"R.","non-dropping-particle":"","parse-names":false,"suffix":""},{"dropping-particle":"","family":"Dechend","given":"R.","non-dropping-particle":"","parse-names":false,"suffix":""},{"dropping-particle":"","family":"Staff","given":"A. C.","non-dropping-particle":"","parse-names":false,"suffix":""}],"container-title":"Placenta","id":"ITEM-1","issue":"9","issued":{"date-parts":[["2014"]]},"page":"709-717","title":"Placental miR-1301 is dysregulated in early-onset preeclampsia and inversely correlated with maternal circulating leptin","type":"article-journal","volume":"35"},"uris":["http://www.mendeley.com/documents/?uuid=aa99bcde-7f0f-31f3-a871-a59392704b89"]}],"mendeley":{"formattedCitation":"(Weedon-Fekjær et al., 2014)","plainTextFormattedCitation":"(Weedon-Fekjær et al., 2014)","previouslyFormattedCitation":"(Weedon-Fekjær et al., 2014)"},"properties":{"noteIndex":0},"schema":"https://github.com/citation-style-language/schema/raw/master/csl-citation.json"}</w:instrText>
            </w:r>
            <w:r>
              <w:rPr>
                <w:sz w:val="18"/>
                <w:szCs w:val="18"/>
              </w:rPr>
              <w:fldChar w:fldCharType="separate"/>
            </w:r>
            <w:r w:rsidR="00E65BB1" w:rsidRPr="00E65BB1">
              <w:rPr>
                <w:noProof/>
                <w:sz w:val="18"/>
                <w:szCs w:val="18"/>
              </w:rPr>
              <w:t>(Weedon-Fekjær et al., 2014)</w:t>
            </w:r>
            <w:r>
              <w:rPr>
                <w:sz w:val="18"/>
                <w:szCs w:val="18"/>
              </w:rPr>
              <w:fldChar w:fldCharType="end"/>
            </w:r>
          </w:p>
        </w:tc>
        <w:tc>
          <w:tcPr>
            <w:tcW w:w="1791" w:type="dxa"/>
            <w:vAlign w:val="center"/>
          </w:tcPr>
          <w:p w:rsidR="00460963" w:rsidRPr="00F41D88" w:rsidRDefault="00460963" w:rsidP="009B2A14">
            <w:pPr>
              <w:spacing w:after="0"/>
              <w:jc w:val="center"/>
              <w:rPr>
                <w:sz w:val="18"/>
                <w:szCs w:val="18"/>
              </w:rPr>
            </w:pPr>
            <w:r>
              <w:rPr>
                <w:sz w:val="18"/>
                <w:szCs w:val="18"/>
              </w:rPr>
              <w:t>43</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340-5p</w:t>
            </w:r>
          </w:p>
        </w:tc>
        <w:tc>
          <w:tcPr>
            <w:tcW w:w="2136" w:type="dxa"/>
            <w:vAlign w:val="center"/>
          </w:tcPr>
          <w:p w:rsidR="00460963" w:rsidRPr="00EB6201" w:rsidRDefault="00460963" w:rsidP="009B2A14">
            <w:pPr>
              <w:spacing w:after="0"/>
              <w:jc w:val="center"/>
              <w:rPr>
                <w:color w:val="000000"/>
                <w:sz w:val="18"/>
                <w:szCs w:val="18"/>
              </w:rPr>
            </w:pPr>
            <w:r>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424</w:t>
            </w:r>
          </w:p>
        </w:tc>
        <w:tc>
          <w:tcPr>
            <w:tcW w:w="2136" w:type="dxa"/>
            <w:vAlign w:val="center"/>
          </w:tcPr>
          <w:p w:rsidR="00460963" w:rsidRPr="00B56460" w:rsidRDefault="00460963" w:rsidP="009B2A14">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sEOPE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04386C">
            <w:pPr>
              <w:spacing w:after="0"/>
              <w:jc w:val="center"/>
              <w:rPr>
                <w:sz w:val="18"/>
                <w:szCs w:val="18"/>
              </w:rPr>
            </w:pPr>
            <w:r>
              <w:rPr>
                <w:sz w:val="18"/>
                <w:szCs w:val="18"/>
              </w:rPr>
              <w:fldChar w:fldCharType="begin" w:fldLock="1"/>
            </w:r>
            <w:r w:rsidR="00E65BB1">
              <w:rPr>
                <w:sz w:val="18"/>
                <w:szCs w:val="18"/>
              </w:rPr>
              <w:instrText>ADDIN CSL_CITATION {"citationItems":[{"id":"ITEM-1","itemData":{"DOI":"10.1038/s41598-020-73783-w","ISSN":"20452322","PMID":"33093531","abstract":"Preeclampsia is a pregnancy complication associated with angiogenic dysbalance, maternal endothelial dysfunction and end-organ injury. A predictive test to identify those who will develop preeclampsia could substantially decrease morbidity and mortality. MicroRNAs (miRs) are small RNA molecules involved in post-transcriptional gene regulation. We screened for circulating miRs differentially expressed at 36 weeks’ gestation in pregnancies before the development of preeclampsia. We used a case–control group (198 controls, 34 pre-preeclampsia diagnosis) selected from a prospective cohort (n = 2015) and performed a PCR-based microarray to measure the expression of 41 miRs. We found six circulating miRs (miRs 363, 149, 18a, 1283, 16, 424) at 36 weeks' had significantly reduced expression (p &lt; 0.0001–0.04). miR363 was significantly downregulated at 28 weeks’ gestation, 10–12 weeks before the onset of clinical disease. In the circulation of another cohort of 34 participants with established preterm preeclampsia (vs 23 controls), we found miRs363, 18a, 149 and 16 were significantly down regulated (p &lt; 0.0001–0.04). Combined expression of miRs149 and 363 in the circulation at 36 weeks’ gestation provides a test with 45% sensitivity (at a specificity of 90%) which suggests measuring both miRs may have promise as part of a multi-marker test to predict preeclampsia.","author":[{"dropping-particle":"","family":"Whigham","given":"Carole Anne","non-dropping-particle":"","parse-names":false,"suffix":""},{"dropping-particle":"","family":"MacDonald","given":"Teresa M.","non-dropping-particle":"","parse-names":false,"suffix":""},{"dropping-particle":"","family":"Walker","given":"Susan P.","non-dropping-particle":"","parse-names":false,"suffix":""},{"dropping-particle":"","family":"Hiscock","given":"Richard","non-dropping-particle":"","parse-names":false,"suffix":""},{"dropping-particle":"","family":"Hannan","given":"Natalie J.","non-dropping-particle":"","parse-names":false,"suffix":""},{"dropping-particle":"","family":"Pritchard","given":"Natasha","non-dropping-particle":"","parse-names":false,"suffix":""},{"dropping-particle":"","family":"Cannon","given":"Ping","non-dropping-particle":"","parse-names":false,"suffix":""},{"dropping-particle":"","family":"Nguyen","given":"Tuong Vi","non-dropping-particle":"","parse-names":false,"suffix":""},{"dropping-particle":"","family":"Miranda","given":"Manisha","non-dropping-particle":"","parse-names":false,"suffix":""},{"dropping-particle":"","family":"Tong","given":"Stephen","non-dropping-particle":"","parse-names":false,"suffix":""},{"dropping-particle":"","family":"Kaitu’u-Lino","given":"Tu’uhevaha J.","non-dropping-particle":"","parse-names":false,"suffix":""}],"container-title":"Scientific Reports","id":"ITEM-1","issue":"1","issued":{"date-parts":[["2020","12","1"]]},"page":"18077","publisher":"Nature Research","title":"MicroRNAs 363 and 149 are differentially expressed in the maternal circulation preceding a diagnosis of preeclampsia","type":"article-journal","volume":"10"},"uris":["http://www.mendeley.com/documents/?uuid=168474e8-6878-3384-830b-0d80f3999b8b"]}],"mendeley":{"formattedCitation":"(Whigham et al., 2020)","plainTextFormattedCitation":"(Whigham et al., 2020)","previouslyFormattedCitation":"(Whigham et al., 2020)"},"properties":{"noteIndex":0},"schema":"https://github.com/citation-style-language/schema/raw/master/csl-citation.json"}</w:instrText>
            </w:r>
            <w:r>
              <w:rPr>
                <w:sz w:val="18"/>
                <w:szCs w:val="18"/>
              </w:rPr>
              <w:fldChar w:fldCharType="separate"/>
            </w:r>
            <w:r w:rsidR="0004386C" w:rsidRPr="0004386C">
              <w:rPr>
                <w:noProof/>
                <w:sz w:val="18"/>
                <w:szCs w:val="18"/>
              </w:rPr>
              <w:t>(Whigham et al., 2020)</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Whigham 2020</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424-5p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33a-5p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7-5p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1229</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1267</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671-3p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w:t>
            </w:r>
          </w:p>
        </w:tc>
        <w:tc>
          <w:tcPr>
            <w:tcW w:w="2136" w:type="dxa"/>
            <w:vAlign w:val="center"/>
          </w:tcPr>
          <w:p w:rsidR="00460963" w:rsidRDefault="00460963" w:rsidP="009B2A14">
            <w:pPr>
              <w:spacing w:after="0"/>
              <w:jc w:val="center"/>
              <w:rPr>
                <w:color w:val="000000"/>
                <w:sz w:val="18"/>
                <w:szCs w:val="18"/>
              </w:rPr>
            </w:pPr>
            <w:r w:rsidRPr="00B56460">
              <w:rPr>
                <w:color w:val="000000"/>
                <w:sz w:val="18"/>
                <w:szCs w:val="18"/>
              </w:rPr>
              <w:t>MPB</w:t>
            </w:r>
          </w:p>
          <w:p w:rsidR="00460963" w:rsidRDefault="00460963" w:rsidP="009B2A14">
            <w:pPr>
              <w:spacing w:after="0"/>
              <w:jc w:val="center"/>
              <w:rPr>
                <w:color w:val="000000"/>
                <w:sz w:val="18"/>
                <w:szCs w:val="18"/>
              </w:rPr>
            </w:pPr>
            <w:r>
              <w:rPr>
                <w:color w:val="000000"/>
                <w:sz w:val="18"/>
                <w:szCs w:val="18"/>
              </w:rPr>
              <w:t>Placenta</w:t>
            </w:r>
          </w:p>
          <w:p w:rsidR="00460963" w:rsidRPr="00EB6201"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 difference in EOPE</w:t>
            </w:r>
          </w:p>
          <w:p w:rsidR="00460963" w:rsidRPr="00EB6201"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 xml:space="preserve">No </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E65BB1"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{"citationItems":[{"id":"ITEM-1","itemData":{"DOI":"10.1371/journal.pone.0138383","abstract":"Aims. To demonstrate that pregnancy-related complications are associated with alterations in cardiovascular and cerebrovascular microRNA expression. Gene expression of 32 microRNAs (miR-1-3p, miR-16-5p, miR-17-5p, miR-20a-5p, miR-20b-5p, miR-21-5p, miR-23a-3p, miR-24-3p, miR-26a-5p, miR-29a-3p, miR-33a-5p, miR-92a-3p, miR-100-5p, miR-103a-3p, miR-122-5p, miR-125b-5p, miR-126-3p, miR-130b-3p, miR-133a-3p, miR-143-3p, miR- 145-5p, miR-146a-5p, miR-155-5p, miR-181a-5p, miR-195-5p, miR-199a-5p, miR-208a-3p, miR-210-3p, miR-221-3p, miR-342-3p, miR-499a-5p, and miR-574-3p) was assessed in placental tissues, compared between groups (35 gestational hypertension, 80 preeclampsia, 35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placental tissues affected by pregnancy-related complications have been carried out.","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PLoS ONE","id":"ITEM-1","issue":"9","issued":{"date-parts":[["2015"]]},"page":"e0138383","title":"Cardiovascular and cerebrovascular disease associated microRNAS are dysregulated in placental tissues affected with gestational hypertension, preeclampsia and intrauterine growth restriction","type":"article-journal","volume":"10"},"uris":["http://www.mendeley.com/documents/?uuid=6c37d6ae-29c0-329f-a584-7063ee1728eb"]}],"mendeley":{"formattedCitation":"(Hromadnikova et al., 2015a)","plainTextFormattedCitation":"(Hromadnikova et al., 2015a)","previouslyFormattedCitation":"(Hromadnikova et al., 2015a)"},"properties":{"noteIndex":0},"schema":"https://github.com/citation-style-language/schema/raw/master/csl-citation.json"}</w:instrText>
            </w:r>
            <w:r>
              <w:rPr>
                <w:sz w:val="18"/>
                <w:szCs w:val="18"/>
              </w:rPr>
              <w:fldChar w:fldCharType="separate"/>
            </w:r>
            <w:r w:rsidR="00E65BB1" w:rsidRPr="00E65BB1">
              <w:rPr>
                <w:noProof/>
                <w:sz w:val="18"/>
                <w:szCs w:val="18"/>
              </w:rPr>
              <w:t>(Hromadnikova et al., 2015a)</w:t>
            </w:r>
            <w:r>
              <w:rPr>
                <w:sz w:val="18"/>
                <w:szCs w:val="18"/>
              </w:rPr>
              <w:fldChar w:fldCharType="end"/>
            </w:r>
          </w:p>
          <w:p w:rsidR="00E65BB1"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E65BB1">
              <w:rPr>
                <w:rFonts w:ascii="MS Mincho" w:eastAsia="MS Mincho" w:hAnsi="MS Mincho" w:cs="MS Mincho" w:hint="eastAsia"/>
                <w:sz w:val="18"/>
                <w:szCs w:val="18"/>
              </w:rPr>
              <w:instrText>‑</w:instrText>
            </w:r>
            <w:r w:rsidR="00E65BB1">
              <w:rPr>
                <w:rFonts w:cs="Times New Roman"/>
                <w:sz w:val="18"/>
                <w:szCs w:val="18"/>
              </w:rPr>
              <w:instrText>eclampsia o</w:instrText>
            </w:r>
            <w:r w:rsidR="00E65BB1">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E65BB1"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p w:rsidR="00460963" w:rsidRDefault="00460963" w:rsidP="009B2A14">
            <w:pPr>
              <w:spacing w:after="0"/>
              <w:jc w:val="center"/>
              <w:rPr>
                <w:sz w:val="18"/>
                <w:szCs w:val="18"/>
              </w:rPr>
            </w:pPr>
            <w:r>
              <w:rPr>
                <w:sz w:val="18"/>
                <w:szCs w:val="18"/>
              </w:rPr>
              <w:t>52</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lastRenderedPageBreak/>
              <w:t>133b</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144-3p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582-5p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30e-3p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30e-5p</w:t>
            </w:r>
          </w:p>
        </w:tc>
        <w:tc>
          <w:tcPr>
            <w:tcW w:w="2136" w:type="dxa"/>
            <w:vAlign w:val="center"/>
          </w:tcPr>
          <w:p w:rsidR="00460963" w:rsidRPr="00B56460"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E65BB1" w:rsidRPr="00FF4CEA">
              <w:rPr>
                <w:noProof/>
                <w:sz w:val="18"/>
                <w:szCs w:val="18"/>
              </w:rPr>
              <w:t>(Luizon et al., 2021)</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199a-5p</w:t>
            </w:r>
          </w:p>
        </w:tc>
        <w:tc>
          <w:tcPr>
            <w:tcW w:w="2136" w:type="dxa"/>
            <w:vAlign w:val="center"/>
          </w:tcPr>
          <w:p w:rsidR="00460963" w:rsidRDefault="00460963" w:rsidP="009B2A14">
            <w:pPr>
              <w:spacing w:after="0"/>
              <w:jc w:val="center"/>
              <w:rPr>
                <w:color w:val="000000"/>
                <w:sz w:val="18"/>
                <w:szCs w:val="18"/>
              </w:rPr>
            </w:pPr>
            <w:r w:rsidRPr="00B56460">
              <w:rPr>
                <w:color w:val="000000"/>
                <w:sz w:val="18"/>
                <w:szCs w:val="18"/>
              </w:rPr>
              <w:t>MPB</w:t>
            </w:r>
          </w:p>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MPB (whole blood)</w:t>
            </w:r>
          </w:p>
          <w:p w:rsidR="00460963" w:rsidRPr="00EB6201" w:rsidRDefault="00460963" w:rsidP="009B2A14">
            <w:pPr>
              <w:spacing w:after="0"/>
              <w:jc w:val="center"/>
              <w:rPr>
                <w:color w:val="000000"/>
                <w:sz w:val="18"/>
                <w:szCs w:val="18"/>
              </w:rPr>
            </w:pPr>
            <w:r>
              <w:rPr>
                <w:color w:val="000000"/>
                <w:sz w:val="18"/>
                <w:szCs w:val="18"/>
              </w:rPr>
              <w:t>UC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EOPE</w:t>
            </w:r>
          </w:p>
          <w:p w:rsidR="00460963" w:rsidRPr="00EB6201"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Pr="00EB6201"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p w:rsidR="00E65BB1"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E65BB1" w:rsidRPr="00BB7CB7">
              <w:rPr>
                <w:noProof/>
                <w:sz w:val="18"/>
                <w:szCs w:val="18"/>
              </w:rPr>
              <w:t>(Hromadnikova et al., 2016)</w:t>
            </w:r>
            <w:r>
              <w:rPr>
                <w:sz w:val="18"/>
                <w:szCs w:val="18"/>
              </w:rPr>
              <w:fldChar w:fldCharType="end"/>
            </w:r>
          </w:p>
          <w:p w:rsidR="00E65BB1" w:rsidRDefault="00E33D6E" w:rsidP="00E65BB1">
            <w:pPr>
              <w:spacing w:after="0"/>
              <w:jc w:val="center"/>
              <w:rPr>
                <w:sz w:val="18"/>
                <w:szCs w:val="18"/>
              </w:rPr>
            </w:pPr>
            <w:r>
              <w:rPr>
                <w:sz w:val="18"/>
                <w:szCs w:val="18"/>
              </w:rPr>
              <w:fldChar w:fldCharType="begin" w:fldLock="1"/>
            </w:r>
            <w:r w:rsidR="00E65BB1">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E65BB1" w:rsidRPr="00BB7CB7">
              <w:rPr>
                <w:noProof/>
                <w:sz w:val="18"/>
                <w:szCs w:val="18"/>
              </w:rPr>
              <w:t>(Hromadnikova et al., 2016)</w:t>
            </w:r>
            <w:r>
              <w:rPr>
                <w:sz w:val="18"/>
                <w:szCs w:val="18"/>
              </w:rPr>
              <w:fldChar w:fldCharType="end"/>
            </w:r>
          </w:p>
          <w:p w:rsidR="00E65BB1" w:rsidRPr="00E036C9" w:rsidRDefault="00E33D6E" w:rsidP="009B2A14">
            <w:pPr>
              <w:spacing w:after="0"/>
              <w:jc w:val="center"/>
              <w:rPr>
                <w:sz w:val="18"/>
                <w:szCs w:val="18"/>
              </w:rPr>
            </w:pPr>
            <w:r>
              <w:rPr>
                <w:sz w:val="18"/>
                <w:szCs w:val="18"/>
              </w:rPr>
              <w:fldChar w:fldCharType="begin" w:fldLock="1"/>
            </w:r>
            <w:r w:rsidR="00984BF2">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E65BB1" w:rsidRPr="00E65BB1">
              <w:rPr>
                <w:noProof/>
                <w:sz w:val="18"/>
                <w:szCs w:val="18"/>
              </w:rPr>
              <w:t>(Hromadnikova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92</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199b-5p</w:t>
            </w:r>
          </w:p>
        </w:tc>
        <w:tc>
          <w:tcPr>
            <w:tcW w:w="2136" w:type="dxa"/>
            <w:vAlign w:val="center"/>
          </w:tcPr>
          <w:p w:rsidR="00460963" w:rsidRPr="00EB6201"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EB6201"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221-5p</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sidRPr="00E036C9">
              <w:rPr>
                <w:sz w:val="18"/>
                <w:szCs w:val="18"/>
              </w:rPr>
              <w:t>44</w:t>
            </w:r>
          </w:p>
        </w:tc>
      </w:tr>
      <w:tr w:rsidR="00460963" w:rsidRPr="00F80C43" w:rsidTr="00B00CA2">
        <w:trPr>
          <w:cantSplit/>
          <w:trHeight w:val="1035"/>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221-3p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MPB (whole blood)</w:t>
            </w:r>
          </w:p>
          <w:p w:rsidR="00460963" w:rsidRPr="00B56460" w:rsidRDefault="00460963" w:rsidP="009B2A14">
            <w:pPr>
              <w:spacing w:after="0"/>
              <w:jc w:val="center"/>
              <w:rPr>
                <w:color w:val="000000"/>
                <w:sz w:val="18"/>
                <w:szCs w:val="18"/>
              </w:rPr>
            </w:pPr>
            <w:r>
              <w:rPr>
                <w:color w:val="000000"/>
                <w:sz w:val="18"/>
                <w:szCs w:val="18"/>
              </w:rPr>
              <w:t>UC blood</w:t>
            </w:r>
          </w:p>
          <w:p w:rsidR="00460963" w:rsidRDefault="00460963" w:rsidP="009B2A14">
            <w:pPr>
              <w:spacing w:after="0"/>
              <w:jc w:val="center"/>
              <w:rPr>
                <w:color w:val="000000"/>
                <w:sz w:val="18"/>
                <w:szCs w:val="18"/>
              </w:rPr>
            </w:pPr>
            <w:r>
              <w:rPr>
                <w:color w:val="000000"/>
                <w:sz w:val="18"/>
                <w:szCs w:val="18"/>
              </w:rPr>
              <w:t>MPB (plasma)</w:t>
            </w:r>
          </w:p>
          <w:p w:rsidR="00460963" w:rsidRPr="00B56460"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EOPE</w:t>
            </w:r>
          </w:p>
          <w:p w:rsidR="00460963" w:rsidRPr="00567B8B"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Pr="00567B8B"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Yes </w:t>
            </w:r>
          </w:p>
          <w:p w:rsidR="00460963" w:rsidRPr="00567B8B"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Pr="00567B8B" w:rsidRDefault="00460963" w:rsidP="009B2A14">
            <w:pPr>
              <w:spacing w:after="0"/>
              <w:jc w:val="center"/>
              <w:rPr>
                <w:color w:val="000000"/>
                <w:sz w:val="18"/>
                <w:szCs w:val="18"/>
              </w:rPr>
            </w:pPr>
            <w:r>
              <w:rPr>
                <w:color w:val="000000"/>
                <w:sz w:val="18"/>
                <w:szCs w:val="18"/>
              </w:rPr>
              <w:t>No</w:t>
            </w:r>
          </w:p>
        </w:tc>
        <w:tc>
          <w:tcPr>
            <w:tcW w:w="2977" w:type="dxa"/>
          </w:tcPr>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984BF2" w:rsidRPr="00BB7CB7">
              <w:rPr>
                <w:noProof/>
                <w:sz w:val="18"/>
                <w:szCs w:val="18"/>
              </w:rPr>
              <w:t>(Hromadnikova et al., 2016)</w:t>
            </w:r>
            <w:r>
              <w:rPr>
                <w:sz w:val="18"/>
                <w:szCs w:val="18"/>
              </w:rPr>
              <w:fldChar w:fldCharType="end"/>
            </w:r>
          </w:p>
          <w:p w:rsidR="00460963"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984BF2" w:rsidRPr="00BB7CB7">
              <w:rPr>
                <w:noProof/>
                <w:sz w:val="18"/>
                <w:szCs w:val="18"/>
              </w:rPr>
              <w:t>(Hromadnikova et al., 2016)</w:t>
            </w:r>
            <w:r>
              <w:rPr>
                <w:sz w:val="18"/>
                <w:szCs w:val="18"/>
              </w:rPr>
              <w:fldChar w:fldCharType="end"/>
            </w:r>
          </w:p>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984BF2" w:rsidRPr="00E65BB1">
              <w:rPr>
                <w:noProof/>
                <w:sz w:val="18"/>
                <w:szCs w:val="18"/>
              </w:rPr>
              <w:t>(Hromadnikova et al., 2017)</w:t>
            </w:r>
            <w:r>
              <w:rPr>
                <w:sz w:val="18"/>
                <w:szCs w:val="18"/>
              </w:rPr>
              <w:fldChar w:fldCharType="end"/>
            </w:r>
          </w:p>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984BF2" w:rsidRPr="00932CA1">
              <w:rPr>
                <w:noProof/>
                <w:sz w:val="18"/>
                <w:szCs w:val="18"/>
              </w:rPr>
              <w:t>(Murphy et al., 2015)</w:t>
            </w:r>
            <w:r>
              <w:rPr>
                <w:sz w:val="18"/>
                <w:szCs w:val="18"/>
              </w:rPr>
              <w:fldChar w:fldCharType="end"/>
            </w:r>
          </w:p>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984BF2"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66</w:t>
            </w:r>
          </w:p>
          <w:p w:rsidR="00460963" w:rsidRPr="00E036C9" w:rsidRDefault="00460963" w:rsidP="009B2A14">
            <w:pPr>
              <w:spacing w:after="0"/>
              <w:jc w:val="center"/>
              <w:rPr>
                <w:sz w:val="18"/>
                <w:szCs w:val="18"/>
              </w:rPr>
            </w:pPr>
            <w:r>
              <w:rPr>
                <w:sz w:val="18"/>
                <w:szCs w:val="18"/>
              </w:rPr>
              <w:t>92</w:t>
            </w:r>
          </w:p>
          <w:p w:rsidR="00460963" w:rsidRDefault="00460963" w:rsidP="009B2A14">
            <w:pPr>
              <w:spacing w:after="0"/>
              <w:jc w:val="center"/>
              <w:rPr>
                <w:sz w:val="18"/>
                <w:szCs w:val="18"/>
              </w:rPr>
            </w:pPr>
            <w:r>
              <w:rPr>
                <w:sz w:val="18"/>
                <w:szCs w:val="18"/>
              </w:rPr>
              <w:t>60</w:t>
            </w:r>
          </w:p>
          <w:p w:rsidR="00460963" w:rsidRPr="00E036C9"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575</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301a-3p</w:t>
            </w:r>
          </w:p>
        </w:tc>
        <w:tc>
          <w:tcPr>
            <w:tcW w:w="2136" w:type="dxa"/>
            <w:vAlign w:val="center"/>
          </w:tcPr>
          <w:p w:rsidR="00460963" w:rsidRDefault="00460963" w:rsidP="009B2A14">
            <w:pPr>
              <w:spacing w:after="0"/>
              <w:jc w:val="center"/>
              <w:rPr>
                <w:color w:val="000000"/>
                <w:sz w:val="18"/>
                <w:szCs w:val="18"/>
              </w:rPr>
            </w:pPr>
            <w:r w:rsidRPr="00B56460">
              <w:rPr>
                <w:color w:val="000000"/>
                <w:sz w:val="18"/>
                <w:szCs w:val="18"/>
              </w:rPr>
              <w:t>MPB</w:t>
            </w:r>
          </w:p>
          <w:p w:rsidR="00460963" w:rsidRDefault="00460963" w:rsidP="009B2A14">
            <w:pPr>
              <w:spacing w:after="0"/>
              <w:jc w:val="center"/>
              <w:rPr>
                <w:color w:val="000000"/>
                <w:sz w:val="18"/>
                <w:szCs w:val="18"/>
              </w:rPr>
            </w:pPr>
            <w:r>
              <w:rPr>
                <w:color w:val="000000"/>
                <w:sz w:val="18"/>
                <w:szCs w:val="18"/>
              </w:rPr>
              <w:t>MPB (plasma)</w:t>
            </w:r>
          </w:p>
          <w:p w:rsidR="00460963" w:rsidRPr="00B56460"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Up in sPE</w:t>
            </w:r>
          </w:p>
          <w:p w:rsidR="00460963" w:rsidRPr="00567B8B"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984BF2">
              <w:rPr>
                <w:rFonts w:ascii="Cambria Math" w:hAnsi="Cambria Math" w:cs="Cambria Math"/>
                <w:sz w:val="18"/>
                <w:szCs w:val="18"/>
              </w:rPr>
              <w:instrText>∗</w:instrText>
            </w:r>
            <w:r w:rsidR="00984BF2">
              <w:rPr>
                <w:rFonts w:cs="Times New Roman"/>
                <w:sz w:val="18"/>
                <w:szCs w:val="18"/>
              </w:rPr>
              <w:instrText>, miR-130a, miR-135b, miR-142-3p, miR-149, miR-188</w:instrText>
            </w:r>
            <w:r w:rsidR="00984BF2">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984BF2" w:rsidRPr="00FF4CEA">
              <w:rPr>
                <w:noProof/>
                <w:sz w:val="18"/>
                <w:szCs w:val="18"/>
              </w:rPr>
              <w:t>(Yang et al., 2015)</w:t>
            </w:r>
            <w:r>
              <w:rPr>
                <w:sz w:val="18"/>
                <w:szCs w:val="18"/>
              </w:rPr>
              <w:fldChar w:fldCharType="end"/>
            </w:r>
          </w:p>
          <w:p w:rsidR="00984BF2" w:rsidRPr="00E036C9"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984BF2">
              <w:rPr>
                <w:rFonts w:ascii="Cambria Math" w:hAnsi="Cambria Math" w:cs="Cambria Math"/>
                <w:sz w:val="18"/>
                <w:szCs w:val="18"/>
              </w:rPr>
              <w:instrText>∗</w:instrText>
            </w:r>
            <w:r w:rsidR="00984BF2">
              <w:rPr>
                <w:rFonts w:cs="Times New Roman"/>
                <w:sz w:val="18"/>
                <w:szCs w:val="18"/>
              </w:rPr>
              <w:instrText>, miR-130a, miR-135b, miR-142-3p, miR-149, miR-188</w:instrText>
            </w:r>
            <w:r w:rsidR="00984BF2">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984BF2"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sidRPr="00E036C9">
              <w:rPr>
                <w:sz w:val="18"/>
                <w:szCs w:val="18"/>
              </w:rPr>
              <w:t>44</w:t>
            </w:r>
          </w:p>
          <w:p w:rsidR="00460963" w:rsidRDefault="00460963" w:rsidP="009B2A14">
            <w:pPr>
              <w:spacing w:after="0"/>
              <w:jc w:val="center"/>
              <w:rPr>
                <w:sz w:val="18"/>
                <w:szCs w:val="18"/>
              </w:rPr>
            </w:pPr>
            <w:r>
              <w:rPr>
                <w:sz w:val="18"/>
                <w:szCs w:val="18"/>
              </w:rPr>
              <w:t>64</w:t>
            </w:r>
          </w:p>
          <w:p w:rsidR="00460963" w:rsidRPr="00E036C9"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148a-3p</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Pr="00E036C9"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sidRPr="00E036C9">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193a-3p</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219-5p</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132</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513a-5p</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sidRPr="00EB6201">
              <w:rPr>
                <w:color w:val="000000"/>
                <w:sz w:val="18"/>
                <w:szCs w:val="18"/>
              </w:rPr>
              <w:t>1244</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44</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146a</w:t>
            </w:r>
          </w:p>
        </w:tc>
        <w:tc>
          <w:tcPr>
            <w:tcW w:w="2136" w:type="dxa"/>
            <w:vAlign w:val="center"/>
          </w:tcPr>
          <w:p w:rsidR="00460963" w:rsidRDefault="00460963" w:rsidP="009B2A14">
            <w:pPr>
              <w:spacing w:after="0"/>
              <w:jc w:val="center"/>
              <w:rPr>
                <w:color w:val="000000"/>
                <w:sz w:val="18"/>
                <w:szCs w:val="18"/>
              </w:rPr>
            </w:pPr>
            <w:r w:rsidRPr="00B56460">
              <w:rPr>
                <w:color w:val="000000"/>
                <w:sz w:val="18"/>
                <w:szCs w:val="18"/>
              </w:rPr>
              <w:t>MPB</w:t>
            </w:r>
          </w:p>
          <w:p w:rsidR="00460963" w:rsidRDefault="00460963" w:rsidP="009B2A14">
            <w:pPr>
              <w:spacing w:after="0"/>
              <w:jc w:val="center"/>
              <w:rPr>
                <w:color w:val="000000"/>
                <w:sz w:val="18"/>
                <w:szCs w:val="18"/>
              </w:rPr>
            </w:pPr>
            <w:r>
              <w:rPr>
                <w:color w:val="000000"/>
                <w:sz w:val="18"/>
                <w:szCs w:val="18"/>
              </w:rPr>
              <w:t>Placenta (villi – syncytiotrophoblast)</w:t>
            </w:r>
          </w:p>
          <w:p w:rsidR="00460963" w:rsidRPr="00B56460" w:rsidRDefault="00460963" w:rsidP="009B2A14">
            <w:pPr>
              <w:spacing w:after="0"/>
              <w:jc w:val="center"/>
              <w:rPr>
                <w:color w:val="000000"/>
                <w:sz w:val="18"/>
                <w:szCs w:val="18"/>
              </w:rPr>
            </w:pPr>
            <w:r>
              <w:rPr>
                <w:color w:val="000000"/>
                <w:sz w:val="18"/>
                <w:szCs w:val="18"/>
              </w:rPr>
              <w:t>Placenta (villi – syncytial knots)</w:t>
            </w:r>
          </w:p>
        </w:tc>
        <w:tc>
          <w:tcPr>
            <w:tcW w:w="2859"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Down in EOPE</w:t>
            </w:r>
          </w:p>
          <w:p w:rsidR="00460963" w:rsidRPr="00567B8B"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No</w:t>
            </w:r>
          </w:p>
          <w:p w:rsidR="00460963" w:rsidRPr="008960B9"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p w:rsidR="00984BF2"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{"citationItems":[{"id":"ITEM-1","itemData":{"DOI":"10.1007/s10517-017-3812-0","abstract":"We studied the expression of microRNA-146a and microRNA-155 in placental villi from 18 women (26-39 weeks of gestation) of reproductive age with early- or late-onset preeclampsia. The reference group consisted of women with physiological pregnancy and full-term gestation and with preterm birth after caesarian section on gestation week 26-31. MicroRNA-146a and microRNA-155 were detected by in situ hybridization with digoxigenin on paraffin sections. It was found that the expression of microRNA-146a in both syncytiotrophoblast of the intermediate villi and syncytial knots was lower at late-onset preeclampsia than at physiologic pregnancy of full-term period (p=0.037 and p=0.001 respectively). The expression of microRNA-155 in syncytiotrophoblast of intermediate placental villi in early-onset preeclampsia was higher than in group with preterm delivery (p=0.003). However, in syncytiotrophoblast of intermediate villi and in syncytial knots, the expression of microRNA-155 was lower at late-onset preeclampsia in comparison with full-term physiological pregnancy (p=0.005). In addition, the expression of microRNA-146a and microRNA-155 did not increase in the later terms in preeclampsia, while in the reference groups demonstrating gradual increase in the expression of these markers with increasing gestational age. Expression microRNA-146a and microRNA-155 little differed in early- and late-onset preeclampsia. These findings suggest that different variants of preeclampsia are probably characterized by common pathogenetic pathways. Damaged trophoblast cannot maintain of microRNAs synthesis at the required level, which determines the formation of a vicious circle in preeclampsia and further progression of the disease.","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I.","non-dropping-particle":"","parse-names":false,"suffix":""},{"dropping-particle":"","family":"Sukhikh","given":"G. T.","non-dropping-particle":"","parse-names":false,"suffix":""}],"container-title":"Bulletin of Experimental Biology and Medicine","id":"ITEM-1","issue":"3","issued":{"date-parts":[["2017"]]},"page":"394-399","title":"Expression of MicroRNA-146a and MicroRNA-155 in Placental Villi in Early- and Late-Onset Preeclampsia","type":"article-journal","volume":"163"},"uris":["http://www.mendeley.com/documents/?uuid=80500197-bcc7-3b4f-9c4e-2ca3de6bbe00"]}],"mendeley":{"formattedCitation":"(Nizyaeva et al., 2017)","plainTextFormattedCitation":"(Nizyaeva et al., 2017)","previouslyFormattedCitation":"(Nizyaeva et al., 2017)"},"properties":{"noteIndex":0},"schema":"https://github.com/citation-style-language/schema/raw/master/csl-citation.json"}</w:instrText>
            </w:r>
            <w:r>
              <w:rPr>
                <w:sz w:val="18"/>
                <w:szCs w:val="18"/>
              </w:rPr>
              <w:fldChar w:fldCharType="separate"/>
            </w:r>
            <w:r w:rsidR="00984BF2" w:rsidRPr="00984BF2">
              <w:rPr>
                <w:noProof/>
                <w:sz w:val="18"/>
                <w:szCs w:val="18"/>
              </w:rPr>
              <w:t>(Nizyaeva et al., 2017)</w:t>
            </w:r>
            <w:r>
              <w:rPr>
                <w:sz w:val="18"/>
                <w:szCs w:val="18"/>
              </w:rPr>
              <w:fldChar w:fldCharType="end"/>
            </w:r>
          </w:p>
          <w:p w:rsidR="00984BF2"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{"citationItems":[{"id":"ITEM-1","itemData":{"DOI":"10.1007/s10517-017-3812-0","abstract":"We studied the expression of microRNA-146a and microRNA-155 in placental villi from 18 women (26-39 weeks of gestation) of reproductive age with early- or late-onset preeclampsia. The reference group consisted of women with physiological pregnancy and full-term gestation and with preterm birth after caesarian section on gestation week 26-31. MicroRNA-146a and microRNA-155 were detected by in situ hybridization with digoxigenin on paraffin sections. It was found that the expression of microRNA-146a in both syncytiotrophoblast of the intermediate villi and syncytial knots was lower at late-onset preeclampsia than at physiologic pregnancy of full-term period (p=0.037 and p=0.001 respectively). The expression of microRNA-155 in syncytiotrophoblast of intermediate placental villi in early-onset preeclampsia was higher than in group with preterm delivery (p=0.003). However, in syncytiotrophoblast of intermediate villi and in syncytial knots, the expression of microRNA-155 was lower at late-onset preeclampsia in comparison with full-term physiological pregnancy (p=0.005). In addition, the expression of microRNA-146a and microRNA-155 did not increase in the later terms in preeclampsia, while in the reference groups demonstrating gradual increase in the expression of these markers with increasing gestational age. Expression microRNA-146a and microRNA-155 little differed in early- and late-onset preeclampsia. These findings suggest that different variants of preeclampsia are probably characterized by common pathogenetic pathways. Damaged trophoblast cannot maintain of microRNAs synthesis at the required level, which determines the formation of a vicious circle in preeclampsia and further progression of the disease.","author":[{"dropping-particle":"V.","family":"Nizyaeva","given":"N.","non-dropping-particle":"","parse-names":false,"suffix":""},{"dropping-particle":"V.","family":"Kulikova","given":"G.","non-dropping-particle":"","parse-names":false,"suffix":""},{"dropping-particle":"","family":"Nagovitsyna","given":"M. N.","non-dropping-particle":"","parse-names":false,"suffix":""},{"dropping-particle":"","family":"Kan","given":"N. E.","non-dropping-particle":"","parse-names":false,"suffix":""},{"dropping-particle":"","family":"Prozorovskaya","given":"K. N.","non-dropping-particle":"","parse-names":false,"suffix":""},{"dropping-particle":"","family":"Shchegolev","given":"A. I.","non-dropping-particle":"","parse-names":false,"suffix":""},{"dropping-particle":"","family":"Sukhikh","given":"G. T.","non-dropping-particle":"","parse-names":false,"suffix":""}],"container-title":"Bulletin of Experimental Biology and Medicine","id":"ITEM-1","issue":"3","issued":{"date-parts":[["2017"]]},"page":"394-399","title":"Expression of MicroRNA-146a and MicroRNA-155 in Placental Villi in Early- and Late-Onset Preeclampsia","type":"article-journal","volume":"163"},"uris":["http://www.mendeley.com/documents/?uuid=80500197-bcc7-3b4f-9c4e-2ca3de6bbe00"]}],"mendeley":{"formattedCitation":"(Nizyaeva et al., 2017)","plainTextFormattedCitation":"(Nizyaeva et al., 2017)","previouslyFormattedCitation":"(Nizyaeva et al., 2017)"},"properties":{"noteIndex":0},"schema":"https://github.com/citation-style-language/schema/raw/master/csl-citation.json"}</w:instrText>
            </w:r>
            <w:r>
              <w:rPr>
                <w:sz w:val="18"/>
                <w:szCs w:val="18"/>
              </w:rPr>
              <w:fldChar w:fldCharType="separate"/>
            </w:r>
            <w:r w:rsidR="00984BF2" w:rsidRPr="00984BF2">
              <w:rPr>
                <w:noProof/>
                <w:sz w:val="18"/>
                <w:szCs w:val="18"/>
              </w:rPr>
              <w:t>(Nizyaeva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44</w:t>
            </w:r>
          </w:p>
          <w:p w:rsidR="00460963" w:rsidRDefault="00460963" w:rsidP="009B2A14">
            <w:pPr>
              <w:spacing w:after="0"/>
              <w:jc w:val="center"/>
              <w:rPr>
                <w:sz w:val="18"/>
                <w:szCs w:val="18"/>
              </w:rPr>
            </w:pPr>
            <w:r>
              <w:rPr>
                <w:sz w:val="18"/>
                <w:szCs w:val="18"/>
              </w:rPr>
              <w:t>106</w:t>
            </w:r>
          </w:p>
          <w:p w:rsidR="00460963" w:rsidRPr="00E036C9" w:rsidRDefault="00460963" w:rsidP="009B2A14">
            <w:pPr>
              <w:spacing w:after="0"/>
              <w:jc w:val="center"/>
              <w:rPr>
                <w:sz w:val="18"/>
                <w:szCs w:val="18"/>
              </w:rPr>
            </w:pPr>
            <w:r>
              <w:rPr>
                <w:sz w:val="18"/>
                <w:szCs w:val="18"/>
              </w:rPr>
              <w:t>106</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146-5p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MPB (whole blood)</w:t>
            </w:r>
          </w:p>
          <w:p w:rsidR="00460963" w:rsidRPr="00B56460"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EOPE</w:t>
            </w:r>
          </w:p>
          <w:p w:rsidR="00460963" w:rsidRPr="00567B8B"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Pr="00567B8B" w:rsidRDefault="00460963" w:rsidP="009B2A14">
            <w:pPr>
              <w:spacing w:after="0"/>
              <w:jc w:val="center"/>
              <w:rPr>
                <w:color w:val="000000"/>
                <w:sz w:val="18"/>
                <w:szCs w:val="18"/>
              </w:rPr>
            </w:pPr>
            <w:r>
              <w:rPr>
                <w:color w:val="000000"/>
                <w:sz w:val="18"/>
                <w:szCs w:val="18"/>
              </w:rPr>
              <w:t>No</w:t>
            </w:r>
          </w:p>
        </w:tc>
        <w:tc>
          <w:tcPr>
            <w:tcW w:w="2977" w:type="dxa"/>
          </w:tcPr>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984BF2" w:rsidRPr="00BB7CB7">
              <w:rPr>
                <w:noProof/>
                <w:sz w:val="18"/>
                <w:szCs w:val="18"/>
              </w:rPr>
              <w:t>(Hromadnikova et al., 2016)</w:t>
            </w:r>
            <w:r>
              <w:rPr>
                <w:sz w:val="18"/>
                <w:szCs w:val="18"/>
              </w:rPr>
              <w:fldChar w:fldCharType="end"/>
            </w:r>
          </w:p>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984BF2" w:rsidRPr="00BB7CB7">
              <w:rPr>
                <w:noProof/>
                <w:sz w:val="18"/>
                <w:szCs w:val="18"/>
              </w:rPr>
              <w:t>(Hromadnikova et al., 2016)</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984BF2">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984BF2"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Pr="00EB6201" w:rsidRDefault="00460963" w:rsidP="009B2A14">
            <w:pPr>
              <w:spacing w:after="0"/>
              <w:jc w:val="center"/>
              <w:rPr>
                <w:color w:val="000000"/>
                <w:sz w:val="18"/>
                <w:szCs w:val="18"/>
              </w:rPr>
            </w:pPr>
            <w:r>
              <w:rPr>
                <w:color w:val="000000"/>
                <w:sz w:val="18"/>
                <w:szCs w:val="18"/>
              </w:rPr>
              <w:t>196a</w:t>
            </w:r>
          </w:p>
        </w:tc>
        <w:tc>
          <w:tcPr>
            <w:tcW w:w="2136" w:type="dxa"/>
            <w:vAlign w:val="center"/>
          </w:tcPr>
          <w:p w:rsidR="00460963" w:rsidRPr="00B56460" w:rsidRDefault="00460963" w:rsidP="009B2A14">
            <w:pPr>
              <w:spacing w:after="0"/>
              <w:jc w:val="center"/>
              <w:rPr>
                <w:color w:val="000000"/>
                <w:sz w:val="18"/>
                <w:szCs w:val="18"/>
              </w:rPr>
            </w:pPr>
            <w:r w:rsidRPr="00B56460">
              <w:rPr>
                <w:color w:val="000000"/>
                <w:sz w:val="18"/>
                <w:szCs w:val="18"/>
              </w:rPr>
              <w:t>MPB</w:t>
            </w:r>
          </w:p>
        </w:tc>
        <w:tc>
          <w:tcPr>
            <w:tcW w:w="2859" w:type="dxa"/>
            <w:vAlign w:val="center"/>
          </w:tcPr>
          <w:p w:rsidR="00460963" w:rsidRPr="00567B8B" w:rsidRDefault="00460963" w:rsidP="009B2A14">
            <w:pPr>
              <w:spacing w:after="0"/>
              <w:jc w:val="center"/>
              <w:rPr>
                <w:color w:val="000000"/>
                <w:sz w:val="18"/>
                <w:szCs w:val="18"/>
              </w:rPr>
            </w:pPr>
            <w:r>
              <w:rPr>
                <w:color w:val="000000"/>
                <w:sz w:val="18"/>
                <w:szCs w:val="18"/>
              </w:rPr>
              <w:t>NR</w:t>
            </w:r>
          </w:p>
        </w:tc>
        <w:tc>
          <w:tcPr>
            <w:tcW w:w="1173" w:type="dxa"/>
            <w:vAlign w:val="center"/>
          </w:tcPr>
          <w:p w:rsidR="00460963" w:rsidRPr="008960B9" w:rsidRDefault="00460963" w:rsidP="009B2A14">
            <w:pPr>
              <w:spacing w:after="0"/>
              <w:jc w:val="center"/>
              <w:rPr>
                <w:color w:val="000000"/>
                <w:sz w:val="18"/>
                <w:szCs w:val="18"/>
              </w:rPr>
            </w:pPr>
            <w:r>
              <w:rPr>
                <w:color w:val="000000"/>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E65BB1">
              <w:rPr>
                <w:sz w:val="18"/>
                <w:szCs w:val="18"/>
              </w:rPr>
              <w:instrText>ADDIN CSL_CITATION {"citationItems":[{"id":"ITEM-1","itemData":{"DOI":"10.1016/j.jri.2015.03.005","abstract":"Patients at risk of immune-mediated pregnancy complications have historically relied on the use of peripheral blood immunological assays for diagnosis and pregnancy monitoring. However, these tests often fail to identify many at-risk patients, achieving moderately predictive receiver operating characteristic (ROC) curve AUCs of 0.60-0.70. We previously demonstrated that a microRNA panel comprising 30 microRNAs successfully predicts pregnancy outcome in the first trimester. In our current study we constructed a smaller, more clinically useful seven-microRNA panel from the original panel of 30 microRNAs with equivalent sensitivity and specificity. To select optimal microRNAs for a smaller panel, quantitative RT-PCR on 30 microRNAs was first performed on 48 patients (191 samples) with concurrent immunological testing: TNFα/Il-10 ratio, IFNγ/Il-10, CD56+16+%, NK 50:1 cytotoxicity and T regulatory cells. MicroRNAs were separated into clusters associated with: Th1/Th2 response; T regulatory cell percent; pregnancy risk; treatment response. Seven most differentially expressed microRNAs were selected. The seven microRNA scoring system was then applied to 39 patient samples in the first trimester of pregnancy (19 healthy deliveries, 8 miscarriages, 12 preeclampsia [7 late-onset and 5 early-onset]) and 20 samples in the preconception period (2-10 weeks before conception). Predictive value was assessed. ROC curves for the seven-microRNA panel achieved AUC 0.92 for miscarriage and 0.90 for preeclampsia (blood drawn 34.9. ±. 19.2 days post-implantation). For samples measured preconception, ROC curve analysis demonstrated AUC 0.81 for adverse pregnancy outcome. Maternal PBMC microRNA can identify high-risk patients likely to benefit from immunotherapy with improved sensitivity and specificity compared with standard immune assays.","author":[{"dropping-particle":"","family":"Winger","given":"Edward E.","non-dropping-particle":"","parse-names":false,"suffix":""},{"dropping-particle":"","family":"Reed","given":"Jane L.","non-dropping-particle":"","parse-names":false,"suffix":""},{"dropping-particle":"","family":"Ji","given":"Xuhuai","non-dropping-particle":"","parse-names":false,"suffix":""}],"container-title":"Journal of Reproductive Immunology","id":"ITEM-1","issued":{"date-parts":[["2015"]]},"page":"22-35","title":"First-trimester maternal cell microRNA is a superior pregnancy marker to immunological testing for predicting adverse pregnancy outcome","type":"article-journal","volume":"110"},"uris":["http://www.mendeley.com/documents/?uuid=8d2a76d6-f173-354d-bfe7-e3e8a41c00e2"]}],"mendeley":{"formattedCitation":"(Winger et al., 2015)","plainTextFormattedCitation":"(Winger et al., 2015)","previouslyFormattedCitation":"(Winger et al., 2015)"},"properties":{"noteIndex":0},"schema":"https://github.com/citation-style-language/schema/raw/master/csl-citation.json"}</w:instrText>
            </w:r>
            <w:r>
              <w:rPr>
                <w:sz w:val="18"/>
                <w:szCs w:val="18"/>
              </w:rPr>
              <w:fldChar w:fldCharType="separate"/>
            </w:r>
            <w:r w:rsidR="00E65BB1" w:rsidRPr="00FA32AE">
              <w:rPr>
                <w:noProof/>
                <w:sz w:val="18"/>
                <w:szCs w:val="18"/>
              </w:rPr>
              <w:t>(Winger et al., 2015)</w:t>
            </w:r>
            <w:r>
              <w:rPr>
                <w:sz w:val="18"/>
                <w:szCs w:val="18"/>
              </w:rPr>
              <w:fldChar w:fldCharType="end"/>
            </w:r>
          </w:p>
        </w:tc>
        <w:tc>
          <w:tcPr>
            <w:tcW w:w="1791" w:type="dxa"/>
            <w:vAlign w:val="center"/>
          </w:tcPr>
          <w:p w:rsidR="00460963" w:rsidRPr="00E036C9" w:rsidRDefault="00460963" w:rsidP="009B2A14">
            <w:pPr>
              <w:spacing w:after="0"/>
              <w:jc w:val="center"/>
              <w:rPr>
                <w:sz w:val="18"/>
                <w:szCs w:val="18"/>
              </w:rPr>
            </w:pPr>
            <w:r>
              <w:rPr>
                <w:sz w:val="18"/>
                <w:szCs w:val="18"/>
              </w:rPr>
              <w:t>44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218</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Pr="00567B8B"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Pr="00567B8B" w:rsidRDefault="00460963" w:rsidP="009B2A14">
            <w:pPr>
              <w:spacing w:after="0"/>
              <w:jc w:val="center"/>
              <w:rPr>
                <w:color w:val="000000"/>
                <w:sz w:val="18"/>
                <w:szCs w:val="18"/>
              </w:rPr>
            </w:pPr>
            <w:r>
              <w:rPr>
                <w:color w:val="000000"/>
                <w:sz w:val="18"/>
                <w:szCs w:val="18"/>
              </w:rPr>
              <w:t xml:space="preserve">Yes </w:t>
            </w:r>
          </w:p>
        </w:tc>
        <w:tc>
          <w:tcPr>
            <w:tcW w:w="2977" w:type="dxa"/>
          </w:tcPr>
          <w:p w:rsidR="00984BF2"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84BF2" w:rsidRPr="00FA32AE">
              <w:rPr>
                <w:noProof/>
                <w:sz w:val="18"/>
                <w:szCs w:val="18"/>
              </w:rPr>
              <w:t>(Xu et al., 2014)</w:t>
            </w:r>
            <w:r>
              <w:rPr>
                <w:sz w:val="18"/>
                <w:szCs w:val="18"/>
              </w:rPr>
              <w:fldChar w:fldCharType="end"/>
            </w:r>
          </w:p>
          <w:p w:rsidR="00460963" w:rsidRDefault="00E33D6E" w:rsidP="00984BF2">
            <w:pPr>
              <w:spacing w:after="0"/>
              <w:jc w:val="center"/>
              <w:rPr>
                <w:sz w:val="18"/>
                <w:szCs w:val="18"/>
              </w:rPr>
            </w:pPr>
            <w:r>
              <w:rPr>
                <w:sz w:val="18"/>
                <w:szCs w:val="18"/>
              </w:rPr>
              <w:fldChar w:fldCharType="begin" w:fldLock="1"/>
            </w:r>
            <w:r w:rsidR="00984BF2">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984BF2"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218-5p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{"citationItems":[{"id":"ITEM-1","itemData":{"DOI":"10.1007/s10735-021-09985-x","ISSN":"15672387","PMID":"34110517","abstract":"Altered placental development and function lead to placental diseases such as preeclampsia (PE) which is mainly characterized by insufficient trophoblast invasion and abnormally invasive placenta disorders. Long noncoding RNAs (lncRNAs) are widely reported to function as crucial players in the pathogenesis of PE. The present investigation clarified the role of lncRNA small nucleolar RNA host gene 16 (SNHG16) in PE. RT-qPCR was used to measure gene expression. The proliferation of trophoblast cells was examined using CCK-8 and EdU assays. Trophoblast migration and invasion were assessed using wound healing and transwell assays. The apoptosis was estimated by flow cytometry. Luciferase reporter and RNA pull-down assays were performed to explore the molecular mechanisms in trophoblast cells. We found that SNHG16 was downregulated in placenta from patients with PE. Moreover, SNHG16 depletion significantly inhibited trophoblast cell proliferation, migration, and invasion and stimulated apoptosis, while SNHG16 overexpression exerted an opposite effect. Subsequently, we confirmed that SNHG16 acted as a competing RNA (ceRNA) of miR-218-5p that was verified to directly target LASP1. Both miR-218-5p depletion and LASP1 upregulation antagonized the effect of SNHG16 knockdown on HTR-8/SVneo cell functions. In conclusion, SNHG16 facilitates trophoblast cell migration and invasion by the miR-218-5p/LASP1 axis.","author":[{"dropping-particle":"","family":"Yu","given":"Zhou","non-dropping-particle":"","parse-names":false,"suffix":""},{"dropping-particle":"","family":"Zhang","given":"Yulei","non-dropping-particle":"","parse-names":false,"suffix":""},{"dropping-particle":"","family":"Zheng","given":"Haoyu","non-dropping-particle":"","parse-names":false,"suffix":""},{"dropping-particle":"","family":"Gao","given":"Qiong","non-dropping-particle":"","parse-names":false,"suffix":""},{"dropping-particle":"","family":"Wang","given":"Haidong","non-dropping-particle":"","parse-names":false,"suffix":""}],"container-title":"Journal of Molecular Histology","id":"ITEM-1","issue":"5","issued":{"date-parts":[["2021","10","1"]]},"page":"1021-1033","publisher":"Springer Science and Business Media B.V.","title":"LncRNA SNHG16 regulates trophoblast functions by the miR-218-5p/LASP1 axis","type":"article-journal","volume":"52"},"uris":["http://www.mendeley.com/documents/?uuid=22c631bc-cd71-3b68-9151-c5b2f711b983"]}],"mendeley":{"formattedCitation":"(Yu et al., 2021)","plainTextFormattedCitation":"(Yu et al., 2021)","previouslyFormattedCitation":"(Yu et al., 2021)"},"properties":{"noteIndex":0},"schema":"https://github.com/citation-style-language/schema/raw/master/csl-citation.json"}</w:instrText>
            </w:r>
            <w:r>
              <w:rPr>
                <w:sz w:val="18"/>
                <w:szCs w:val="18"/>
              </w:rPr>
              <w:fldChar w:fldCharType="separate"/>
            </w:r>
            <w:r w:rsidR="00C104BB" w:rsidRPr="00C104BB">
              <w:rPr>
                <w:noProof/>
                <w:sz w:val="18"/>
                <w:szCs w:val="18"/>
              </w:rPr>
              <w:t>(Yu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Yu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lastRenderedPageBreak/>
              <w:t>379</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Pr="00567B8B"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Pr="00567B8B"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518b</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MPB (plasma)</w:t>
            </w:r>
          </w:p>
          <w:p w:rsidR="00460963" w:rsidRPr="00B56460"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 sEOPE, sLOPE</w:t>
            </w:r>
          </w:p>
          <w:p w:rsidR="00460963" w:rsidRPr="00567B8B" w:rsidRDefault="00460963" w:rsidP="009B2A14">
            <w:pPr>
              <w:spacing w:after="0"/>
              <w:jc w:val="center"/>
              <w:rPr>
                <w:color w:val="000000"/>
                <w:sz w:val="18"/>
                <w:szCs w:val="18"/>
              </w:rPr>
            </w:pPr>
            <w:r>
              <w:rPr>
                <w:color w:val="000000"/>
                <w:sz w:val="18"/>
                <w:szCs w:val="18"/>
              </w:rPr>
              <w:t>No difference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 xml:space="preserve">Yes </w:t>
            </w:r>
          </w:p>
          <w:p w:rsidR="00460963" w:rsidRPr="00567B8B"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C104BB" w:rsidRPr="00C104BB">
              <w:rPr>
                <w:noProof/>
                <w:sz w:val="18"/>
                <w:szCs w:val="18"/>
              </w:rPr>
              <w:t>(Miura et al., 2015)</w:t>
            </w:r>
            <w:r>
              <w:rPr>
                <w:sz w:val="18"/>
                <w:szCs w:val="18"/>
              </w:rPr>
              <w:fldChar w:fldCharType="end"/>
            </w:r>
          </w:p>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{"citationItems":[{"id":"ITEM-1","itemData":{"DOI":"10.1016/j.clinbiochem.2020.02.012","ISSN":"18732933","PMID":"32092293","abstract":"Introduction: MicroRNAs have a significant role in the pathogenesis of preeclampsia. Circulating microRNAs could represent a potential biomarker for preeclampsia. The aim of this study was to evaluate plasma miR210-3p and miR518b in preeclampsia and healthy pregnancy for the first time by digital droplet PCR (ddPCR). Methods: Thirty-six pregnant women (seventeen healthy pregnancies, nineteen preeclampsia patients) were involved from the Clinic for Gynaecology and Obstetrics “Narodni front” in Belgrade, Serbia. Plasma miR210-3p, miR518b and cel-miR-39 as a spike-in control were measured by ddPCR. Results: MiR518b was significantly elevated in preeclampsia compared to a healthy pregnancy (P = 0.034; 0.302(0.217–0.421) vs. 0.171(0.110–0.266)). MiR210-3p showed no significant difference between the two groups (P = 0.951). The adjustment of miR518b was made for a gestational age and smoking status and the difference between the preeclampsia and healthy pregnancy group was more significant (P = 0.026; 0.300(0.216–0.419) vs. 0.172(0.121–0.245)). Plasma miR-518b was significantly higher in the group of preeclampsia patients with proteinuria above the 75th percentile for the group (P = 0.033), in women who smoked (P = 0.039), and was positively related to uric acid in preeclampsia (P = 0.018, r = 0.536). Plasma miR518b was able to significantly discriminate between preeclampsia and healthy pregnancy, yielding AUC of 0.712 (95%CI:0.539–0.891), P = 0.028. Conclusions: In this study plasma microRNA were measured for the first time in preeclampsia and healthy pregnancies with ddPCR. Placenta-specific miR-518b could serve as a potential biomarker for discriminating preeclampsia and healthy pregnancy, which should be confirmed on a larger study population. This study has failed to confirm the same potential for miR210-3p.","author":[{"dropping-particle":"","family":"Jelena","given":"Munjas","non-dropping-particle":"","parse-names":false,"suffix":""},{"dropping-particle":"","family":"Sopić","given":"Miron","non-dropping-particle":"","parse-names":false,"suffix":""},{"dropping-particle":"","family":"Joksić","given":"Ivana","non-dropping-particle":"","parse-names":false,"suffix":""},{"dropping-particle":"","family":"Zmrzljak","given":"Ursula Prosenc","non-dropping-particle":"","parse-names":false,"suffix":""},{"dropping-particle":"","family":"Karadžov-Orlić","given":"Nataša","non-dropping-particle":"","parse-names":false,"suffix":""},{"dropping-particle":"","family":"Košir","given":"Rok","non-dropping-particle":"","parse-names":false,"suffix":""},{"dropping-particle":"","family":"Egić","given":"Amira","non-dropping-particle":"","parse-names":false,"suffix":""},{"dropping-particle":"","family":"Miković","given":"Željko","non-dropping-particle":"","parse-names":false,"suffix":""},{"dropping-particle":"","family":"Ninić","given":"Ana","non-dropping-particle":"","parse-names":false,"suffix":""},{"dropping-particle":"","family":"Spasojević-Kalimanovska","given":"Vesna","non-dropping-particle":"","parse-names":false,"suffix":""}],"container-title":"Clinical Biochemistry","id":"ITEM-1","issued":{"date-parts":[["2020"]]},"page":"28-33","title":"Placenta-specific plasma miR518b is a potential biomarker for preeclampsia","type":"article-journal","volume":"79"},"uris":["http://www.mendeley.com/documents/?uuid=a0f0239a-417e-3623-b15d-ee9205131b86"]}],"mendeley":{"formattedCitation":"(Jelena et al., 2020)","plainTextFormattedCitation":"(Jelena et al., 2020)","previouslyFormattedCitation":"(Jelena et al., 2020)"},"properties":{"noteIndex":0},"schema":"https://github.com/citation-style-language/schema/raw/master/csl-citation.json"}</w:instrText>
            </w:r>
            <w:r>
              <w:rPr>
                <w:sz w:val="18"/>
                <w:szCs w:val="18"/>
              </w:rPr>
              <w:fldChar w:fldCharType="separate"/>
            </w:r>
            <w:r w:rsidR="00C104BB" w:rsidRPr="009B4DE8">
              <w:rPr>
                <w:noProof/>
                <w:sz w:val="18"/>
                <w:szCs w:val="18"/>
              </w:rPr>
              <w:t>(Jelena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59</w:t>
            </w:r>
          </w:p>
          <w:p w:rsidR="00460963" w:rsidRDefault="00460963" w:rsidP="009B2A14">
            <w:pPr>
              <w:spacing w:after="0"/>
              <w:jc w:val="center"/>
              <w:rPr>
                <w:sz w:val="18"/>
                <w:szCs w:val="18"/>
              </w:rPr>
            </w:pPr>
            <w:r>
              <w:rPr>
                <w:sz w:val="18"/>
                <w:szCs w:val="18"/>
              </w:rPr>
              <w:t>Jelena 2020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193b</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Pr="00B56460"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Pr="00567B8B"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Pr="00567B8B" w:rsidRDefault="00460963" w:rsidP="009B2A14">
            <w:pPr>
              <w:spacing w:after="0"/>
              <w:jc w:val="center"/>
              <w:rPr>
                <w:color w:val="000000"/>
                <w:sz w:val="18"/>
                <w:szCs w:val="18"/>
              </w:rPr>
            </w:pPr>
            <w:r>
              <w:rPr>
                <w:color w:val="000000"/>
                <w:sz w:val="18"/>
                <w:szCs w:val="18"/>
              </w:rPr>
              <w:t>Yes</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C104BB">
              <w:rPr>
                <w:rFonts w:ascii="MS Mincho" w:eastAsia="MS Mincho" w:hAnsi="MS Mincho" w:cs="MS Mincho" w:hint="eastAsia"/>
                <w:sz w:val="18"/>
                <w:szCs w:val="18"/>
              </w:rPr>
              <w:instrText>‑</w:instrText>
            </w:r>
            <w:r w:rsidR="00C104BB">
              <w:rPr>
                <w:rFonts w:cs="Times New Roman"/>
                <w:sz w:val="18"/>
                <w:szCs w:val="18"/>
              </w:rPr>
              <w:instrText>eclampsia o</w:instrText>
            </w:r>
            <w:r w:rsidR="00C104BB">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C104BB"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638</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No </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515-3p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Pr="00B56460"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sPE</w:t>
            </w:r>
          </w:p>
          <w:p w:rsidR="00460963" w:rsidRDefault="00460963" w:rsidP="009B2A14">
            <w:pPr>
              <w:spacing w:after="0"/>
              <w:jc w:val="center"/>
              <w:rPr>
                <w:color w:val="000000"/>
                <w:sz w:val="18"/>
                <w:szCs w:val="18"/>
              </w:rPr>
            </w:pPr>
            <w:r w:rsidRPr="00194E2C">
              <w:rPr>
                <w:color w:val="000000"/>
                <w:sz w:val="18"/>
                <w:szCs w:val="18"/>
              </w:rPr>
              <w:t>No difference in sPE</w:t>
            </w:r>
          </w:p>
          <w:p w:rsidR="00460963" w:rsidRPr="00194E2C"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C104BB"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C104BB">
              <w:rPr>
                <w:rFonts w:ascii="MS Mincho" w:eastAsia="MS Mincho" w:hAnsi="MS Mincho" w:cs="MS Mincho" w:hint="eastAsia"/>
                <w:sz w:val="18"/>
                <w:szCs w:val="18"/>
              </w:rPr>
              <w:instrText>‑</w:instrText>
            </w:r>
            <w:r w:rsidR="00C104BB">
              <w:rPr>
                <w:rFonts w:cs="Times New Roman"/>
                <w:sz w:val="18"/>
                <w:szCs w:val="18"/>
              </w:rPr>
              <w:instrText>eclampsia o</w:instrText>
            </w:r>
            <w:r w:rsidR="00C104BB">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C104BB"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515-5p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sEOPE, sLOPE</w:t>
            </w:r>
          </w:p>
          <w:p w:rsidR="00460963" w:rsidRPr="00194E2C"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C104BB"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C104BB" w:rsidRPr="00C104BB">
              <w:rPr>
                <w:noProof/>
                <w:sz w:val="18"/>
                <w:szCs w:val="18"/>
              </w:rPr>
              <w:t>(Miura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C104BB">
              <w:rPr>
                <w:rFonts w:ascii="MS Mincho" w:eastAsia="MS Mincho" w:hAnsi="MS Mincho" w:cs="MS Mincho" w:hint="eastAsia"/>
                <w:sz w:val="18"/>
                <w:szCs w:val="18"/>
              </w:rPr>
              <w:instrText>‑</w:instrText>
            </w:r>
            <w:r w:rsidR="00C104BB">
              <w:rPr>
                <w:rFonts w:cs="Times New Roman"/>
                <w:sz w:val="18"/>
                <w:szCs w:val="18"/>
              </w:rPr>
              <w:instrText>eclampsia o</w:instrText>
            </w:r>
            <w:r w:rsidR="00C104BB">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C104BB"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59</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525-3p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sPE</w:t>
            </w:r>
          </w:p>
          <w:p w:rsidR="00460963" w:rsidRDefault="00460963" w:rsidP="009B2A14">
            <w:pPr>
              <w:spacing w:after="0"/>
              <w:jc w:val="center"/>
            </w:pPr>
            <w:r w:rsidRPr="00194E2C">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525-5p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194E2C" w:rsidRDefault="00460963" w:rsidP="009B2A14">
            <w:pPr>
              <w:spacing w:after="0"/>
              <w:jc w:val="center"/>
              <w:rPr>
                <w:color w:val="000000"/>
                <w:sz w:val="18"/>
                <w:szCs w:val="18"/>
              </w:rPr>
            </w:pPr>
            <w:r>
              <w:rPr>
                <w:color w:val="000000"/>
                <w:sz w:val="18"/>
                <w:szCs w:val="18"/>
              </w:rPr>
              <w:t>Up in sPE, sEOPE, sLOPE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C104BB" w:rsidRPr="00C104BB">
              <w:rPr>
                <w:noProof/>
                <w:sz w:val="18"/>
                <w:szCs w:val="18"/>
              </w:rPr>
              <w:t>(Miura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525</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Pr="00194E2C"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{"citationItems":[{"id":"ITEM-1","itemData":{"DOI":"10.1089/dna.2014.2687","abstract":"To demonstrate that pregnancy-related complications are associated with alterations in placental microRNA expression. Gene expression of 15 C19MC microRNAs (miR-512-5p, miR-515-5p, miR-516-5p, miR-517-5p, miR-518b, miR-518f-5p, miR-519a, miR-519d, miR-519e-5p, miR-520a-5p, miR-520h, miR-524-5p, miR-525, miR-526a, and miR-526b) was assessed in placental tissues, compared between groups (21 gestational hypertension [GH], 63 preeclampsia, 36 fetal growth restriction [FGR], and 42 normal pregnancies), and correlated with the severity of the disease with respect to clinical signs, delivery date, and Doppler ultrasound parameters. The expression profile of microRNAs was different between pregnancy-related complications and controls. The downregulation of 4 of 15 (miR-517-5p, miR-519d, miR-520a-5p, and miR-525), 6 of 15 (miR-517-5p, miR-518f-5p, miR-519a, miR-519d, miR-520a-5p, and miR-525), and 11 of 15 (miR-515-5p, miR-517-5p, miR-518b, miR-518f-5p, miR-519a, miR-519d, miR-520a-5p, miR-520h, miR-524-5p, miR-525, and miR-526a) microRNAs was associated with GH, FGR, and preeclampsia, respectively. Sudden onset of severe preeclampsia requiring immediate termination of gestation and mild forms of preeclampsia (persisting for several weeks) were associated with similar microRNA expression profile (downregulation of miR-517-5p, miR-520a-5p, miR-524-5p, and miR-525). In addition, miR-519a was found to be associated with severe preeclampsia. The longer the pregnancy-related disorder lasted, the more extensive was the downregulation of microRNAs (miR-515-5p, miR-518b, miR-518f-5p, miR-519d, and miR-520h). The downregulation of some C19MC microRNAs is a common phenomenon shared between GH, preeclampsia, and FGR. On the other hand, some of the C19MC microRNAs are only downregulated just in preeclampsia.","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Pirkova","given":"Petr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Krofta","given":"Ladislav","non-dropping-particle":"","parse-names":false,"suffix":""}],"container-title":"DNA and Cell Biology","id":"ITEM-1","issue":"6","issued":{"date-parts":[["2015"]]},"page":"437-457","title":"Expression profile of C19MC microRNAs in placental tissue in pregnancy-related complications","type":"article-journal","volume":"34"},"uris":["http://www.mendeley.com/documents/?uuid=a11d294b-df0c-3d56-85cf-aa02ea7be6a4"]}],"mendeley":{"formattedCitation":"(Hromadnikova et al., 2015b)","plainTextFormattedCitation":"(Hromadnikova et al., 2015b)","previouslyFormattedCitation":"(Hromadnikova et al., 2015b)"},"properties":{"noteIndex":0},"schema":"https://github.com/citation-style-language/schema/raw/master/csl-citation.json"}</w:instrText>
            </w:r>
            <w:r>
              <w:rPr>
                <w:sz w:val="18"/>
                <w:szCs w:val="18"/>
              </w:rPr>
              <w:fldChar w:fldCharType="separate"/>
            </w:r>
            <w:r w:rsidR="00C104BB" w:rsidRPr="00C104BB">
              <w:rPr>
                <w:noProof/>
                <w:sz w:val="18"/>
                <w:szCs w:val="18"/>
              </w:rPr>
              <w:t>(Hromadnikova et al., 2015b)</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53</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19a</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w:t>
            </w:r>
          </w:p>
          <w:p w:rsidR="00460963" w:rsidRPr="00194E2C" w:rsidRDefault="00460963" w:rsidP="009B2A14">
            <w:pPr>
              <w:spacing w:after="0"/>
              <w:jc w:val="center"/>
              <w:rPr>
                <w:color w:val="000000"/>
                <w:sz w:val="18"/>
                <w:szCs w:val="18"/>
              </w:rPr>
            </w:pPr>
            <w:r w:rsidRPr="00194E2C">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19a-3p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Pr="00194E2C" w:rsidRDefault="00460963" w:rsidP="009B2A14">
            <w:pPr>
              <w:spacing w:after="0"/>
              <w:jc w:val="center"/>
              <w:rPr>
                <w:color w:val="000000"/>
                <w:sz w:val="18"/>
                <w:szCs w:val="18"/>
              </w:rPr>
            </w:pPr>
            <w:r>
              <w:rPr>
                <w:color w:val="000000"/>
                <w:sz w:val="18"/>
                <w:szCs w:val="18"/>
              </w:rPr>
              <w:t>Up in 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1076AA"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1076AA"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584</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sPE</w:t>
            </w:r>
          </w:p>
          <w:p w:rsidR="00460963" w:rsidRPr="00194E2C" w:rsidRDefault="00460963" w:rsidP="009B2A14">
            <w:pPr>
              <w:spacing w:after="0"/>
              <w:jc w:val="center"/>
              <w:rPr>
                <w:color w:val="000000"/>
                <w:sz w:val="18"/>
                <w:szCs w:val="18"/>
              </w:rPr>
            </w:pPr>
            <w:r w:rsidRPr="00194E2C">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362</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sPE</w:t>
            </w:r>
          </w:p>
          <w:p w:rsidR="00460963" w:rsidRDefault="00460963" w:rsidP="009B2A14">
            <w:pPr>
              <w:spacing w:after="0"/>
              <w:jc w:val="center"/>
            </w:pPr>
            <w:r w:rsidRPr="00194E2C">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31</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w:t>
            </w:r>
          </w:p>
          <w:p w:rsidR="00460963" w:rsidRPr="00B56460"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w:t>
            </w:r>
            <w:r>
              <w:rPr>
                <w:color w:val="000000"/>
                <w:sz w:val="18"/>
                <w:szCs w:val="18"/>
              </w:rPr>
              <w:t>E</w:t>
            </w:r>
          </w:p>
          <w:p w:rsidR="00460963" w:rsidRDefault="00460963" w:rsidP="009B2A14">
            <w:pPr>
              <w:spacing w:after="0"/>
              <w:jc w:val="center"/>
              <w:rPr>
                <w:color w:val="000000"/>
                <w:sz w:val="18"/>
                <w:szCs w:val="18"/>
              </w:rPr>
            </w:pPr>
            <w:r w:rsidRPr="00194E2C">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Up in sPE</w:t>
            </w:r>
          </w:p>
          <w:p w:rsidR="00460963" w:rsidRPr="00194E2C"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C104BB"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C104BB">
              <w:rPr>
                <w:rFonts w:ascii="MS Mincho" w:eastAsia="MS Mincho" w:hAnsi="MS Mincho" w:cs="MS Mincho" w:hint="eastAsia"/>
                <w:sz w:val="18"/>
                <w:szCs w:val="18"/>
              </w:rPr>
              <w:instrText>‑</w:instrText>
            </w:r>
            <w:r w:rsidR="00C104BB">
              <w:rPr>
                <w:rFonts w:cs="Times New Roman"/>
                <w:sz w:val="18"/>
                <w:szCs w:val="18"/>
              </w:rPr>
              <w:instrText>eclampsia o</w:instrText>
            </w:r>
            <w:r w:rsidR="00C104BB">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C104BB" w:rsidRPr="00FA32AE">
              <w:rPr>
                <w:noProof/>
                <w:sz w:val="18"/>
                <w:szCs w:val="18"/>
              </w:rPr>
              <w:t>(Vashukova et al., 2016)</w:t>
            </w:r>
            <w:r>
              <w:rPr>
                <w:sz w:val="18"/>
                <w:szCs w:val="18"/>
              </w:rPr>
              <w:fldChar w:fldCharType="end"/>
            </w:r>
          </w:p>
          <w:p w:rsidR="001076AA"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{"citationItems":[{"id":"ITEM-1","itemData":{"DOI":"10.1016/j.preghy.2019.05.013","abstract":"MicroRNAs (miRNAs/miRs) are highly stable in circulating, which suppress target gene expression by base-pairing to the 3′-untranslated region. We compared the expressions of 3 circulating miRs (miR-31, miR-21, and miR-16), which are related to the control of cell apoptosis, invasion, angiogenesis and immune tolerance in non-pregnancy (n = 10), 20–34 gestational weeks normal pregnancy (20–34 GW NP, n = 20), early onset preeclampsia (EOPE, n = 20), 34–41 gestational weeks normal pregnancy (34–41 GW NP, n = 20) and late onset preeclampsia (LOPE, n = 20). Using quantitative RT-PCR, we found the levels of miR-31, miR-21 and miR-16 changed throughout different stages of pregnancy with the non-pregnancy as the calibrator. The plasma miR-31 levels were significantly down-regulated in EOPE rather than in LOPE when compared to gestational age matched normal pregnancy (P &lt; 0.001). MiR-21 levels were significantly lower in LOPE compared to healthy controls (P &lt; 0.001), while no significant difference was found between EOPE and 20–34 gestational weeks normal pregnancy (P = 0.376). The miR-16 expressions were at similar levels between preeclampsia (PE) and normal pregnancy. Receiver operating characteristic (ROC) curve analyses indicated the miR-31 differentiated EOPE patients from healthy controls with an area under the curve (AUC) of 0.875 with 95.0% sensitivity and 70.0% specificity. ROC curves also discriminated the LOPE patients from healthy pregnancy with an AUC of 0.793, 65.1% sensitivity and 90.3% specificity for plasma miR-21 levels. This study is the first to demonstrate the difference, and circulating miR-31 may serve as a diagnostic biomarker for early onset preeclampsia meanwhile miR-21 might be a diagnostic biomarker for late onset preeclampsia.","author":[{"dropping-particle":"","family":"Dong","given":"Kun","non-dropping-particle":"","parse-names":false,"suffix":""},{"dropping-particle":"","family":"Zhang","given":"Xiangli","non-dropping-particle":"","parse-names":false,"suffix":""},{"dropping-particle":"","family":"Ma","given":"Lijuan","non-dropping-particle":"","parse-names":false,"suffix":""},{"dropping-particle":"","family":"Gao","given":"Na","non-dropping-particle":"","parse-names":false,"suffix":""},{"dropping-particle":"","family":"Tang","given":"Haiyang","non-dropping-particle":"","parse-names":false,"suffix":""},{"dropping-particle":"","family":"Jian","given":"Feng","non-dropping-particle":"","parse-names":false,"suffix":""},{"dropping-particle":"","family":"Ma","given":"Yuyan","non-dropping-particle":"","parse-names":false,"suffix":""}],"container-title":"Pregnancy Hypertension","id":"ITEM-1","issued":{"date-parts":[["2019"]]},"page":"59-63","title":"Downregulations of circulating miR-31 and miR-21 are associated with preeclampsia","type":"article-journal","volume":"17"},"uris":["http://www.mendeley.com/documents/?uuid=0b184015-3d45-3041-bdc9-41d1d163d454"]}],"mendeley":{"formattedCitation":"(Dong et al., 2019)","plainTextFormattedCitation":"(Dong et al., 2019)","previouslyFormattedCitation":"(Dong et al., 2019)"},"properties":{"noteIndex":0},"schema":"https://github.com/citation-style-language/schema/raw/master/csl-citation.json"}</w:instrText>
            </w:r>
            <w:r>
              <w:rPr>
                <w:sz w:val="18"/>
                <w:szCs w:val="18"/>
              </w:rPr>
              <w:fldChar w:fldCharType="separate"/>
            </w:r>
            <w:r w:rsidR="001076AA" w:rsidRPr="001076AA">
              <w:rPr>
                <w:noProof/>
                <w:sz w:val="18"/>
                <w:szCs w:val="18"/>
              </w:rPr>
              <w:t>(Dong et al., 2019)</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74</w:t>
            </w:r>
          </w:p>
          <w:p w:rsidR="00460963" w:rsidRDefault="00460963" w:rsidP="009B2A14">
            <w:pPr>
              <w:spacing w:after="0"/>
              <w:jc w:val="center"/>
              <w:rPr>
                <w:sz w:val="18"/>
                <w:szCs w:val="18"/>
              </w:rPr>
            </w:pPr>
            <w:r>
              <w:rPr>
                <w:sz w:val="18"/>
                <w:szCs w:val="18"/>
              </w:rPr>
              <w:t>154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590</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sPE</w:t>
            </w:r>
          </w:p>
          <w:p w:rsidR="00460963" w:rsidRDefault="00460963" w:rsidP="009B2A14">
            <w:pPr>
              <w:spacing w:after="0"/>
              <w:jc w:val="center"/>
            </w:pPr>
            <w:r w:rsidRPr="00194E2C">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296</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sidRPr="00194E2C">
              <w:rPr>
                <w:color w:val="000000"/>
                <w:sz w:val="18"/>
                <w:szCs w:val="18"/>
              </w:rPr>
              <w:t>No difference in sP</w:t>
            </w:r>
            <w:r>
              <w:rPr>
                <w:color w:val="000000"/>
                <w:sz w:val="18"/>
                <w:szCs w:val="18"/>
              </w:rPr>
              <w:t>E</w:t>
            </w:r>
          </w:p>
          <w:p w:rsidR="00460963" w:rsidRPr="00194E2C" w:rsidRDefault="00460963" w:rsidP="009B2A14">
            <w:pPr>
              <w:spacing w:after="0"/>
              <w:jc w:val="center"/>
              <w:rPr>
                <w:color w:val="000000"/>
                <w:sz w:val="18"/>
                <w:szCs w:val="18"/>
              </w:rPr>
            </w:pPr>
            <w:r w:rsidRPr="00194E2C">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C104BB" w:rsidRDefault="00E33D6E" w:rsidP="00C104BB">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C104BB">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C104BB"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296-3p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Pr="00194E2C" w:rsidRDefault="00460963" w:rsidP="009B2A14">
            <w:pPr>
              <w:spacing w:after="0"/>
              <w:jc w:val="center"/>
              <w:rPr>
                <w:color w:val="000000"/>
                <w:sz w:val="18"/>
                <w:szCs w:val="18"/>
              </w:rPr>
            </w:pPr>
            <w:r>
              <w:rPr>
                <w:color w:val="000000"/>
                <w:sz w:val="18"/>
                <w:szCs w:val="18"/>
              </w:rPr>
              <w:t>No difference in sPE at delivery and 1 year after</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1076AA" w:rsidRPr="00932CA1">
              <w:rPr>
                <w:noProof/>
                <w:sz w:val="18"/>
                <w:szCs w:val="18"/>
              </w:rPr>
              <w:t>(Murphy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lastRenderedPageBreak/>
              <w:t>519e-5p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Pr="00B56460"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Pr="00194E2C"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 xml:space="preserve">No </w:t>
            </w:r>
          </w:p>
          <w:p w:rsidR="00460963" w:rsidRDefault="00460963" w:rsidP="009B2A14">
            <w:pPr>
              <w:spacing w:after="0"/>
              <w:jc w:val="center"/>
              <w:rPr>
                <w:color w:val="000000"/>
                <w:sz w:val="18"/>
                <w:szCs w:val="18"/>
              </w:rPr>
            </w:pPr>
            <w:r>
              <w:rPr>
                <w:color w:val="000000"/>
                <w:sz w:val="18"/>
                <w:szCs w:val="18"/>
              </w:rPr>
              <w:t>Yes</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1076AA">
              <w:rPr>
                <w:rFonts w:ascii="MS Mincho" w:eastAsia="MS Mincho" w:hAnsi="MS Mincho" w:cs="MS Mincho" w:hint="eastAsia"/>
                <w:sz w:val="18"/>
                <w:szCs w:val="18"/>
              </w:rPr>
              <w:instrText>‑</w:instrText>
            </w:r>
            <w:r w:rsidR="001076AA">
              <w:rPr>
                <w:rFonts w:cs="Times New Roman"/>
                <w:sz w:val="18"/>
                <w:szCs w:val="18"/>
              </w:rPr>
              <w:instrText>eclampsia o</w:instrText>
            </w:r>
            <w:r w:rsidR="001076AA">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1076AA"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214</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Pr="00B56460" w:rsidRDefault="00460963" w:rsidP="009B2A14">
            <w:pPr>
              <w:spacing w:after="0"/>
              <w:jc w:val="center"/>
              <w:rPr>
                <w:color w:val="000000"/>
                <w:sz w:val="18"/>
                <w:szCs w:val="18"/>
              </w:rPr>
            </w:pPr>
            <w:r>
              <w:rPr>
                <w:color w:val="000000"/>
                <w:sz w:val="18"/>
                <w:szCs w:val="18"/>
              </w:rPr>
              <w:t>Placenta (basal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p w:rsidR="00460963" w:rsidRPr="00194E2C"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Yes </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p w:rsidR="00460963"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92a</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(chorionic plate)</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 (basal plate)</w:t>
            </w:r>
          </w:p>
          <w:p w:rsidR="00460963" w:rsidRPr="00B56460" w:rsidRDefault="00460963" w:rsidP="009B2A14">
            <w:pPr>
              <w:spacing w:after="0"/>
              <w:jc w:val="center"/>
              <w:rPr>
                <w:color w:val="000000"/>
                <w:sz w:val="18"/>
                <w:szCs w:val="18"/>
              </w:rPr>
            </w:pPr>
            <w:r>
              <w:rPr>
                <w:color w:val="000000"/>
                <w:sz w:val="18"/>
                <w:szCs w:val="18"/>
              </w:rPr>
              <w:t>Placenta (chorionic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sPE</w:t>
            </w:r>
          </w:p>
          <w:p w:rsidR="00460963" w:rsidRPr="00194E2C"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 xml:space="preserve">Yes </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p w:rsidR="00460963"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1076AA">
              <w:rPr>
                <w:rFonts w:ascii="Cambria Math" w:hAnsi="Cambria Math" w:cs="Cambria Math"/>
                <w:sz w:val="18"/>
                <w:szCs w:val="18"/>
              </w:rPr>
              <w:instrText>∼</w:instrText>
            </w:r>
            <w:r w:rsidR="001076AA">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1076AA">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1076AA" w:rsidRPr="00947753">
              <w:rPr>
                <w:noProof/>
                <w:sz w:val="18"/>
                <w:szCs w:val="18"/>
              </w:rPr>
              <w:t>(Zhang et al., 2015a)</w:t>
            </w:r>
            <w:r>
              <w:rPr>
                <w:sz w:val="18"/>
                <w:szCs w:val="18"/>
              </w:rPr>
              <w:fldChar w:fldCharType="end"/>
            </w:r>
          </w:p>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1076AA">
              <w:rPr>
                <w:rFonts w:ascii="Cambria Math" w:hAnsi="Cambria Math" w:cs="Cambria Math"/>
                <w:sz w:val="18"/>
                <w:szCs w:val="18"/>
              </w:rPr>
              <w:instrText>∼</w:instrText>
            </w:r>
            <w:r w:rsidR="001076AA">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1076AA">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1076AA" w:rsidRPr="00947753">
              <w:rPr>
                <w:noProof/>
                <w:sz w:val="18"/>
                <w:szCs w:val="18"/>
              </w:rPr>
              <w:t>(Zhang et al., 2015a)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65</w:t>
            </w:r>
          </w:p>
          <w:p w:rsidR="00460963" w:rsidRDefault="00460963" w:rsidP="009B2A14">
            <w:pPr>
              <w:spacing w:after="0"/>
              <w:jc w:val="center"/>
              <w:rPr>
                <w:sz w:val="18"/>
                <w:szCs w:val="18"/>
              </w:rPr>
            </w:pPr>
            <w:r>
              <w:rPr>
                <w:sz w:val="18"/>
                <w:szCs w:val="18"/>
              </w:rPr>
              <w:t>65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92a-3p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UC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at delivery and 1 year after</w:t>
            </w:r>
          </w:p>
          <w:p w:rsidR="00460963"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1076AA" w:rsidRPr="00932CA1">
              <w:rPr>
                <w:noProof/>
                <w:sz w:val="18"/>
                <w:szCs w:val="18"/>
              </w:rPr>
              <w:t>(Murphy et al., 2015)</w:t>
            </w:r>
            <w:r>
              <w:rPr>
                <w:sz w:val="18"/>
                <w:szCs w:val="18"/>
              </w:rPr>
              <w:fldChar w:fldCharType="end"/>
            </w:r>
          </w:p>
          <w:p w:rsidR="001076AA"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1076AA" w:rsidRPr="00E65BB1">
              <w:rPr>
                <w:noProof/>
                <w:sz w:val="18"/>
                <w:szCs w:val="18"/>
              </w:rPr>
              <w:t>(Hromadnikova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92</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19b</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 (chorionic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 xml:space="preserve">Yes </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{"citationItems":[{"id":"ITEM-1","itemData":{"DOI":"10.1161/HYPERTENSIONAHA.113.02647","abstract":"Preeclampsia is a major cause of maternal and fetal mortality and morbidity worldwide. The differential expression of several microRNAs (miRNAs) has been found in preeclamptic placentas. However, great conflict exists regarding this aspect, and detailed examinations have largely been lacking of miRNA profiles in different parts of the placenta and in maternal plasma of women with this disorder. In this study, a total of 9 downregulated miRNAs (miR-195, miR-223, miR-218, miR-17, miR-18a, miR-19b1, miR-92a1, miR-379, and miR-411) and 7 upregulated miRNAs (miR-210, miR-30a-3p, miR-518b, miR-524, miR-17-3p, miR-151, and miR-193b) were identified in severe preeclampsia (sPE) placentas when compared with normal pregnant controls. In addition, sampling position in the chorionic or basal plate of placenta led to evident variations in differential miRNAs of sPE placentas. In a prospective pregnant cohort, we found that the circulating levels of 3 members of miR-17-92 cluster (ie, miR-18a, miR-19b1, and miR-92a1) were significantly lower, whereas that of miR-210 was higher in sPE patients than those in normal controls at gestational weeks 15 to 18 and at term. The results of in situ hybridization revealed the localization of miR-18a, miR-92a1, and miR-210 in various subtypes of placental trophoblasts and endothelial cells. In human trophoblast cell line, HTR8/SVneo cells, miR-18a could promote trophoblast cell invasion via targeting and suppressing Smad2 expression. This study provides fundamental evidences for exploring the roles of miRNAs in the pathogenesis of preeclampsia.","author":[{"dropping-particle":"","family":"Xu","given":"P","non-dropping-particle":"","parse-names":false,"suffix":""},{"dropping-particle":"","family":"Zhao","given":"Y","non-dropping-particle":"","parse-names":false,"suffix":""},{"dropping-particle":"","family":"Liu","given":"M","non-dropping-particle":"","parse-names":false,"suffix":""},{"dropping-particle":"","family":"Wang","given":"Y","non-dropping-particle":"","parse-names":false,"suffix":""},{"dropping-particle":"","family":"Wang","given":"H","non-dropping-particle":"","parse-names":false,"suffix":""},{"dropping-particle":"","family":"Li","given":"YX","non-dropping-particle":"","parse-names":false,"suffix":""},{"dropping-particle":"","family":"Zhu","given":"X","non-dropping-particle":"","parse-names":false,"suffix":""},{"dropping-particle":"","family":"Yao","given":"Y","non-dropping-particle":"","parse-names":false,"suffix":""},{"dropping-particle":"","family":"Wang","given":"H","non-dropping-particle":"","parse-names":false,"suffix":""},{"dropping-particle":"","family":"Qiao","given":"J","non-dropping-particle":"","parse-names":false,"suffix":""},{"dropping-particle":"","family":"Ji","given":"L","non-dropping-particle":"","parse-names":false,"suffix":""},{"dropping-particle":"","family":"Wang","given":"YL","non-dropping-particle":"","parse-names":false,"suffix":""}],"container-title":"Hypertension","id":"ITEM-1","issue":"6","issued":{"date-parts":[["2014"]]},"page":"1276-84","title":"Variations of MicroRNAs in Human Placentas and Plasma From Preeclamptic Pregnancy","type":"article-journal","volume":"63"},"uris":["http://www.mendeley.com/documents/?uuid=37204392-f537-3d85-9c49-86637837a221"]}],"mendeley":{"formattedCitation":"(Xu et al., 2014)","plainTextFormattedCitation":"(Xu et al., 2014)","previouslyFormattedCitation":"(Xu et al., 2014)"},"properties":{"noteIndex":0},"schema":"https://github.com/citation-style-language/schema/raw/master/csl-citation.json"}</w:instrText>
            </w:r>
            <w:r>
              <w:rPr>
                <w:sz w:val="18"/>
                <w:szCs w:val="18"/>
              </w:rPr>
              <w:fldChar w:fldCharType="separate"/>
            </w:r>
            <w:r w:rsidR="001076AA" w:rsidRPr="00FA32AE">
              <w:rPr>
                <w:noProof/>
                <w:sz w:val="18"/>
                <w:szCs w:val="18"/>
              </w:rPr>
              <w:t>(Xu et al., 2014)</w:t>
            </w:r>
            <w:r>
              <w:rPr>
                <w:sz w:val="18"/>
                <w:szCs w:val="18"/>
              </w:rPr>
              <w:fldChar w:fldCharType="end"/>
            </w:r>
          </w:p>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1076AA">
              <w:rPr>
                <w:rFonts w:ascii="Cambria Math" w:hAnsi="Cambria Math" w:cs="Cambria Math"/>
                <w:sz w:val="18"/>
                <w:szCs w:val="18"/>
              </w:rPr>
              <w:instrText>∼</w:instrText>
            </w:r>
            <w:r w:rsidR="001076AA">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1076AA">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1076AA" w:rsidRPr="00947753">
              <w:rPr>
                <w:noProof/>
                <w:sz w:val="18"/>
                <w:szCs w:val="18"/>
              </w:rPr>
              <w:t>(Zhang et al., 2015a)</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1076AA">
              <w:rPr>
                <w:rFonts w:ascii="Cambria Math" w:hAnsi="Cambria Math" w:cs="Cambria Math"/>
                <w:sz w:val="18"/>
                <w:szCs w:val="18"/>
              </w:rPr>
              <w:instrText>∼</w:instrText>
            </w:r>
            <w:r w:rsidR="001076AA">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1076AA">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1076AA" w:rsidRPr="00947753">
              <w:rPr>
                <w:noProof/>
                <w:sz w:val="18"/>
                <w:szCs w:val="18"/>
              </w:rPr>
              <w:t>(Zhang et al., 2015a)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45</w:t>
            </w:r>
          </w:p>
          <w:p w:rsidR="00460963" w:rsidRDefault="00460963" w:rsidP="009B2A14">
            <w:pPr>
              <w:spacing w:after="0"/>
              <w:jc w:val="center"/>
              <w:rPr>
                <w:sz w:val="18"/>
                <w:szCs w:val="18"/>
              </w:rPr>
            </w:pPr>
            <w:r>
              <w:rPr>
                <w:sz w:val="18"/>
                <w:szCs w:val="18"/>
              </w:rPr>
              <w:t>65</w:t>
            </w:r>
          </w:p>
          <w:p w:rsidR="00460963" w:rsidRDefault="00460963" w:rsidP="009B2A14">
            <w:pPr>
              <w:spacing w:after="0"/>
              <w:jc w:val="center"/>
              <w:rPr>
                <w:sz w:val="18"/>
                <w:szCs w:val="18"/>
              </w:rPr>
            </w:pPr>
            <w:r>
              <w:rPr>
                <w:sz w:val="18"/>
                <w:szCs w:val="18"/>
              </w:rPr>
              <w:t>65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19b-3p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1076AA"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136</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(decisua MSCs)</w:t>
            </w:r>
          </w:p>
          <w:p w:rsidR="00460963" w:rsidRDefault="00460963" w:rsidP="009B2A14">
            <w:pPr>
              <w:spacing w:after="0"/>
              <w:jc w:val="center"/>
              <w:rPr>
                <w:color w:val="000000"/>
                <w:sz w:val="18"/>
                <w:szCs w:val="18"/>
              </w:rPr>
            </w:pPr>
            <w:r>
              <w:rPr>
                <w:color w:val="000000"/>
                <w:sz w:val="18"/>
                <w:szCs w:val="18"/>
              </w:rPr>
              <w:t>MPB (plasma exosomes)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1076AA" w:rsidRPr="001076AA">
              <w:rPr>
                <w:noProof/>
                <w:sz w:val="18"/>
                <w:szCs w:val="18"/>
              </w:rPr>
              <w:t>(Zhao et al., 2014)</w:t>
            </w:r>
            <w:r>
              <w:rPr>
                <w:sz w:val="18"/>
                <w:szCs w:val="18"/>
              </w:rPr>
              <w:fldChar w:fldCharType="end"/>
            </w:r>
          </w:p>
          <w:p w:rsidR="001076AA"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{"citationItems":[{"id":"ITEM-1","itemData":{"DOI":"10.1016/j.abb.2018.09.023","abstract":"Background: Pre-eclampsia (PE) is one of the most threatening pregnancy complications. So far neither a secure, competent therapy for PE nor effective biomarkers for a premature discovery has been achieved. However, currently, the use of released microRNAs (miRNAs) as potential biomarkers and therapy targets for various diseases is the dominating area of research. The aim of our study was to identify miRNAs 136, 494 and 495 genes expression in exosomes of peripheral blood compared to umbilical cord mesenchymal stem cells (UCMSCs) conditioned media released exososomes in patients with PE, as valuable markers for PE early prediction. Methods: Blood samples were collected from 100 patients with PE and 100 control with normal pregnancies. Thirty fresh umbilical cord samples of women with healthy pregnancies (n = 15) and PE patients (n = 15) were retrieved during caesarean deliveries and UCMSCs were isolated from Wharton jelly. The expression of miRNAs 136, 494 and 495 in exosomes of peripheral blood and UCMSCs conditioned media was measured using quantitative real-time PCR method. Unpaired t-test, Pearson correlation test and Receiver operator characteristic (ROC) analysis were used for data analysis. Results: Our study revealed a significantly higher expression levels of miRNAs 136, 494 and 495 in exosomes of peripheral blood and matched with UCMSCs released exosomes from patients with PE compared to normal pregnancies (p = 0.000). In peripheral blood of PE, they were 6.4, 3.9 and 2.1 folds higher, respectively. ROC analysis revealed that the sensitivity and specificity values of miRNA-136 were 95% and 100%, respectively, with a cut-off value of 2.55. The sensitivity and specificity values of miRNA-494 were 86% and 95%, respectively, with a cut-off value of 0.47. The sensitivity and specificity values of miRNA-495 were 90% and 83%, respectively, with a cut-off value of 1.287. Conclusion: Our findings suggest that exosomes derived miRNA-136, miRNA-494 and miRNA-495 could be promising circulating biomarkers in early detection of PE. Furthermore, UCMSCs released exosomes miRNA-136, miRNA-494 and miRNA-495 genes expression confirmed peripheral blood results analysis.","author":[{"dropping-particle":"","family":"Motawi","given":"Tarek M.k.","non-dropping-particle":"","parse-names":false,"suffix":""},{"dropping-particle":"","family":"Sabry","given":"Dina","non-dropping-particle":"","parse-names":false,"suffix":""},{"dropping-particle":"","family":"Maurice","given":"Nadine W.","non-dropping-particle":"","parse-names":false,"suffix":""},{"dropping-particle":"","family":"Rizk","given":"Sherine M.","non-dropping-particle":"","parse-names":false,"suffix":""}],"container-title":"Archives of Biochemistry and Biophysics","id":"ITEM-1","issued":{"date-parts":[["2018"]]},"page":"13-21","title":"Role of mesenchymal stem cells exosomes derived microRNAs; miR-136, miR-494 and miR-495 in pre-eclampsia diagnosis and evaluation","type":"article-journal","volume":"659"},"uris":["http://www.mendeley.com/documents/?uuid=b8191eb7-28d5-3790-85bd-bd5fb443c4a3"]}],"mendeley":{"formattedCitation":"(Motawi et al., 2018)","plainTextFormattedCitation":"(Motawi et al., 2018)","previouslyFormattedCitation":"(Motawi et al., 2018)"},"properties":{"noteIndex":0},"schema":"https://github.com/citation-style-language/schema/raw/master/csl-citation.json"}</w:instrText>
            </w:r>
            <w:r>
              <w:rPr>
                <w:sz w:val="18"/>
                <w:szCs w:val="18"/>
              </w:rPr>
              <w:fldChar w:fldCharType="separate"/>
            </w:r>
            <w:r w:rsidR="001076AA" w:rsidRPr="001076AA">
              <w:rPr>
                <w:noProof/>
                <w:sz w:val="18"/>
                <w:szCs w:val="18"/>
              </w:rPr>
              <w:t>(Motawi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46</w:t>
            </w:r>
          </w:p>
          <w:p w:rsidR="00460963" w:rsidRDefault="00460963" w:rsidP="009B2A14">
            <w:pPr>
              <w:spacing w:after="0"/>
              <w:jc w:val="center"/>
              <w:rPr>
                <w:sz w:val="18"/>
                <w:szCs w:val="18"/>
              </w:rPr>
            </w:pPr>
            <w:r>
              <w:rPr>
                <w:sz w:val="18"/>
                <w:szCs w:val="18"/>
              </w:rPr>
              <w:t>137</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495</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D92B18">
              <w:rPr>
                <w:color w:val="000000"/>
                <w:sz w:val="18"/>
                <w:szCs w:val="18"/>
              </w:rPr>
              <w:t xml:space="preserve"> (decisua MSCs)</w:t>
            </w:r>
          </w:p>
          <w:p w:rsidR="00460963" w:rsidRDefault="00460963" w:rsidP="009B2A14">
            <w:pPr>
              <w:spacing w:after="0"/>
              <w:jc w:val="center"/>
            </w:pPr>
            <w:r>
              <w:rPr>
                <w:color w:val="000000"/>
                <w:sz w:val="18"/>
                <w:szCs w:val="18"/>
              </w:rPr>
              <w:t>MPB (plasma exosomes)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1076AA" w:rsidRPr="001076AA">
              <w:rPr>
                <w:noProof/>
                <w:sz w:val="18"/>
                <w:szCs w:val="18"/>
              </w:rPr>
              <w:t>(Zhao et al., 2014)</w:t>
            </w:r>
            <w:r>
              <w:rPr>
                <w:sz w:val="18"/>
                <w:szCs w:val="18"/>
              </w:rPr>
              <w:fldChar w:fldCharType="end"/>
            </w:r>
          </w:p>
          <w:p w:rsidR="00460963" w:rsidRDefault="00E33D6E" w:rsidP="001076AA">
            <w:pPr>
              <w:spacing w:after="0"/>
              <w:jc w:val="center"/>
              <w:rPr>
                <w:sz w:val="18"/>
                <w:szCs w:val="18"/>
              </w:rPr>
            </w:pPr>
            <w:r>
              <w:rPr>
                <w:sz w:val="18"/>
                <w:szCs w:val="18"/>
              </w:rPr>
              <w:fldChar w:fldCharType="begin" w:fldLock="1"/>
            </w:r>
            <w:r w:rsidR="0004386C">
              <w:rPr>
                <w:sz w:val="18"/>
                <w:szCs w:val="18"/>
              </w:rPr>
              <w:instrText>ADDIN CSL_CITATION {"citationItems":[{"id":"ITEM-1","itemData":{"DOI":"10.1016/j.abb.2018.09.023","abstract":"Background: Pre-eclampsia (PE) is one of the most threatening pregnancy complications. So far neither a secure, competent therapy for PE nor effective biomarkers for a premature discovery has been achieved. However, currently, the use of released microRNAs (miRNAs) as potential biomarkers and therapy targets for various diseases is the dominating area of research. The aim of our study was to identify miRNAs 136, 494 and 495 genes expression in exosomes of peripheral blood compared to umbilical cord mesenchymal stem cells (UCMSCs) conditioned media released exososomes in patients with PE, as valuable markers for PE early prediction. Methods: Blood samples were collected from 100 patients with PE and 100 control with normal pregnancies. Thirty fresh umbilical cord samples of women with healthy pregnancies (n = 15) and PE patients (n = 15) were retrieved during caesarean deliveries and UCMSCs were isolated from Wharton jelly. The expression of miRNAs 136, 494 and 495 in exosomes of peripheral blood and UCMSCs conditioned media was measured using quantitative real-time PCR method. Unpaired t-test, Pearson correlation test and Receiver operator characteristic (ROC) analysis were used for data analysis. Results: Our study revealed a significantly higher expression levels of miRNAs 136, 494 and 495 in exosomes of peripheral blood and matched with UCMSCs released exosomes from patients with PE compared to normal pregnancies (p = 0.000). In peripheral blood of PE, they were 6.4, 3.9 and 2.1 folds higher, respectively. ROC analysis revealed that the sensitivity and specificity values of miRNA-136 were 95% and 100%, respectively, with a cut-off value of 2.55. The sensitivity and specificity values of miRNA-494 were 86% and 95%, respectively, with a cut-off value of 0.47. The sensitivity and specificity values of miRNA-495 were 90% and 83%, respectively, with a cut-off value of 1.287. Conclusion: Our findings suggest that exosomes derived miRNA-136, miRNA-494 and miRNA-495 could be promising circulating biomarkers in early detection of PE. Furthermore, UCMSCs released exosomes miRNA-136, miRNA-494 and miRNA-495 genes expression confirmed peripheral blood results analysis.","author":[{"dropping-particle":"","family":"Motawi","given":"Tarek M.k.","non-dropping-particle":"","parse-names":false,"suffix":""},{"dropping-particle":"","family":"Sabry","given":"Dina","non-dropping-particle":"","parse-names":false,"suffix":""},{"dropping-particle":"","family":"Maurice","given":"Nadine W.","non-dropping-particle":"","parse-names":false,"suffix":""},{"dropping-particle":"","family":"Rizk","given":"Sherine M.","non-dropping-particle":"","parse-names":false,"suffix":""}],"container-title":"Archives of Biochemistry and Biophysics","id":"ITEM-1","issued":{"date-parts":[["2018"]]},"page":"13-21","title":"Role of mesenchymal stem cells exosomes derived microRNAs; miR-136, miR-494 and miR-495 in pre-eclampsia diagnosis and evaluation","type":"article-journal","volume":"659"},"uris":["http://www.mendeley.com/documents/?uuid=b8191eb7-28d5-3790-85bd-bd5fb443c4a3"]}],"mendeley":{"formattedCitation":"(Motawi et al., 2018)","plainTextFormattedCitation":"(Motawi et al., 2018)","previouslyFormattedCitation":"(Motawi et al., 2018)"},"properties":{"noteIndex":0},"schema":"https://github.com/citation-style-language/schema/raw/master/csl-citation.json"}</w:instrText>
            </w:r>
            <w:r>
              <w:rPr>
                <w:sz w:val="18"/>
                <w:szCs w:val="18"/>
              </w:rPr>
              <w:fldChar w:fldCharType="separate"/>
            </w:r>
            <w:r w:rsidR="001076AA" w:rsidRPr="001076AA">
              <w:rPr>
                <w:noProof/>
                <w:sz w:val="18"/>
                <w:szCs w:val="18"/>
              </w:rPr>
              <w:t>(Motawi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46</w:t>
            </w:r>
          </w:p>
          <w:p w:rsidR="00460963" w:rsidRDefault="00460963" w:rsidP="009B2A14">
            <w:pPr>
              <w:spacing w:after="0"/>
              <w:jc w:val="center"/>
              <w:rPr>
                <w:sz w:val="18"/>
                <w:szCs w:val="18"/>
              </w:rPr>
            </w:pPr>
            <w:r>
              <w:rPr>
                <w:sz w:val="18"/>
                <w:szCs w:val="18"/>
              </w:rPr>
              <w:t>137</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494</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r w:rsidRPr="00D92B18">
              <w:rPr>
                <w:color w:val="000000"/>
                <w:sz w:val="18"/>
                <w:szCs w:val="18"/>
              </w:rPr>
              <w:t xml:space="preserve"> (decisua MSCs)</w:t>
            </w:r>
          </w:p>
          <w:p w:rsidR="00460963" w:rsidRDefault="00460963" w:rsidP="009B2A14">
            <w:pPr>
              <w:spacing w:after="0"/>
              <w:jc w:val="center"/>
            </w:pPr>
            <w:r>
              <w:rPr>
                <w:color w:val="000000"/>
                <w:sz w:val="18"/>
                <w:szCs w:val="18"/>
              </w:rPr>
              <w:t>MPB (plasma exosomes)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1076AA" w:rsidRPr="001076AA">
              <w:rPr>
                <w:noProof/>
                <w:sz w:val="18"/>
                <w:szCs w:val="18"/>
              </w:rPr>
              <w:t>(Zhao et al., 2014)</w:t>
            </w:r>
            <w:r>
              <w:rPr>
                <w:sz w:val="18"/>
                <w:szCs w:val="18"/>
              </w:rPr>
              <w:fldChar w:fldCharType="end"/>
            </w:r>
          </w:p>
          <w:p w:rsidR="00460963" w:rsidRDefault="00E33D6E" w:rsidP="001076AA">
            <w:pPr>
              <w:spacing w:after="0"/>
              <w:jc w:val="center"/>
              <w:rPr>
                <w:sz w:val="18"/>
                <w:szCs w:val="18"/>
              </w:rPr>
            </w:pPr>
            <w:r>
              <w:rPr>
                <w:sz w:val="18"/>
                <w:szCs w:val="18"/>
              </w:rPr>
              <w:fldChar w:fldCharType="begin" w:fldLock="1"/>
            </w:r>
            <w:r w:rsidR="0004386C">
              <w:rPr>
                <w:sz w:val="18"/>
                <w:szCs w:val="18"/>
              </w:rPr>
              <w:instrText>ADDIN CSL_CITATION {"citationItems":[{"id":"ITEM-1","itemData":{"DOI":"10.1016/j.abb.2018.09.023","abstract":"Background: Pre-eclampsia (PE) is one of the most threatening pregnancy complications. So far neither a secure, competent therapy for PE nor effective biomarkers for a premature discovery has been achieved. However, currently, the use of released microRNAs (miRNAs) as potential biomarkers and therapy targets for various diseases is the dominating area of research. The aim of our study was to identify miRNAs 136, 494 and 495 genes expression in exosomes of peripheral blood compared to umbilical cord mesenchymal stem cells (UCMSCs) conditioned media released exososomes in patients with PE, as valuable markers for PE early prediction. Methods: Blood samples were collected from 100 patients with PE and 100 control with normal pregnancies. Thirty fresh umbilical cord samples of women with healthy pregnancies (n = 15) and PE patients (n = 15) were retrieved during caesarean deliveries and UCMSCs were isolated from Wharton jelly. The expression of miRNAs 136, 494 and 495 in exosomes of peripheral blood and UCMSCs conditioned media was measured using quantitative real-time PCR method. Unpaired t-test, Pearson correlation test and Receiver operator characteristic (ROC) analysis were used for data analysis. Results: Our study revealed a significantly higher expression levels of miRNAs 136, 494 and 495 in exosomes of peripheral blood and matched with UCMSCs released exosomes from patients with PE compared to normal pregnancies (p = 0.000). In peripheral blood of PE, they were 6.4, 3.9 and 2.1 folds higher, respectively. ROC analysis revealed that the sensitivity and specificity values of miRNA-136 were 95% and 100%, respectively, with a cut-off value of 2.55. The sensitivity and specificity values of miRNA-494 were 86% and 95%, respectively, with a cut-off value of 0.47. The sensitivity and specificity values of miRNA-495 were 90% and 83%, respectively, with a cut-off value of 1.287. Conclusion: Our findings suggest that exosomes derived miRNA-136, miRNA-494 and miRNA-495 could be promising circulating biomarkers in early detection of PE. Furthermore, UCMSCs released exosomes miRNA-136, miRNA-494 and miRNA-495 genes expression confirmed peripheral blood results analysis.","author":[{"dropping-particle":"","family":"Motawi","given":"Tarek M.k.","non-dropping-particle":"","parse-names":false,"suffix":""},{"dropping-particle":"","family":"Sabry","given":"Dina","non-dropping-particle":"","parse-names":false,"suffix":""},{"dropping-particle":"","family":"Maurice","given":"Nadine W.","non-dropping-particle":"","parse-names":false,"suffix":""},{"dropping-particle":"","family":"Rizk","given":"Sherine M.","non-dropping-particle":"","parse-names":false,"suffix":""}],"container-title":"Archives of Biochemistry and Biophysics","id":"ITEM-1","issued":{"date-parts":[["2018"]]},"page":"13-21","title":"Role of mesenchymal stem cells exosomes derived microRNAs; miR-136, miR-494 and miR-495 in pre-eclampsia diagnosis and evaluation","type":"article-journal","volume":"659"},"uris":["http://www.mendeley.com/documents/?uuid=b8191eb7-28d5-3790-85bd-bd5fb443c4a3"]}],"mendeley":{"formattedCitation":"(Motawi et al., 2018)","plainTextFormattedCitation":"(Motawi et al., 2018)","previouslyFormattedCitation":"(Motawi et al., 2018)"},"properties":{"noteIndex":0},"schema":"https://github.com/citation-style-language/schema/raw/master/csl-citation.json"}</w:instrText>
            </w:r>
            <w:r>
              <w:rPr>
                <w:sz w:val="18"/>
                <w:szCs w:val="18"/>
              </w:rPr>
              <w:fldChar w:fldCharType="separate"/>
            </w:r>
            <w:r w:rsidR="001076AA" w:rsidRPr="001076AA">
              <w:rPr>
                <w:noProof/>
                <w:sz w:val="18"/>
                <w:szCs w:val="18"/>
              </w:rPr>
              <w:t>(Motawi et al., 2018)</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46</w:t>
            </w:r>
          </w:p>
          <w:p w:rsidR="00460963" w:rsidRDefault="00460963" w:rsidP="009B2A14">
            <w:pPr>
              <w:spacing w:after="0"/>
              <w:jc w:val="center"/>
              <w:rPr>
                <w:sz w:val="18"/>
                <w:szCs w:val="18"/>
              </w:rPr>
            </w:pPr>
            <w:r>
              <w:rPr>
                <w:sz w:val="18"/>
                <w:szCs w:val="18"/>
              </w:rPr>
              <w:t>137</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140-5p</w:t>
            </w:r>
          </w:p>
        </w:tc>
        <w:tc>
          <w:tcPr>
            <w:tcW w:w="2136" w:type="dxa"/>
            <w:vAlign w:val="center"/>
          </w:tcPr>
          <w:p w:rsidR="00460963" w:rsidRPr="00D92B18"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 MSCs)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1076AA" w:rsidRPr="001076AA">
              <w:rPr>
                <w:noProof/>
                <w:sz w:val="18"/>
                <w:szCs w:val="18"/>
              </w:rPr>
              <w:t>(Zhao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46</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100</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 MSCs)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1076AA" w:rsidRPr="001076AA">
              <w:rPr>
                <w:noProof/>
                <w:sz w:val="18"/>
                <w:szCs w:val="18"/>
              </w:rPr>
              <w:t>(Zhao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46</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100-5p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(whole blood)</w:t>
            </w:r>
          </w:p>
          <w:p w:rsidR="00460963" w:rsidRDefault="00460963" w:rsidP="009B2A14">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 xml:space="preserve">Yes </w:t>
            </w:r>
          </w:p>
        </w:tc>
        <w:tc>
          <w:tcPr>
            <w:tcW w:w="2977" w:type="dxa"/>
          </w:tcPr>
          <w:p w:rsidR="001076AA" w:rsidRDefault="00E33D6E" w:rsidP="001076AA">
            <w:pPr>
              <w:spacing w:after="0"/>
              <w:jc w:val="center"/>
              <w:rPr>
                <w:sz w:val="18"/>
                <w:szCs w:val="18"/>
              </w:rPr>
            </w:pPr>
            <w:r>
              <w:rPr>
                <w:sz w:val="18"/>
                <w:szCs w:val="18"/>
              </w:rPr>
              <w:fldChar w:fldCharType="begin" w:fldLock="1"/>
            </w:r>
            <w:r w:rsidR="001076AA">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1076AA" w:rsidRPr="00BB7CB7">
              <w:rPr>
                <w:noProof/>
                <w:sz w:val="18"/>
                <w:szCs w:val="18"/>
              </w:rPr>
              <w:t>(Hromadnikova et al., 2016)</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1076AA" w:rsidRPr="00BB7CB7">
              <w:rPr>
                <w:noProof/>
                <w:sz w:val="18"/>
                <w:szCs w:val="18"/>
              </w:rPr>
              <w:t>(Hromadnikova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66</w:t>
            </w:r>
          </w:p>
          <w:p w:rsidR="00460963" w:rsidRDefault="00460963" w:rsidP="009B2A14">
            <w:pPr>
              <w:spacing w:after="0"/>
              <w:jc w:val="center"/>
              <w:rPr>
                <w:sz w:val="18"/>
                <w:szCs w:val="18"/>
              </w:rPr>
            </w:pPr>
            <w:r>
              <w:rPr>
                <w:sz w:val="18"/>
                <w:szCs w:val="18"/>
              </w:rPr>
              <w:t>66</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1207-5p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w:t>
            </w:r>
            <w:r>
              <w:rPr>
                <w:color w:val="000000"/>
                <w:sz w:val="18"/>
                <w:szCs w:val="18"/>
              </w:rPr>
              <w:pgNum/>
            </w:r>
            <w:r>
              <w:rPr>
                <w:color w:val="000000"/>
                <w:sz w:val="18"/>
                <w:szCs w:val="18"/>
              </w:rPr>
              <w:t>eciduas MSCs)</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076AA">
              <w:rPr>
                <w:sz w:val="18"/>
                <w:szCs w:val="18"/>
              </w:rPr>
              <w:instrText>ADDIN CSL_CITATION {"citationItems":[{"id":"ITEM-1","itemData":{"DOI":"10.1186/s12929-014-0081-3","abstract":"Background: Mesenchymal stem cells (MSCs) at maternal-fetal interface are considered to play an important role in the pathogenesis of pre-eclampsia (PE). microRNAs (miRNAs) also have an important influence on differentiation, maturation, and functions of MSCs. Our aim in this study was to determine the differential expression of miRNAs in decidua-derived MSCs (dMSCs) from severe PE and normal pregnancies. Results: miRNA expression profiles in dMSCs from five patients with severe PE and five healthy pregnant women were screened using microarray. Then, bioinformatic analysis of the microarray results was performed. Out of 179 differentially expressed miRNAs, 49 miRNAs had significant (p &lt; 0.05) differential expression of ≥ 2.0-fold changes, including 21 up-regulated and 28 down-regulated. miRNA-Gene-network and miRNA-Gene ontology (GO) -network analyses were performed. Overall, 21 up-regulated and 15 down-regulated miRNAs showed high degrees in these analyses. Moreover, the significantly enriched signaling pathways and GOs were identified. The analyses revealed that pathways associated with cell proliferation, angiogenesis, and immune functions were highly regulated by the differentially expressed miRNAs, including Wnt signaling pathway, mitogen-activated protein kinase signaling pathway, transforming growth factor beta signaling pathway, T-cell receptor signaling pathway, and B cell receptor signaling pathway. Four miRNA predicted target genes, vascular endothelial growth factor A (VEGFA), indoleamine 2,3-dioxygenase, suppression of cytokine signaling 3, and serine/threonine protein phosphatase 2A 55 kDa regulatory subunit B α isoform (PPP2R2A) were all decreased in dMSCs from patients with PE. Furthermore, the physiological roles of miR-16 and miR-136 in the down-regulation of VEGFA and PPP2R2A, respectively, were confirmed through reporter assays. Conclusions: These findings suggest that miRNAs in dMSCs may be important regulatory molecules in the development of PE.","author":[{"dropping-particle":"","family":"Zhao","given":"Guangfeng","non-dropping-particle":"","parse-names":false,"suffix":""},{"dropping-particle":"","family":"Zhou","given":"Xue","non-dropping-particle":"","parse-names":false,"suffix":""},{"dropping-particle":"","family":"Chen","given":"Shiwen","non-dropping-particle":"","parse-names":false,"suffix":""},{"dropping-particle":"","family":"Miao","given":"Huishuang","non-dropping-particle":"","parse-names":false,"suffix":""},{"dropping-particle":"","family":"Fan","given":"Hongye","non-dropping-particle":"","parse-names":false,"suffix":""},{"dropping-particle":"","family":"Wang","given":"Zhiqun","non-dropping-particle":"","parse-names":false,"suffix":""},{"dropping-particle":"","family":"Hu","given":"Yali","non-dropping-particle":"","parse-names":false,"suffix":""},{"dropping-particle":"","family":"Hou","given":"Yayi","non-dropping-particle":"","parse-names":false,"suffix":""}],"container-title":"Journal of Biomedical Science","id":"ITEM-1","issue":"1","issued":{"date-parts":[["2014"]]},"page":"81","title":"Differential expression of microRNAs in decidua-derived mesenchymal stem cells from patients with pre-eclampsia","type":"article-journal","volume":"21"},"uris":["http://www.mendeley.com/documents/?uuid=7620801d-32ae-3eab-b534-e7e7870fb79c"]}],"mendeley":{"formattedCitation":"(Zhao et al., 2014)","plainTextFormattedCitation":"(Zhao et al., 2014)","previouslyFormattedCitation":"(Zhao et al., 2014)"},"properties":{"noteIndex":0},"schema":"https://github.com/citation-style-language/schema/raw/master/csl-citation.json"}</w:instrText>
            </w:r>
            <w:r>
              <w:rPr>
                <w:sz w:val="18"/>
                <w:szCs w:val="18"/>
              </w:rPr>
              <w:fldChar w:fldCharType="separate"/>
            </w:r>
            <w:r w:rsidR="001076AA" w:rsidRPr="001076AA">
              <w:rPr>
                <w:noProof/>
                <w:sz w:val="18"/>
                <w:szCs w:val="18"/>
              </w:rPr>
              <w:t>(Zhao et al., 2014)</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46</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130a</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{"citationItems":[{"id":"ITEM-1","itemData":{"DOI":"10.1371/journal.pone.0138383","abstract":"Aims. To demonstrate that pregnancy-related complications are associated with alterations in cardiovascular and cerebrovascular microRNA expression. Gene expression of 32 microRNAs (miR-1-3p, miR-16-5p, miR-17-5p, miR-20a-5p, miR-20b-5p, miR-21-5p, miR-23a-3p, miR-24-3p, miR-26a-5p, miR-29a-3p, miR-33a-5p, miR-92a-3p, miR-100-5p, miR-103a-3p, miR-122-5p, miR-125b-5p, miR-126-3p, miR-130b-3p, miR-133a-3p, miR-143-3p, miR- 145-5p, miR-146a-5p, miR-155-5p, miR-181a-5p, miR-195-5p, miR-199a-5p, miR-208a-3p, miR-210-3p, miR-221-3p, miR-342-3p, miR-499a-5p, and miR-574-3p) was assessed in placental tissues, compared between groups (35 gestational hypertension, 80 preeclampsia, 35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placental tissues affected by pregnancy-related complications have been carried out.","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PLoS ONE","id":"ITEM-1","issue":"9","issued":{"date-parts":[["2015"]]},"page":"e0138383","title":"Cardiovascular and cerebrovascular disease associated microRNAS are dysregulated in placental tissues affected with gestational hypertension, preeclampsia and intrauterine growth restriction","type":"article-journal","volume":"10"},"uris":["http://www.mendeley.com/documents/?uuid=6c37d6ae-29c0-329f-a584-7063ee1728eb"]}],"mendeley":{"formattedCitation":"(Hromadnikova et al., 2015a)","plainTextFormattedCitation":"(Hromadnikova et al., 2015a)","previouslyFormattedCitation":"(Hromadnikova et al., 2015a)"},"properties":{"noteIndex":0},"schema":"https://github.com/citation-style-language/schema/raw/master/csl-citation.json"}</w:instrText>
            </w:r>
            <w:r>
              <w:rPr>
                <w:sz w:val="18"/>
                <w:szCs w:val="18"/>
              </w:rPr>
              <w:fldChar w:fldCharType="separate"/>
            </w:r>
            <w:r w:rsidR="0004386C" w:rsidRPr="00E65BB1">
              <w:rPr>
                <w:noProof/>
                <w:sz w:val="18"/>
                <w:szCs w:val="18"/>
              </w:rPr>
              <w:t>(Hromadnikova et al., 2015a)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52</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145-5p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UC blood</w:t>
            </w:r>
          </w:p>
          <w:p w:rsidR="00460963" w:rsidRDefault="00460963" w:rsidP="009B2A14">
            <w:pPr>
              <w:spacing w:after="0"/>
              <w:jc w:val="center"/>
              <w:rPr>
                <w:color w:val="000000"/>
                <w:sz w:val="18"/>
                <w:szCs w:val="18"/>
              </w:rPr>
            </w:pPr>
            <w:r>
              <w:rPr>
                <w:color w:val="000000"/>
                <w:sz w:val="18"/>
                <w:szCs w:val="18"/>
              </w:rPr>
              <w:t>UC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EOPE</w:t>
            </w:r>
          </w:p>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Down in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{"citationItems":[{"id":"ITEM-1","itemData":{"DOI":"10.1371/journal.pone.0138383","abstract":"Aims. To demonstrate that pregnancy-related complications are associated with alterations in cardiovascular and cerebrovascular microRNA expression. Gene expression of 32 microRNAs (miR-1-3p, miR-16-5p, miR-17-5p, miR-20a-5p, miR-20b-5p, miR-21-5p, miR-23a-3p, miR-24-3p, miR-26a-5p, miR-29a-3p, miR-33a-5p, miR-92a-3p, miR-100-5p, miR-103a-3p, miR-122-5p, miR-125b-5p, miR-126-3p, miR-130b-3p, miR-133a-3p, miR-143-3p, miR- 145-5p, miR-146a-5p, miR-155-5p, miR-181a-5p, miR-195-5p, miR-199a-5p, miR-208a-3p, miR-210-3p, miR-221-3p, miR-342-3p, miR-499a-5p, and miR-574-3p) was assessed in placental tissues, compared between groups (35 gestational hypertension, 80 preeclampsia, 35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placental tissues affected by pregnancy-related complications have been carried out.","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PLoS ONE","id":"ITEM-1","issue":"9","issued":{"date-parts":[["2015"]]},"page":"e0138383","title":"Cardiovascular and cerebrovascular disease associated microRNAS are dysregulated in placental tissues affected with gestational hypertension, preeclampsia and intrauterine growth restriction","type":"article-journal","volume":"10"},"uris":["http://www.mendeley.com/documents/?uuid=6c37d6ae-29c0-329f-a584-7063ee1728eb"]}],"mendeley":{"formattedCitation":"(Hromadnikova et al., 2015a)","plainTextFormattedCitation":"(Hromadnikova et al., 2015a)","previouslyFormattedCitation":"(Hromadnikova et al., 2015a)"},"properties":{"noteIndex":0},"schema":"https://github.com/citation-style-language/schema/raw/master/csl-citation.json"}</w:instrText>
            </w:r>
            <w:r>
              <w:rPr>
                <w:sz w:val="18"/>
                <w:szCs w:val="18"/>
              </w:rPr>
              <w:fldChar w:fldCharType="separate"/>
            </w:r>
            <w:r w:rsidR="0004386C" w:rsidRPr="00E65BB1">
              <w:rPr>
                <w:noProof/>
                <w:sz w:val="18"/>
                <w:szCs w:val="18"/>
              </w:rPr>
              <w:t>(Hromadnikova et al., 2015a)</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04386C" w:rsidRPr="00E65BB1">
              <w:rPr>
                <w:noProof/>
                <w:sz w:val="18"/>
                <w:szCs w:val="18"/>
              </w:rPr>
              <w:t>(Hromadnikova et al., 2017)</w:t>
            </w:r>
            <w:r>
              <w:rPr>
                <w:sz w:val="18"/>
                <w:szCs w:val="18"/>
              </w:rPr>
              <w:fldChar w:fldCharType="end"/>
            </w:r>
          </w:p>
          <w:p w:rsidR="0004386C"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{"citationItems":[{"id":"ITEM-1","itemData":{"DOI":"10.1016/j.ijcard.2017.07.045","abstract":"Background and methods Gene expression of 29 cardiovascular and cerebrovascular disease associated microRNAs was assessed in whole umbilical cord blood, compared between groups [47 gestational hypertension (GH), 56 preeclampsia (PE), 37 fetal growth restriction (FGR) and 44 normal pregnancies] and correlated with the severity of the disease with respect to clinical signs (mild PE vs. severe PE), delivery date (before and after 34 weeks of gestation), and Doppler ultrasound parameters [pulsatility index (PI) in the umbilical artery, PI in the middle cerebral artery and the cerebroplacental ratio]. Results GH showed a down-regulation of miR-195-5p (p = 0.025). The down-regulation of miR-26a-5p (p = 0.031, p = 0.05), miR-145-5p (p = 0.042, p = 0.015), and miR-574-3p (p = 0.002, p = 0.022) was observed in severe PE pregnancies requiring termination before 34 weeks of gestation. Severe PE occurring regardless of the delivery date was associated with downregulation of miR-195-5p (p = 0.01), miR-199a-5p (p = 0.048), and miR-221-3p (p = 0.028). On the other hand, mild PE showed upregulation of miR-92a-3p (p = 0.044). The centralization of fetal circulation tended to higher levels of miR-1-3p (ρ = − 0.302, p = 0.045) and miR-133a-3p (ρ = − 0.348, p = 0.020) in PE pregnancies. FGR pregnancies with abnormal values of flow rate in the umbilical artery (miR-221-3p: ρ = − 0.390, p = 0.017) and the middle cerebral artery (miR-143-3p: ρ = 0.350, p = 0.036) demonstrated down-regulation of relevant microRNAs. Conclusion Epigenetic changes induced by pregnancy-related complications in umbilical cord blood may appear as a result of dysfunctional placenta and impaired maternal cardiovascular function (hidden cardiovascular and cerebrovascular diseases) and may cause later onset of cardiovascular and cerebrovascular diseases in offspring.","author":[{"dropping-particle":"","family":"Hromadnikova","given":"Ilona","non-dropping-particle":"","parse-names":false,"suffix":""},{"dropping-particle":"","family":"Kotlabova","given":"Katerina","non-dropping-particle":"","parse-names":false,"suffix":""},{"dropping-particle":"","family":"Ivankova","given":"Katarina","non-dropping-particle":"","parse-names":false,"suffix":""},{"dropping-particle":"","family":"Vedmetskaya","given":"Yulia","non-dropping-particle":"","parse-names":false,"suffix":""},{"dropping-particle":"","family":"Krofta","given":"Ladislav","non-dropping-particle":"","parse-names":false,"suffix":""}],"container-title":"International Journal of Cardiology","id":"ITEM-1","issued":{"date-parts":[["2017"]]},"page":"402-409","title":"Profiling of cardiovascular and cerebrovascular disease associated microRNA expression in umbilical cord blood in gestational hypertension, preeclampsia and fetal growth restriction","type":"article-journal","volume":"249"},"uris":["http://www.mendeley.com/documents/?uuid=0247e960-58b5-3647-ad4c-85e1a0f334c2"]}],"mendeley":{"formattedCitation":"(Hromadnikova et al., 2017)","plainTextFormattedCitation":"(Hromadnikova et al., 2017)","previouslyFormattedCitation":"(Hromadnikova et al., 2017)"},"properties":{"noteIndex":0},"schema":"https://github.com/citation-style-language/schema/raw/master/csl-citation.json"}</w:instrText>
            </w:r>
            <w:r>
              <w:rPr>
                <w:sz w:val="18"/>
                <w:szCs w:val="18"/>
              </w:rPr>
              <w:fldChar w:fldCharType="separate"/>
            </w:r>
            <w:r w:rsidR="0004386C" w:rsidRPr="00E65BB1">
              <w:rPr>
                <w:noProof/>
                <w:sz w:val="18"/>
                <w:szCs w:val="18"/>
              </w:rPr>
              <w:t>(Hromadnikova et al., 2017)</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52</w:t>
            </w:r>
          </w:p>
          <w:p w:rsidR="00460963" w:rsidRDefault="00460963" w:rsidP="009B2A14">
            <w:pPr>
              <w:spacing w:after="0"/>
              <w:jc w:val="center"/>
              <w:rPr>
                <w:sz w:val="18"/>
                <w:szCs w:val="18"/>
              </w:rPr>
            </w:pPr>
            <w:r>
              <w:rPr>
                <w:sz w:val="18"/>
                <w:szCs w:val="18"/>
              </w:rPr>
              <w:t>92</w:t>
            </w:r>
          </w:p>
          <w:p w:rsidR="00460963" w:rsidRDefault="00460963" w:rsidP="009B2A14">
            <w:pPr>
              <w:spacing w:after="0"/>
              <w:jc w:val="center"/>
              <w:rPr>
                <w:sz w:val="18"/>
                <w:szCs w:val="18"/>
              </w:rPr>
            </w:pPr>
            <w:r>
              <w:rPr>
                <w:sz w:val="18"/>
                <w:szCs w:val="18"/>
              </w:rPr>
              <w:t>92</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499-5p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and EOPE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04386C" w:rsidP="0004386C">
            <w:pPr>
              <w:spacing w:after="0"/>
              <w:jc w:val="center"/>
              <w:rPr>
                <w:sz w:val="18"/>
                <w:szCs w:val="18"/>
              </w:rPr>
            </w:pPr>
            <w:r>
              <w:rPr>
                <w:sz w:val="18"/>
                <w:szCs w:val="18"/>
              </w:rPr>
              <w:tab/>
            </w:r>
            <w:r w:rsidR="00E33D6E">
              <w:rPr>
                <w:sz w:val="18"/>
                <w:szCs w:val="18"/>
              </w:rPr>
              <w:fldChar w:fldCharType="begin" w:fldLock="1"/>
            </w:r>
            <w:r>
              <w:rPr>
                <w:sz w:val="18"/>
                <w:szCs w:val="18"/>
              </w:rPr>
              <w:instrText>ADDIN CSL_CITATION {"citationItems":[{"id":"ITEM-1","itemData":{"DOI":"10.1371/journal.pone.0138383","abstract":"Aims. To demonstrate that pregnancy-related complications are associated with alterations in cardiovascular and cerebrovascular microRNA expression. Gene expression of 32 microRNAs (miR-1-3p, miR-16-5p, miR-17-5p, miR-20a-5p, miR-20b-5p, miR-21-5p, miR-23a-3p, miR-24-3p, miR-26a-5p, miR-29a-3p, miR-33a-5p, miR-92a-3p, miR-100-5p, miR-103a-3p, miR-122-5p, miR-125b-5p, miR-126-3p, miR-130b-3p, miR-133a-3p, miR-143-3p, miR- 145-5p, miR-146a-5p, miR-155-5p, miR-181a-5p, miR-195-5p, miR-199a-5p, miR-208a-3p, miR-210-3p, miR-221-3p, miR-342-3p, miR-499a-5p, and miR-574-3p) was assessed in placental tissues, compared between groups (35 gestational hypertension, 80 preeclampsia, 35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placental tissues affected by pregnancy-related complications have been carried out.","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PLoS ONE","id":"ITEM-1","issue":"9","issued":{"date-parts":[["2015"]]},"page":"e0138383","title":"Cardiovascular and cerebrovascular disease associated microRNAS are dysregulated in placental tissues affected with gestational hypertension, preeclampsia and intrauterine growth restriction","type":"article-journal","volume":"10"},"uris":["http://www.mendeley.com/documents/?uuid=6c37d6ae-29c0-329f-a584-7063ee1728eb"]}],"mendeley":{"formattedCitation":"(Hromadnikova et al., 2015a)","plainTextFormattedCitation":"(Hromadnikova et al., 2015a)","previouslyFormattedCitation":"(Hromadnikova et al., 2015a)"},"properties":{"noteIndex":0},"schema":"https://github.com/citation-style-language/schema/raw/master/csl-citation.json"}</w:instrText>
            </w:r>
            <w:r w:rsidR="00E33D6E">
              <w:rPr>
                <w:sz w:val="18"/>
                <w:szCs w:val="18"/>
              </w:rPr>
              <w:fldChar w:fldCharType="separate"/>
            </w:r>
            <w:r w:rsidRPr="00E65BB1">
              <w:rPr>
                <w:noProof/>
                <w:sz w:val="18"/>
                <w:szCs w:val="18"/>
              </w:rPr>
              <w:t>(Hromadnikova et al., 2015a)</w:t>
            </w:r>
            <w:r w:rsidR="00E33D6E">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52</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520a-5p</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Down in sPE</w:t>
            </w:r>
          </w:p>
          <w:p w:rsidR="00460963" w:rsidRDefault="00460963" w:rsidP="009B2A14">
            <w:pPr>
              <w:spacing w:after="0"/>
              <w:jc w:val="center"/>
              <w:rPr>
                <w:color w:val="000000"/>
                <w:sz w:val="18"/>
                <w:szCs w:val="18"/>
              </w:rPr>
            </w:pPr>
            <w:r>
              <w:rPr>
                <w:color w:val="000000"/>
                <w:sz w:val="18"/>
                <w:szCs w:val="18"/>
              </w:rPr>
              <w:t>Up in sPE, sEOPE, sLOPE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{"citationItems":[{"id":"ITEM-1","itemData":{"DOI":"10.1089/dna.2014.2687","abstract":"To demonstrate that pregnancy-related complications are associated with alterations in placental microRNA expression. Gene expression of 15 C19MC microRNAs (miR-512-5p, miR-515-5p, miR-516-5p, miR-517-5p, miR-518b, miR-518f-5p, miR-519a, miR-519d, miR-519e-5p, miR-520a-5p, miR-520h, miR-524-5p, miR-525, miR-526a, and miR-526b) was assessed in placental tissues, compared between groups (21 gestational hypertension [GH], 63 preeclampsia, 36 fetal growth restriction [FGR], and 42 normal pregnancies), and correlated with the severity of the disease with respect to clinical signs, delivery date, and Doppler ultrasound parameters. The expression profile of microRNAs was different between pregnancy-related complications and controls. The downregulation of 4 of 15 (miR-517-5p, miR-519d, miR-520a-5p, and miR-525), 6 of 15 (miR-517-5p, miR-518f-5p, miR-519a, miR-519d, miR-520a-5p, and miR-525), and 11 of 15 (miR-515-5p, miR-517-5p, miR-518b, miR-518f-5p, miR-519a, miR-519d, miR-520a-5p, miR-520h, miR-524-5p, miR-525, and miR-526a) microRNAs was associated with GH, FGR, and preeclampsia, respectively. Sudden onset of severe preeclampsia requiring immediate termination of gestation and mild forms of preeclampsia (persisting for several weeks) were associated with similar microRNA expression profile (downregulation of miR-517-5p, miR-520a-5p, miR-524-5p, and miR-525). In addition, miR-519a was found to be associated with severe preeclampsia. The longer the pregnancy-related disorder lasted, the more extensive was the downregulation of microRNAs (miR-515-5p, miR-518b, miR-518f-5p, miR-519d, and miR-520h). The downregulation of some C19MC microRNAs is a common phenomenon shared between GH, preeclampsia, and FGR. On the other hand, some of the C19MC microRNAs are only downregulated just in preeclampsia.","author":[{"dropping-particle":"","family":"Hromadnikova","given":"Ilona","non-dropping-particle":"","parse-names":false,"suffix":""},{"dropping-particle":"","family":"Kotlabova","given":"Katerina","non-dropping-particle":"","parse-names":false,"suffix":""},{"dropping-particle":"","family":"Ondrackova","given":"Marketa","non-dropping-particle":"","parse-names":false,"suffix":""},{"dropping-particle":"","family":"Pirkova","given":"Petra","non-dropping-particle":"","parse-names":false,"suffix":""},{"dropping-particle":"","family":"Kestlerova","given":"Andrea","non-dropping-particle":"","parse-names":false,"suffix":""},{"dropping-particle":"","family":"Novotna","given":"Veronika","non-dropping-particle":"","parse-names":false,"suffix":""},{"dropping-particle":"","family":"Hympanova","given":"Lucie","non-dropping-particle":"","parse-names":false,"suffix":""},{"dropping-particle":"","family":"Krofta","given":"Ladislav","non-dropping-particle":"","parse-names":false,"suffix":""}],"container-title":"DNA and Cell Biology","id":"ITEM-1","issue":"6","issued":{"date-parts":[["2015"]]},"page":"437-457","title":"Expression profile of C19MC microRNAs in placental tissue in pregnancy-related complications","type":"article-journal","volume":"34"},"uris":["http://www.mendeley.com/documents/?uuid=a11d294b-df0c-3d56-85cf-aa02ea7be6a4"]}],"mendeley":{"formattedCitation":"(Hromadnikova et al., 2015b)","plainTextFormattedCitation":"(Hromadnikova et al., 2015b)","previouslyFormattedCitation":"(Hromadnikova et al., 2015b)"},"properties":{"noteIndex":0},"schema":"https://github.com/citation-style-language/schema/raw/master/csl-citation.json"}</w:instrText>
            </w:r>
            <w:r>
              <w:rPr>
                <w:sz w:val="18"/>
                <w:szCs w:val="18"/>
              </w:rPr>
              <w:fldChar w:fldCharType="separate"/>
            </w:r>
            <w:r w:rsidR="0004386C" w:rsidRPr="00C104BB">
              <w:rPr>
                <w:noProof/>
                <w:sz w:val="18"/>
                <w:szCs w:val="18"/>
              </w:rPr>
              <w:t>(Hromadnikova et al., 2015b)</w:t>
            </w:r>
            <w:r>
              <w:rPr>
                <w:sz w:val="18"/>
                <w:szCs w:val="18"/>
              </w:rPr>
              <w:fldChar w:fldCharType="end"/>
            </w:r>
          </w:p>
          <w:p w:rsidR="0004386C"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04386C" w:rsidRPr="00C104BB">
              <w:rPr>
                <w:noProof/>
                <w:sz w:val="18"/>
                <w:szCs w:val="18"/>
              </w:rPr>
              <w:t>(Miura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53</w:t>
            </w:r>
          </w:p>
          <w:p w:rsidR="00460963" w:rsidRDefault="00460963" w:rsidP="009B2A14">
            <w:pPr>
              <w:spacing w:after="0"/>
              <w:jc w:val="center"/>
              <w:rPr>
                <w:sz w:val="18"/>
                <w:szCs w:val="18"/>
              </w:rPr>
            </w:pPr>
            <w:r>
              <w:rPr>
                <w:sz w:val="18"/>
                <w:szCs w:val="18"/>
              </w:rPr>
              <w:t>59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520a</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520h</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sEOPE, sLOPE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04386C" w:rsidRPr="00C104BB">
              <w:rPr>
                <w:noProof/>
                <w:sz w:val="18"/>
                <w:szCs w:val="18"/>
              </w:rPr>
              <w:t>(Miura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lastRenderedPageBreak/>
              <w:t>526b</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sEOPE, sLOPE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04386C" w:rsidRPr="00C104BB">
              <w:rPr>
                <w:noProof/>
                <w:sz w:val="18"/>
                <w:szCs w:val="18"/>
              </w:rPr>
              <w:t>(Miura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1323</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sEOPE, sLOPE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04386C" w:rsidRPr="00C104BB">
              <w:rPr>
                <w:noProof/>
                <w:sz w:val="18"/>
                <w:szCs w:val="18"/>
              </w:rPr>
              <w:t>(Miura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516b</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sEOPE, sLOPE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04386C" w:rsidRPr="00C104BB">
              <w:rPr>
                <w:noProof/>
                <w:sz w:val="18"/>
                <w:szCs w:val="18"/>
              </w:rPr>
              <w:t>(Miura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59</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516a-5p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sEOPE, sLOPE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{"citationItems":[{"id":"ITEM-1","itemData":{"DOI":"10.1111/jog.12749","abstract":"Aim To clarify the association between circulating chromosome 19 miRNA cluster (C19MC) microRNAs in maternal plasma and severe pre-eclampsia. Method Maternal blood samples (7mL) at 27-34 weeks of gestation were obtained from 20 pregnant women with severe pre-eclampsia (sPE group) and from 20 uncomplicated pregnant women (NP group). Twenty cases of severe pre-eclampsia were classified into late onset (sPELO group; n = 14) and early onset (sPEEO group; n = 6). Plasma concentration of C19MC microRNAs (miR-518b, -1323, -516b, -516a-5p, -525-5p, -515-5p, -520h, -520a-5p, -519d and -526b) was measured on quantitative real-time reverse transcription-polymerase chain reaction. Results The circulating levels of all 10 C19MC microRNAs in maternal plasma were significantly increased in the sPE group compared with the NP group. Plasma concentration of all 10 C19MC microRNAs tested was significantly increased in the sPEEO group compared with the NP group, while plasma concentration of nine miRNAs, except for miR-519d, was significantly increased in the sPELO group compared with the NP group. Of the 10 C19MC microRNAs measured, plasma concentration of eight miRNAs, except for miR-518b and miR-519d, was significantly increased in the sPEEO group compared with the sPELO group. Conclusions Increased levels of C19MC microRNAs in maternal plasma are a characteristic phenomenon of established severe pre-eclampsia, and it has been shown for the first time that the upregulation of C19MC miRNAs occurred as a consequence of, not in advance of, the onset of pre-eclampsia.","author":[{"dropping-particle":"","family":"Miura","given":"Kiyonori","non-dropping-particle":"","parse-names":false,"suffix":""},{"dropping-particle":"","family":"Higashijima","given":"Ai","non-dropping-particle":"","parse-names":false,"suffix":""},{"dropping-particle":"","family":"Murakami","given":"Yuko","non-dropping-particle":"","parse-names":false,"suffix":""},{"dropping-particle":"","family":"Tsukamoto","given":"Ozora","non-dropping-particle":"","parse-names":false,"suffix":""},{"dropping-particle":"","family":"Hasegawa","given":"Yuri","non-dropping-particle":"","parse-names":false,"suffix":""},{"dropping-particle":"","family":"Abe","given":"Shuhei","non-dropping-particle":"","parse-names":false,"suffix":""},{"dropping-particle":"","family":"Fuchi","given":"Naoki","non-dropping-particle":"","parse-names":false,"suffix":""},{"dropping-particle":"","family":"Miura","given":"Shoko","non-dropping-particle":"","parse-names":false,"suffix":""},{"dropping-particle":"","family":"Kaneuchi","given":"Masanori","non-dropping-particle":"","parse-names":false,"suffix":""},{"dropping-particle":"","family":"Masuzaki","given":"Hideaki","non-dropping-particle":"","parse-names":false,"suffix":""}],"container-title":"Journal of Obstetrics and Gynaecology Research","id":"ITEM-1","issue":"10","issued":{"date-parts":[["2015"]]},"page":"1526-1532","title":"Circulating chromosome 19 miRNA cluster microRNAs in pregnant women with severe pre-eclampsia","type":"article-journal","volume":"41"},"uris":["http://www.mendeley.com/documents/?uuid=cdb1465d-752b-3e49-9323-3f9c30c39854"]}],"mendeley":{"formattedCitation":"(Miura et al., 2015)","plainTextFormattedCitation":"(Miura et al., 2015)","previouslyFormattedCitation":"(Miura et al., 2015)"},"properties":{"noteIndex":0},"schema":"https://github.com/citation-style-language/schema/raw/master/csl-citation.json"}</w:instrText>
            </w:r>
            <w:r>
              <w:rPr>
                <w:sz w:val="18"/>
                <w:szCs w:val="18"/>
              </w:rPr>
              <w:fldChar w:fldCharType="separate"/>
            </w:r>
            <w:r w:rsidR="0004386C" w:rsidRPr="00C104BB">
              <w:rPr>
                <w:noProof/>
                <w:sz w:val="18"/>
                <w:szCs w:val="18"/>
              </w:rPr>
              <w:t>(Miura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59</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98</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 at delivery</w:t>
            </w:r>
          </w:p>
          <w:p w:rsidR="00460963" w:rsidRDefault="00460963" w:rsidP="009B2A14">
            <w:pPr>
              <w:spacing w:after="0"/>
              <w:jc w:val="center"/>
              <w:rPr>
                <w:color w:val="000000"/>
                <w:sz w:val="18"/>
                <w:szCs w:val="18"/>
              </w:rPr>
            </w:pPr>
            <w:r>
              <w:rPr>
                <w:color w:val="000000"/>
                <w:sz w:val="18"/>
                <w:szCs w:val="18"/>
              </w:rPr>
              <w:t>No difference in sPE 1 year after delivery</w:t>
            </w:r>
          </w:p>
          <w:p w:rsidR="00460963"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04386C" w:rsidRPr="00932CA1">
              <w:rPr>
                <w:noProof/>
                <w:sz w:val="18"/>
                <w:szCs w:val="18"/>
              </w:rPr>
              <w:t>(Murphy et al., 2015)</w:t>
            </w:r>
            <w:r>
              <w:rPr>
                <w:sz w:val="18"/>
                <w:szCs w:val="18"/>
              </w:rPr>
              <w:fldChar w:fldCharType="end"/>
            </w:r>
          </w:p>
          <w:p w:rsidR="0004386C"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04386C"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15b-5p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 and 1 year after</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No</w:t>
            </w:r>
          </w:p>
          <w:p w:rsidR="00460963" w:rsidRDefault="00460963" w:rsidP="009B2A14">
            <w:pPr>
              <w:spacing w:after="0"/>
              <w:jc w:val="center"/>
              <w:rPr>
                <w:color w:val="000000"/>
                <w:sz w:val="18"/>
                <w:szCs w:val="18"/>
              </w:rPr>
            </w:pPr>
            <w:r>
              <w:rPr>
                <w:color w:val="000000"/>
                <w:sz w:val="18"/>
                <w:szCs w:val="18"/>
              </w:rPr>
              <w:t>No</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{"citationItems":[{"id":"ITEM-1","itemData":{"DOI":"10.1016/j.ajog.2015.05.013","abstract":"Objective Preeclampsia (PE) is a hypertensive disorder of pregnancy characterized by widespread maternal endothelial dysfunction. Although clinical signs subside following delivery, long-term risks associated with PE include hypertension, stroke, and cardiovascular disease. MicroRNAs (miRNAs) are emerging as critical regulators of biological function, and while alterations to the miRNAome have been described in the context of pregnancy and PE, the postpartum implications of PE on miRNA expression is unknown. The goal of this study was to characterize circulating miRNA profiles at the time of delivery and at 1 year postpartum for women who did and did not develop PE. Study Design Using a targeted reverse transcription polymerase chain reaction approach, selected miRNAs putatively involved in the pathophysiology of PE were examined in 17 normotensive control and 13 PE maternal plasma samples at the time of delivery and 1 year postpartum. Ingenuity Pathway Analysis was used to map putative messenger RNA targets of differentially expressed miRNA to global molecular networks based on gene function. Results Significant increases (P &lt;.05) in 7 miRNAs with antiangiogenic, inflammatory, and apoptotic functions (miR-98-5p, miR-222-3p, miR-210-3p, miR-155-5p, miR-296-3p, miR-181a-5p, miR-29b-3p) were evident in maternal plasma at the time of severe PE compared to time-matched controls. Plasma samples from individuals who developed mild PE exhibited no changes compared to control samples for the subset of miRNAs analyzed here. Differential expression of plasma miRNA at the time of delivery for women with PE were largely resolved at 1 year postpartum, and reduced expression of only miR-221-3p (P &lt;.05) was evident. Network analysis of putative targets of differentially regulated miRNA identified 11 interacting networks with enrichment for proteins involved in cardiovascular disease, organ system development and function, and cell signaling and interaction. Conclusion The systemic effect of PE on maternal systems is evident in the circulating miRNAome with substantial alterations in miRNA expression in women who develop severe PE. In addition we provide novel evidence of disruption to miR-221 expression 1 year postpartum following a pregnancy complicated by PE compared to normotensive time-matched controls, which may allude to persistent inflammation in these women after delivery.","author":[{"dropping-particle":"","family":"Murphy","given":"Malia Su Qin","non-dropping-particle":"","parse-names":false,"suffix":""},{"dropping-particle":"","family":"Casselman","given":"Richard Cary","non-dropping-particle":"","parse-names":false,"suffix":""},{"dropping-particle":"","family":"Tayade","given":"Chandrakant","non-dropping-particle":"","parse-names":false,"suffix":""},{"dropping-particle":"","family":"Smith","given":"Graeme Neil","non-dropping-particle":"","parse-names":false,"suffix":""}],"container-title":"American Journal of Obstetrics and Gynecology","id":"ITEM-1","issue":"3","issued":{"date-parts":[["2015"]]},"page":"367.e1-367.e9","title":"Differential expression of plasma microRNA in preeclamptic patients at delivery and 1 year postpartum","type":"article-journal","volume":"213"},"uris":["http://www.mendeley.com/documents/?uuid=1a415707-ffa1-3707-a109-b5bbbd3029cf"]}],"mendeley":{"formattedCitation":"(Murphy et al., 2015)","plainTextFormattedCitation":"(Murphy et al., 2015)","previouslyFormattedCitation":"(Murphy et al., 2015)"},"properties":{"noteIndex":0},"schema":"https://github.com/citation-style-language/schema/raw/master/csl-citation.json"}</w:instrText>
            </w:r>
            <w:r>
              <w:rPr>
                <w:sz w:val="18"/>
                <w:szCs w:val="18"/>
              </w:rPr>
              <w:fldChar w:fldCharType="separate"/>
            </w:r>
            <w:r w:rsidR="0004386C" w:rsidRPr="00932CA1">
              <w:rPr>
                <w:noProof/>
                <w:sz w:val="18"/>
                <w:szCs w:val="18"/>
              </w:rPr>
              <w:t>(Murphy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04386C"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60</w:t>
            </w:r>
          </w:p>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135b</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142-3p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4E444E">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149</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Down in 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{"citationItems":[{"id":"ITEM-1","itemData":{"DOI":"10.1038/s41598-020-73783-w","ISSN":"20452322","PMID":"33093531","abstract":"Preeclampsia is a pregnancy complication associated with angiogenic dysbalance, maternal endothelial dysfunction and end-organ injury. A predictive test to identify those who will develop preeclampsia could substantially decrease morbidity and mortality. MicroRNAs (miRs) are small RNA molecules involved in post-transcriptional gene regulation. We screened for circulating miRs differentially expressed at 36 weeks’ gestation in pregnancies before the development of preeclampsia. We used a case–control group (198 controls, 34 pre-preeclampsia diagnosis) selected from a prospective cohort (n = 2015) and performed a PCR-based microarray to measure the expression of 41 miRs. We found six circulating miRs (miRs 363, 149, 18a, 1283, 16, 424) at 36 weeks' had significantly reduced expression (p &lt; 0.0001–0.04). miR363 was significantly downregulated at 28 weeks’ gestation, 10–12 weeks before the onset of clinical disease. In the circulation of another cohort of 34 participants with established preterm preeclampsia (vs 23 controls), we found miRs363, 18a, 149 and 16 were significantly down regulated (p &lt; 0.0001–0.04). Combined expression of miRs149 and 363 in the circulation at 36 weeks’ gestation provides a test with 45% sensitivity (at a specificity of 90%) which suggests measuring both miRs may have promise as part of a multi-marker test to predict preeclampsia.","author":[{"dropping-particle":"","family":"Whigham","given":"Carole Anne","non-dropping-particle":"","parse-names":false,"suffix":""},{"dropping-particle":"","family":"MacDonald","given":"Teresa M.","non-dropping-particle":"","parse-names":false,"suffix":""},{"dropping-particle":"","family":"Walker","given":"Susan P.","non-dropping-particle":"","parse-names":false,"suffix":""},{"dropping-particle":"","family":"Hiscock","given":"Richard","non-dropping-particle":"","parse-names":false,"suffix":""},{"dropping-particle":"","family":"Hannan","given":"Natalie J.","non-dropping-particle":"","parse-names":false,"suffix":""},{"dropping-particle":"","family":"Pritchard","given":"Natasha","non-dropping-particle":"","parse-names":false,"suffix":""},{"dropping-particle":"","family":"Cannon","given":"Ping","non-dropping-particle":"","parse-names":false,"suffix":""},{"dropping-particle":"","family":"Nguyen","given":"Tuong Vi","non-dropping-particle":"","parse-names":false,"suffix":""},{"dropping-particle":"","family":"Miranda","given":"Manisha","non-dropping-particle":"","parse-names":false,"suffix":""},{"dropping-particle":"","family":"Tong","given":"Stephen","non-dropping-particle":"","parse-names":false,"suffix":""},{"dropping-particle":"","family":"Kaitu’u-Lino","given":"Tu’uhevaha J.","non-dropping-particle":"","parse-names":false,"suffix":""}],"container-title":"Scientific Reports","id":"ITEM-1","issue":"1","issued":{"date-parts":[["2020","12","1"]]},"page":"18077","publisher":"Nature Research","title":"MicroRNAs 363 and 149 are differentially expressed in the maternal circulation preceding a diagnosis of preeclampsia","type":"article-journal","volume":"10"},"uris":["http://www.mendeley.com/documents/?uuid=168474e8-6878-3384-830b-0d80f3999b8b"]}],"mendeley":{"formattedCitation":"(Whigham et al., 2020)","plainTextFormattedCitation":"(Whigham et al., 2020)","previouslyFormattedCitation":"(Whigham et al., 2020)"},"properties":{"noteIndex":0},"schema":"https://github.com/citation-style-language/schema/raw/master/csl-citation.json"}</w:instrText>
            </w:r>
            <w:r>
              <w:rPr>
                <w:sz w:val="18"/>
                <w:szCs w:val="18"/>
              </w:rPr>
              <w:fldChar w:fldCharType="separate"/>
            </w:r>
            <w:r w:rsidR="0004386C" w:rsidRPr="0004386C">
              <w:rPr>
                <w:noProof/>
                <w:sz w:val="18"/>
                <w:szCs w:val="18"/>
              </w:rPr>
              <w:t>(Whigham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Whigham 2020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188-5p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18b</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 (chorionic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No difference in sPE</w:t>
            </w:r>
          </w:p>
          <w:p w:rsidR="00460963" w:rsidRDefault="00460963" w:rsidP="009B2A14">
            <w:pPr>
              <w:spacing w:after="0"/>
              <w:jc w:val="center"/>
              <w:rPr>
                <w:color w:val="000000"/>
                <w:sz w:val="18"/>
                <w:szCs w:val="18"/>
              </w:rPr>
            </w:pPr>
            <w:r>
              <w:rPr>
                <w:color w:val="000000"/>
                <w:sz w:val="18"/>
                <w:szCs w:val="18"/>
              </w:rPr>
              <w:t>Down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no</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04386C">
              <w:rPr>
                <w:rFonts w:ascii="Cambria Math" w:hAnsi="Cambria Math" w:cs="Cambria Math"/>
                <w:sz w:val="18"/>
                <w:szCs w:val="18"/>
              </w:rPr>
              <w:instrText>∼</w:instrText>
            </w:r>
            <w:r w:rsidR="0004386C">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04386C">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04386C" w:rsidRPr="00947753">
              <w:rPr>
                <w:noProof/>
                <w:sz w:val="18"/>
                <w:szCs w:val="18"/>
              </w:rPr>
              <w:t>(Zhang et al., 2015a)</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04386C">
              <w:rPr>
                <w:rFonts w:ascii="Cambria Math" w:hAnsi="Cambria Math" w:cs="Cambria Math"/>
                <w:sz w:val="18"/>
                <w:szCs w:val="18"/>
              </w:rPr>
              <w:instrText>∼</w:instrText>
            </w:r>
            <w:r w:rsidR="0004386C">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04386C">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04386C" w:rsidRPr="00947753">
              <w:rPr>
                <w:noProof/>
                <w:sz w:val="18"/>
                <w:szCs w:val="18"/>
              </w:rPr>
              <w:t>(Zhang et al., 2015a)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65</w:t>
            </w:r>
          </w:p>
          <w:p w:rsidR="00460963" w:rsidRDefault="00460963" w:rsidP="009B2A14">
            <w:pPr>
              <w:spacing w:after="0"/>
              <w:jc w:val="center"/>
              <w:rPr>
                <w:sz w:val="18"/>
                <w:szCs w:val="18"/>
              </w:rPr>
            </w:pPr>
            <w:r>
              <w:rPr>
                <w:sz w:val="18"/>
                <w:szCs w:val="18"/>
              </w:rPr>
              <w:t>65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203</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205</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27a</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MPB (serum)</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{"citationItems":[{"id":"ITEM-1","itemData":{"DOI":"10.3892/etm.2020.8924","ISSN":"1792-0981","abstract":"Preeclampsia (PE) is a severe idiopathic obstetric complication that occurs worldwide. Insufficient tropho-blast invasion is a characteristic of the pathogenesis of PE. MicroRNA-27a (miR-27a) has been reported to be highly expressed in PE placentas. The aim of the present study was to investigate the role and underlying mechanisms of miR-27a in the pathogenesis of PE. The expression level of miR-27a was evaluated in the placenta and serum from patients with PE and healthy pregnant women. Cell Counting Kit-8 and flow cytom-etry assays were performed to detect human HTR-8/SVneo trophoblast proliferation and apoptosis after miR-27a over-expression or inhibition. In addition, Transwell assays were used to measure cell migration and invasion. A luciferase reporter assay was performed to determine the interaction between miR-27a and SMAD2. The present results suggested that miR-27a expression level was significantly increased in PE placentas and serum. In addition, miR-27a overexpression suppressed cell migratory and invasive abilities, impaired proliferation and promoted apoptosis in human trophoblasts. It was demonstrated that miR-27a may target SMAD and contribute to trophoblast invasion. Collectively, the results of the present study suggested that miR-27a inhibited tropho-blast cell migration and invasion by targeting SMAD2, thus presenting a promising therapeutic target for PE.","author":[{"dropping-particle":"","family":"Zheng","given":"Wenfei","non-dropping-particle":"","parse-names":false,"suffix":""},{"dropping-particle":"","family":"Chen","given":"Aihua","non-dropping-particle":"","parse-names":false,"suffix":""},{"dropping-particle":"","family":"Yang","given":"Huaijie","non-dropping-particle":"","parse-names":false,"suffix":""},{"dropping-particle":"","family":"Hong","given":"Li","non-dropping-particle":"","parse-names":false,"suffix":""}],"container-title":"Experimental and Therapeutic Medicine","id":"ITEM-1","issue":"3","issued":{"date-parts":[["2020"]]},"page":"2262-2269","title":"MicroRNA</w:instrText>
            </w:r>
            <w:r w:rsidR="0004386C">
              <w:rPr>
                <w:rFonts w:ascii="MS Mincho" w:eastAsia="MS Mincho" w:hAnsi="MS Mincho" w:cs="MS Mincho" w:hint="eastAsia"/>
                <w:sz w:val="18"/>
                <w:szCs w:val="18"/>
              </w:rPr>
              <w:instrText>‑</w:instrText>
            </w:r>
            <w:r w:rsidR="0004386C">
              <w:rPr>
                <w:rFonts w:cs="Times New Roman"/>
                <w:sz w:val="18"/>
                <w:szCs w:val="18"/>
              </w:rPr>
              <w:instrText>27a inhibits trophoblast cell migration and invasion by targeting S</w:instrText>
            </w:r>
            <w:r w:rsidR="0004386C">
              <w:rPr>
                <w:sz w:val="18"/>
                <w:szCs w:val="18"/>
              </w:rPr>
              <w:instrText>MAD2: Potential role in preeclampsia","type":"article-journal","volume":"20"},"uris":["http://www.mendeley.com/documents/?uuid=816d8a71-26a4-31c4-9240-89018f088b5b"]}],"mendeley":{"formattedCitation":"(Zheng et al., 2020)","plainTextFormattedCitation":"(Zheng et al., 2020)","previouslyFormattedCitation":"(Zheng et al., 2020)"},"properties":{"noteIndex":0},"schema":"https://github.com/citation-style-language/schema/raw/master/csl-citation.json"}</w:instrText>
            </w:r>
            <w:r>
              <w:rPr>
                <w:sz w:val="18"/>
                <w:szCs w:val="18"/>
              </w:rPr>
              <w:fldChar w:fldCharType="separate"/>
            </w:r>
            <w:r w:rsidR="0004386C" w:rsidRPr="0004386C">
              <w:rPr>
                <w:noProof/>
                <w:sz w:val="18"/>
                <w:szCs w:val="18"/>
              </w:rPr>
              <w:t>(Zheng et al., 2020)</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{"citationItems":[{"id":"ITEM-1","itemData":{"DOI":"10.3892/etm.2020.8924","ISSN":"1792-0981","abstract":"Preeclampsia (PE) is a severe idiopathic obstetric complication that occurs worldwide. Insufficient tropho-blast invasion is a characteristic of the pathogenesis of PE. MicroRNA-27a (miR-27a) has been reported to be highly expressed in PE placentas. The aim of the present study was to investigate the role and underlying mechanisms of miR-27a in the pathogenesis of PE. The expression level of miR-27a was evaluated in the placenta and serum from patients with PE and healthy pregnant women. Cell Counting Kit-8 and flow cytom-etry assays were performed to detect human HTR-8/SVneo trophoblast proliferation and apoptosis after miR-27a over-expression or inhibition. In addition, Transwell assays were used to measure cell migration and invasion. A luciferase reporter assay was performed to determine the interaction between miR-27a and SMAD2. The present results suggested that miR-27a expression level was significantly increased in PE placentas and serum. In addition, miR-27a overexpression suppressed cell migratory and invasive abilities, impaired proliferation and promoted apoptosis in human trophoblasts. It was demonstrated that miR-27a may target SMAD and contribute to trophoblast invasion. Collectively, the results of the present study suggested that miR-27a inhibited tropho-blast cell migration and invasion by targeting SMAD2, thus presenting a promising therapeutic target for PE.","author":[{"dropping-particle":"","family":"Zheng","given":"Wenfei","non-dropping-particle":"","parse-names":false,"suffix":""},{"dropping-particle":"","family":"Chen","given":"Aihua","non-dropping-particle":"","parse-names":false,"suffix":""},{"dropping-particle":"","family":"Yang","given":"Huaijie","non-dropping-particle":"","parse-names":false,"suffix":""},{"dropping-particle":"","family":"Hong","given":"Li","non-dropping-particle":"","parse-names":false,"suffix":""}],"container-title":"Experimental and Therapeutic Medicine","id":"ITEM-1","issue":"3","issued":{"date-parts":[["2020"]]},"page":"2262-2269","title":"MicroRNA</w:instrText>
            </w:r>
            <w:r w:rsidR="0004386C">
              <w:rPr>
                <w:rFonts w:ascii="MS Mincho" w:eastAsia="MS Mincho" w:hAnsi="MS Mincho" w:cs="MS Mincho" w:hint="eastAsia"/>
                <w:sz w:val="18"/>
                <w:szCs w:val="18"/>
              </w:rPr>
              <w:instrText>‑</w:instrText>
            </w:r>
            <w:r w:rsidR="0004386C">
              <w:rPr>
                <w:rFonts w:cs="Times New Roman"/>
                <w:sz w:val="18"/>
                <w:szCs w:val="18"/>
              </w:rPr>
              <w:instrText>27a inhibits trophoblast cell migration and invasion by targeting SMAD2: Potential role in preeclampsia","type":"article-journal","volume":"20"},"uris":["http://www.mendeley.com/documents/?uuid=816d8a71-26a4-3</w:instrText>
            </w:r>
            <w:r w:rsidR="0004386C">
              <w:rPr>
                <w:sz w:val="18"/>
                <w:szCs w:val="18"/>
              </w:rPr>
              <w:instrText>1c4-9240-89018f088b5b"]}],"mendeley":{"formattedCitation":"(Zheng et al., 2020)","plainTextFormattedCitation":"(Zheng et al., 2020)","previouslyFormattedCitation":"(Zheng et al., 2020)"},"properties":{"noteIndex":0},"schema":"https://github.com/citation-style-language/schema/raw/master/csl-citation.json"}</w:instrText>
            </w:r>
            <w:r>
              <w:rPr>
                <w:sz w:val="18"/>
                <w:szCs w:val="18"/>
              </w:rPr>
              <w:fldChar w:fldCharType="separate"/>
            </w:r>
            <w:r w:rsidR="0004386C" w:rsidRPr="0004386C">
              <w:rPr>
                <w:noProof/>
                <w:sz w:val="18"/>
                <w:szCs w:val="18"/>
              </w:rPr>
              <w:t>(Zheng et al., 2020)</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Zheng W 2020</w:t>
            </w:r>
          </w:p>
          <w:p w:rsidR="00460963" w:rsidRDefault="00460963" w:rsidP="009B2A14">
            <w:pPr>
              <w:spacing w:after="0"/>
              <w:jc w:val="center"/>
              <w:rPr>
                <w:sz w:val="18"/>
                <w:szCs w:val="18"/>
              </w:rPr>
            </w:pPr>
            <w:r>
              <w:rPr>
                <w:sz w:val="18"/>
                <w:szCs w:val="18"/>
              </w:rPr>
              <w:t>Zheng W 2020</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27a-3p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04386C" w:rsidRPr="00FF4CEA">
              <w:rPr>
                <w:noProof/>
                <w:sz w:val="18"/>
                <w:szCs w:val="18"/>
              </w:rPr>
              <w:t>(Luizon et al., 2021)</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Luizon 2021</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301-3p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518a-3p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lastRenderedPageBreak/>
              <w:t>518e</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Yes</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74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93</w:t>
            </w:r>
          </w:p>
        </w:tc>
        <w:tc>
          <w:tcPr>
            <w:tcW w:w="2136" w:type="dxa"/>
            <w:vAlign w:val="center"/>
          </w:tcPr>
          <w:p w:rsidR="00460963" w:rsidRDefault="00460963" w:rsidP="009B2A14">
            <w:pPr>
              <w:spacing w:after="0"/>
              <w:jc w:val="center"/>
              <w:rPr>
                <w:color w:val="000000"/>
                <w:sz w:val="18"/>
                <w:szCs w:val="18"/>
              </w:rPr>
            </w:pPr>
            <w:r>
              <w:rPr>
                <w:color w:val="000000"/>
                <w:sz w:val="18"/>
                <w:szCs w:val="18"/>
              </w:rPr>
              <w:t>MPB (plasma)</w:t>
            </w:r>
          </w:p>
          <w:p w:rsidR="00460963" w:rsidRDefault="00460963" w:rsidP="009B2A14">
            <w:pPr>
              <w:spacing w:after="0"/>
              <w:jc w:val="center"/>
              <w:rPr>
                <w:color w:val="000000"/>
                <w:sz w:val="18"/>
                <w:szCs w:val="18"/>
              </w:rPr>
            </w:pPr>
            <w:r>
              <w:rPr>
                <w:color w:val="000000"/>
                <w:sz w:val="18"/>
                <w:szCs w:val="18"/>
              </w:rPr>
              <w:t>Placenta</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Up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NR</w:t>
            </w:r>
          </w:p>
          <w:p w:rsidR="00460963" w:rsidRDefault="00460963" w:rsidP="009B2A14">
            <w:pPr>
              <w:spacing w:after="0"/>
              <w:jc w:val="center"/>
              <w:rPr>
                <w:color w:val="000000"/>
                <w:sz w:val="18"/>
                <w:szCs w:val="18"/>
              </w:rPr>
            </w:pPr>
            <w:r>
              <w:rPr>
                <w:color w:val="000000"/>
                <w:sz w:val="18"/>
                <w:szCs w:val="18"/>
              </w:rPr>
              <w:t>NR</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{"citationItems":[{"id":"ITEM-1","itemData":{"DOI":"10.3892/mmr.2015.3414","abstract":"Emerging evidence indicates that microRNAs (miRNAs), a class of small non-coding RNAs, are involved in a number of biological processes. The results of SOLiD™ sequencing were used to analyze differentially expressed miRNA profiles in the plasma and placenta of patients with preeclampsia (PE) and a subject who had had a pregnancy without complications. miRNAs were identified that were consistently expressed in the placenta, following normalization of the raw data. miRNAs that had increased and differential expression were selected, as defined by percentage &gt;0.02% and a log2 fold change ≥|1.2|, respectively. This process was repeated in the plasma. Twenty such miRNAs were identified. These were: miR-126, miR-126</w:instrText>
            </w:r>
            <w:r w:rsidR="0004386C">
              <w:rPr>
                <w:rFonts w:ascii="Cambria Math" w:hAnsi="Cambria Math" w:cs="Cambria Math"/>
                <w:sz w:val="18"/>
                <w:szCs w:val="18"/>
              </w:rPr>
              <w:instrText>∗</w:instrText>
            </w:r>
            <w:r w:rsidR="0004386C">
              <w:rPr>
                <w:rFonts w:cs="Times New Roman"/>
                <w:sz w:val="18"/>
                <w:szCs w:val="18"/>
              </w:rPr>
              <w:instrText>, miR-130a, miR-135b, miR-142-3p, miR-149, miR-188</w:instrText>
            </w:r>
            <w:r w:rsidR="0004386C">
              <w:rPr>
                <w:sz w:val="18"/>
                <w:szCs w:val="18"/>
              </w:rPr>
              <w:instrText>-5p, miR-18a, miR-18b, miR-203, miR-205, miR-224, miR-27a, miR-29a, miR-301a, miR-517c, miR-518-3p, miR-518e, miR-519d and miR-93. These miRNAs belonged to 13 clusters or families. However, only four clusters or families involved two or more of these miRNAs. These were the mir-16 cluster, the mir-17 family, the mir-130 family and the mir-517 family. These abnormally-expressed miRNAs and miRNA gene clusters or families are known to be involved in a number of biological processes. Gene enrichment analysis was used to investigate the pathways involved in the development of PE. In conclusion, the miRNAs identified in this study as being abnormally expressed in PE, may be useful as non-invasive diagnostic biomarkers. Co-regulated mRNAs and possible causal pathways involved in the pathogenesis of PE were also identified.","author":[{"dropping-particle":"","family":"Yang","given":"Sheng","non-dropping-particle":"","parse-names":false,"suffix":""},{"dropping-particle":"","family":"Li","given":"Hailing","non-dropping-particle":"","parse-names":false,"suffix":""},{"dropping-particle":"","family":"Ge","given":"Qinyu","non-dropping-particle":"","parse-names":false,"suffix":""},{"dropping-particle":"","family":"Guo","given":"Li","non-dropping-particle":"","parse-names":false,"suffix":""},{"dropping-particle":"","family":"Chen","given":"Feng","non-dropping-particle":"","parse-names":false,"suffix":""}],"container-title":"Molecular Medicine Reports","id":"ITEM-1","issue":"1","issued":{"date-parts":[["2015"]]},"page":"527-534","title":"Deregulated microRNA species in the plasma and placenta of patients with preeclampsia","type":"article-journal","volume":"12"},"uris":["http://www.mendeley.com/documents/?uuid=d5e68ecc-b638-3a96-a7b1-042fc5449da3"]}],"mendeley":{"formattedCitation":"(Yang et al., 2015)","plainTextFormattedCitation":"(Yang et al., 2015)","previouslyFormattedCitation":"(Yang et al., 2015)"},"properties":{"noteIndex":0},"schema":"https://github.com/citation-style-language/schema/raw/master/csl-citation.json"}</w:instrText>
            </w:r>
            <w:r>
              <w:rPr>
                <w:sz w:val="18"/>
                <w:szCs w:val="18"/>
              </w:rPr>
              <w:fldChar w:fldCharType="separate"/>
            </w:r>
            <w:r w:rsidR="0004386C" w:rsidRPr="00FF4CEA">
              <w:rPr>
                <w:noProof/>
                <w:sz w:val="18"/>
                <w:szCs w:val="18"/>
              </w:rPr>
              <w:t>(Yang et al., 2015)</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64</w:t>
            </w:r>
          </w:p>
          <w:p w:rsidR="00460963" w:rsidRDefault="00460963" w:rsidP="009B2A14">
            <w:pPr>
              <w:spacing w:after="0"/>
              <w:jc w:val="center"/>
              <w:rPr>
                <w:sz w:val="18"/>
                <w:szCs w:val="18"/>
              </w:rPr>
            </w:pPr>
            <w:r>
              <w:rPr>
                <w:sz w:val="18"/>
                <w:szCs w:val="18"/>
              </w:rPr>
              <w:t>64</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106</w:t>
            </w:r>
          </w:p>
        </w:tc>
        <w:tc>
          <w:tcPr>
            <w:tcW w:w="2136" w:type="dxa"/>
            <w:vAlign w:val="center"/>
          </w:tcPr>
          <w:p w:rsidR="00460963" w:rsidRDefault="00460963" w:rsidP="009B2A14">
            <w:pPr>
              <w:spacing w:after="0"/>
              <w:jc w:val="center"/>
              <w:rPr>
                <w:color w:val="000000"/>
                <w:sz w:val="18"/>
                <w:szCs w:val="18"/>
              </w:rPr>
            </w:pPr>
            <w:r>
              <w:rPr>
                <w:color w:val="000000"/>
                <w:sz w:val="18"/>
                <w:szCs w:val="18"/>
              </w:rPr>
              <w:t>Placenta (basal plate)</w:t>
            </w:r>
          </w:p>
          <w:p w:rsidR="00460963" w:rsidRDefault="00460963" w:rsidP="009B2A14">
            <w:pPr>
              <w:spacing w:after="0"/>
              <w:jc w:val="center"/>
              <w:rPr>
                <w:color w:val="000000"/>
                <w:sz w:val="18"/>
                <w:szCs w:val="18"/>
              </w:rPr>
            </w:pPr>
            <w:r>
              <w:rPr>
                <w:color w:val="000000"/>
                <w:sz w:val="18"/>
                <w:szCs w:val="18"/>
              </w:rPr>
              <w:t>Placenta (chorionic plate)</w:t>
            </w:r>
          </w:p>
        </w:tc>
        <w:tc>
          <w:tcPr>
            <w:tcW w:w="2859" w:type="dxa"/>
            <w:vAlign w:val="center"/>
          </w:tcPr>
          <w:p w:rsidR="00460963" w:rsidRDefault="00460963" w:rsidP="009B2A14">
            <w:pPr>
              <w:spacing w:after="0"/>
              <w:jc w:val="center"/>
              <w:rPr>
                <w:color w:val="000000"/>
                <w:sz w:val="18"/>
                <w:szCs w:val="18"/>
              </w:rPr>
            </w:pPr>
            <w:r>
              <w:rPr>
                <w:color w:val="000000"/>
                <w:sz w:val="18"/>
                <w:szCs w:val="18"/>
              </w:rPr>
              <w:t>Up in sPE</w:t>
            </w:r>
          </w:p>
          <w:p w:rsidR="00460963"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Yes</w:t>
            </w:r>
          </w:p>
          <w:p w:rsidR="00460963" w:rsidRDefault="00460963" w:rsidP="009B2A14">
            <w:pPr>
              <w:spacing w:after="0"/>
              <w:jc w:val="center"/>
              <w:rPr>
                <w:color w:val="000000"/>
                <w:sz w:val="18"/>
                <w:szCs w:val="18"/>
              </w:rPr>
            </w:pPr>
            <w:r>
              <w:rPr>
                <w:color w:val="000000"/>
                <w:sz w:val="18"/>
                <w:szCs w:val="18"/>
              </w:rPr>
              <w:t xml:space="preserve">No </w:t>
            </w:r>
          </w:p>
        </w:tc>
        <w:tc>
          <w:tcPr>
            <w:tcW w:w="2977" w:type="dxa"/>
          </w:tcPr>
          <w:p w:rsidR="0004386C"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04386C">
              <w:rPr>
                <w:rFonts w:ascii="Cambria Math" w:hAnsi="Cambria Math" w:cs="Cambria Math"/>
                <w:sz w:val="18"/>
                <w:szCs w:val="18"/>
              </w:rPr>
              <w:instrText>∼</w:instrText>
            </w:r>
            <w:r w:rsidR="0004386C">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04386C">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04386C" w:rsidRPr="00947753">
              <w:rPr>
                <w:noProof/>
                <w:sz w:val="18"/>
                <w:szCs w:val="18"/>
              </w:rPr>
              <w:t>(Zhang et al., 2015a)</w:t>
            </w:r>
            <w:r>
              <w:rPr>
                <w:sz w:val="18"/>
                <w:szCs w:val="18"/>
              </w:rPr>
              <w:fldChar w:fldCharType="end"/>
            </w:r>
          </w:p>
          <w:p w:rsidR="00460963" w:rsidRDefault="00E33D6E" w:rsidP="0004386C">
            <w:pPr>
              <w:spacing w:after="0"/>
              <w:jc w:val="center"/>
              <w:rPr>
                <w:sz w:val="18"/>
                <w:szCs w:val="18"/>
              </w:rPr>
            </w:pPr>
            <w:r>
              <w:rPr>
                <w:sz w:val="18"/>
                <w:szCs w:val="18"/>
              </w:rPr>
              <w:fldChar w:fldCharType="begin" w:fldLock="1"/>
            </w:r>
            <w:r w:rsidR="0004386C">
              <w:rPr>
                <w:sz w:val="18"/>
                <w:szCs w:val="18"/>
              </w:rPr>
              <w:instrText>ADDIN CSL_CITATION {"citationItems":[{"id":"ITEM-1","itemData":{"DOI":"10.1016/j.placenta.2014.11.020","abstract":"Preeclampsia (PE) is the leading cause of maternal and perinatal mortality and morbidity. MicroRNAs are strongly implicated in the pathogenesis of this syndrome. In current study, we performed a microarray assay to explore miRNA expression profile in the placenta, and found 11 upregulated and 7 downregulated miRNAs in preeclampsia. miR-363, plus other 5 member of miR-106a</w:instrText>
            </w:r>
            <w:r w:rsidR="0004386C">
              <w:rPr>
                <w:rFonts w:ascii="Cambria Math" w:hAnsi="Cambria Math" w:cs="Cambria Math"/>
                <w:sz w:val="18"/>
                <w:szCs w:val="18"/>
              </w:rPr>
              <w:instrText>∼</w:instrText>
            </w:r>
            <w:r w:rsidR="0004386C">
              <w:rPr>
                <w:rFonts w:cs="Times New Roman"/>
                <w:sz w:val="18"/>
                <w:szCs w:val="18"/>
              </w:rPr>
              <w:instrText>363 cluster was further examined and validated. These findings would facilitate further investigation of aberrant expression of miRNAs in the pathology of preeclampsia.","author":[{"dropping-particle":"","family":</w:instrText>
            </w:r>
            <w:r w:rsidR="0004386C">
              <w:rPr>
                <w:sz w:val="18"/>
                <w:szCs w:val="18"/>
              </w:rPr>
              <w:instrText>"Zhang","given":"C.","non-dropping-particle":"","parse-names":false,"suffix":""},{"dropping-particle":"","family":"Li","given":"Q.","non-dropping-particle":"","parse-names":false,"suffix":""},{"dropping-particle":"","family":"Ren","given":"N.","non-dropping-particle":"","parse-names":false,"suffix":""},{"dropping-particle":"","family":"Li","given":"C.","non-dropping-particle":"","parse-names":false,"suffix":""},{"dropping-particle":"","family":"Wang","given":"X.","non-dropping-particle":"","parse-names":false,"suffix":""},{"dropping-particle":"","family":"Xie","given":"M.","non-dropping-particle":"","parse-names":false,"suffix":""},{"dropping-particle":"","family":"Gao","given":"Z.","non-dropping-particle":"","parse-names":false,"suffix":""},{"dropping-particle":"","family":"Pan","given":"Z.","non-dropping-particle":"","parse-names":false,"suffix":""},{"dropping-particle":"","family":"Zhao","given":"C.","non-dropping-particle":"","parse-names":false,"suffix":""},{"dropping-particle":"","family":"Ren","given":"C.","non-dropping-particle":"","parse-names":false,"suffix":""},{"dropping-particle":"","family":"Yang","given":"W.","non-dropping-particle":"","parse-names":false,"suffix":""}],"container-title":"Placenta","id":"ITEM-1","issue":"2","issued":{"date-parts":[["2015"]]},"page":"250-252","title":"Placental miR-106a-363 cluster is dysregulated in preeclamptic placenta","type":"article-journal","volume":"36"},"uris":["http://www.mendeley.com/documents/?uuid=1fa1221a-281d-3eb0-89c9-b84fb015bd14"]}],"mendeley":{"formattedCitation":"(Zhang et al., 2015a)","plainTextFormattedCitation":"(Zhang et al., 2015a)","previouslyFormattedCitation":"(Zhang et al., 2015a)"},"properties":{"noteIndex":0},"schema":"https://github.com/citation-style-language/schema/raw/master/csl-citation.json"}</w:instrText>
            </w:r>
            <w:r>
              <w:rPr>
                <w:sz w:val="18"/>
                <w:szCs w:val="18"/>
              </w:rPr>
              <w:fldChar w:fldCharType="separate"/>
            </w:r>
            <w:r w:rsidR="0004386C" w:rsidRPr="00947753">
              <w:rPr>
                <w:noProof/>
                <w:sz w:val="18"/>
                <w:szCs w:val="18"/>
              </w:rPr>
              <w:t>(Zhang et al., 2015a)</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65</w:t>
            </w:r>
          </w:p>
          <w:p w:rsidR="00460963" w:rsidRDefault="00460963" w:rsidP="009B2A14">
            <w:pPr>
              <w:spacing w:after="0"/>
              <w:jc w:val="center"/>
              <w:rPr>
                <w:sz w:val="18"/>
                <w:szCs w:val="18"/>
              </w:rPr>
            </w:pPr>
            <w:r>
              <w:rPr>
                <w:sz w:val="18"/>
                <w:szCs w:val="18"/>
              </w:rPr>
              <w:t>65</w:t>
            </w:r>
          </w:p>
        </w:tc>
      </w:tr>
      <w:tr w:rsidR="00460963" w:rsidRPr="00F80C43" w:rsidTr="00B00CA2">
        <w:trPr>
          <w:cantSplit/>
          <w:jc w:val="center"/>
        </w:trPr>
        <w:tc>
          <w:tcPr>
            <w:tcW w:w="886" w:type="dxa"/>
            <w:vAlign w:val="center"/>
          </w:tcPr>
          <w:p w:rsidR="00460963" w:rsidRDefault="00460963" w:rsidP="009B2A14">
            <w:pPr>
              <w:spacing w:after="0"/>
              <w:jc w:val="center"/>
              <w:rPr>
                <w:color w:val="000000"/>
                <w:sz w:val="18"/>
                <w:szCs w:val="18"/>
              </w:rPr>
            </w:pPr>
            <w:r>
              <w:rPr>
                <w:color w:val="000000"/>
                <w:sz w:val="18"/>
                <w:szCs w:val="18"/>
              </w:rPr>
              <w:t>499a-5p</w:t>
            </w:r>
          </w:p>
        </w:tc>
        <w:tc>
          <w:tcPr>
            <w:tcW w:w="2136" w:type="dxa"/>
            <w:vAlign w:val="center"/>
          </w:tcPr>
          <w:p w:rsidR="00460963" w:rsidRDefault="00460963" w:rsidP="009B2A14">
            <w:pPr>
              <w:spacing w:after="0"/>
              <w:jc w:val="center"/>
              <w:rPr>
                <w:color w:val="000000"/>
                <w:sz w:val="18"/>
                <w:szCs w:val="18"/>
              </w:rPr>
            </w:pPr>
            <w:r>
              <w:rPr>
                <w:color w:val="000000"/>
                <w:sz w:val="18"/>
                <w:szCs w:val="18"/>
              </w:rPr>
              <w:t>MPB (whole blood)</w:t>
            </w:r>
          </w:p>
        </w:tc>
        <w:tc>
          <w:tcPr>
            <w:tcW w:w="2859" w:type="dxa"/>
            <w:vAlign w:val="center"/>
          </w:tcPr>
          <w:p w:rsidR="00460963" w:rsidRDefault="00460963" w:rsidP="009B2A14">
            <w:pPr>
              <w:spacing w:after="0"/>
              <w:jc w:val="center"/>
              <w:rPr>
                <w:color w:val="000000"/>
                <w:sz w:val="18"/>
                <w:szCs w:val="18"/>
              </w:rPr>
            </w:pPr>
            <w:r>
              <w:rPr>
                <w:color w:val="000000"/>
                <w:sz w:val="18"/>
                <w:szCs w:val="18"/>
              </w:rPr>
              <w:t>No difference in sPE</w:t>
            </w:r>
          </w:p>
        </w:tc>
        <w:tc>
          <w:tcPr>
            <w:tcW w:w="1173" w:type="dxa"/>
            <w:vAlign w:val="center"/>
          </w:tcPr>
          <w:p w:rsidR="00460963" w:rsidRDefault="00460963" w:rsidP="009B2A14">
            <w:pPr>
              <w:spacing w:after="0"/>
              <w:jc w:val="center"/>
              <w:rPr>
                <w:color w:val="000000"/>
                <w:sz w:val="18"/>
                <w:szCs w:val="18"/>
              </w:rPr>
            </w:pPr>
            <w:r>
              <w:rPr>
                <w:color w:val="000000"/>
                <w:sz w:val="18"/>
                <w:szCs w:val="18"/>
              </w:rPr>
              <w:t xml:space="preserve">No </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{"citationItems":[{"id":"ITEM-1","itemData":{"DOI":"10.1016/j.thromres.2015.11.032","abstract":"Aims To demonstrate that pregnancy-related complications are associated with alterations in cardiovascular and cerebrovascular microRNA expression. Gene expression of 29 microRNAs (miR-1-3p, miR-16-5p, miR-17-5p, miR-20a-5p, miR-20b-5p, miR-21-5p, miR-23a-3p, miR-24-3p, miR-26a-5p, miR-29a-3p, miR-92a-3p, miR-100-5p, miR-103a-3p, miR-122-5p, miR-125b-5p, miR-126-3p, miR-130b-3p, miR-133a-3p, miR-143-3p, miR-145-5p, miR-146a-5p, miR-181a-5p, miR-195-5p, miR-199a-5p, miR-210-3p, miR-221-3p, miR-342-3p, miR-499a-5p, and miR-574-3p) was assessed in maternal whole peripheral blood, compared between groups (39 gestational hypertension, 68 preeclampsia, 33 intrauterine growth restriction and 20 normal pregnancies) and correlated with the severity of the disease with respect to clinical signs, delivery date, and Doppler ultrasound parameters. Initially, selection and validation of endogenous controls for microRNA expression studies in patients affected by pregnancy-related complications have been carried out. Results The expression profile of microRNAs was different between pregnancy-related complications and controls. The down-regulation of miR-100-5p, miR-125b-5p and miR-199a-5p was a common phenomenon shared between gestational hypertension, preeclampsia, and intrauterine growth restriction. Moreover, IUGR pregnancies induced down-regulation of miR-17-5p, miR-146a-5p, miR-221-3p and miR-574-3p in maternal circulation. Irrespective of the severity of the disease, preeclampsia was associated with the dysregulation of miR-100-5p and miR-125b-5p and IUGR with dysregulation of miR-199a-5p. Preeclampsia requiring termination of gestation before 34 weeks was associated with down-regulation of miR-146a-5p, miR-199a-5p and miR-221-3p. Weak negative correlation between miR-146a-5p and miR-221-3p expression and the pulsatility index in the umbilical artery was found. Additional microRNAs (miR-103a-3p, miR-126-3p, miR-195-5p and miR-499a-5p) showed a trend to down-regulation in appropriate pregnancy-related complications. Conclusion Epigenetic changes are induced by pregnancy-related complications in maternal whole peripheral blood.","author":[{"dropping-particle":"","family":"Hromadnikova","given":"Ilona","non-dropping-particle":"","parse-names":false,"suffix":""},{"dropping-particle":"","family":"Kotlabova","given":"Katerina","non-dropping-particle":"","parse-names":false,"suffix":""},{"dropping-particle":"","family":"Hympanova","given":"Lucie","non-dropping-particle":"","parse-names":false,"suffix":""},{"dropping-particle":"","family":"Krofta","given":"Ladislav","non-dropping-particle":"","parse-names":false,"suffix":""}],"container-title":"Thrombosis Research","id":"ITEM-1","issued":{"date-parts":[["2016"]]},"page":"126-140","title":"Gestational hypertension, preeclampsia and intrauterine growth restriction induce dysregulation of cardiovascular and cerebrovascular disease associated microRNAs in maternal whole peripheral blood","type":"article-journal","volume":"137"},"uris":["http://www.mendeley.com/documents/?uuid=e9b195a6-0e2e-3db2-aa26-a83be0e552ca"]}],"mendeley":{"formattedCitation":"(Hromadnikova et al., 2016)","plainTextFormattedCitation":"(Hromadnikova et al., 2016)","previouslyFormattedCitation":"(Hromadnikova et al., 2016)"},"properties":{"noteIndex":0},"schema":"https://github.com/citation-style-language/schema/raw/master/csl-citation.json"}</w:instrText>
            </w:r>
            <w:r>
              <w:rPr>
                <w:sz w:val="18"/>
                <w:szCs w:val="18"/>
              </w:rPr>
              <w:fldChar w:fldCharType="separate"/>
            </w:r>
            <w:r w:rsidR="0004386C" w:rsidRPr="00BB7CB7">
              <w:rPr>
                <w:noProof/>
                <w:sz w:val="18"/>
                <w:szCs w:val="18"/>
              </w:rPr>
              <w:t>(Hromadnikova et al., 2016)</w:t>
            </w:r>
            <w:r>
              <w:rPr>
                <w:sz w:val="18"/>
                <w:szCs w:val="18"/>
              </w:rPr>
              <w:fldChar w:fldCharType="end"/>
            </w:r>
          </w:p>
        </w:tc>
        <w:tc>
          <w:tcPr>
            <w:tcW w:w="1791" w:type="dxa"/>
            <w:vAlign w:val="center"/>
          </w:tcPr>
          <w:p w:rsidR="00460963" w:rsidRDefault="00460963" w:rsidP="009B2A14">
            <w:pPr>
              <w:spacing w:after="0"/>
              <w:jc w:val="center"/>
              <w:rPr>
                <w:sz w:val="18"/>
                <w:szCs w:val="18"/>
              </w:rPr>
            </w:pPr>
            <w:r>
              <w:rPr>
                <w:sz w:val="18"/>
                <w:szCs w:val="18"/>
              </w:rPr>
              <w:t>66</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518c</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color w:val="000000"/>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74</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532</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color w:val="000000"/>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74</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518f-5p</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color w:val="000000"/>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74</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527</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color w:val="000000"/>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04386C">
              <w:rPr>
                <w:sz w:val="18"/>
                <w:szCs w:val="18"/>
              </w:rPr>
              <w:instrText>ADDIN CSL_CITATION {"citationItems":[{"id":"ITEM-1","itemData":{"DOI":"10.3892/mmr.2016.5268","abstract":"Pre-eclampsia (PE) is a complication of pregnancy that affects 5-8% of women after 20 weeks of gestation. It is usually diagnosed based on the de novo onset of hypertension and proteinuria. Preexisting hypertension in women developing PE, also known as superimposed PE on chronic hypertension (SPE), leads to elevated risk of maternal and fetal mortality. PE is associated with an altered microRNA (miRNA) expression pattern in the placenta, suggesting that miRNA deregulation is involved in the pathogenesis of PE. Whether and how the miRNA expression pattern is changed in the SPE placenta remains unclear. The present study analyzed the placental miRNA expression profile in pregnancies complicated by SPE. miRNA expression profiles in SPE and normal placentas were investigated using an Ion Torrent sequencing system. Sequencing data were processed using a comprehensive analysis pipeline for deep miRNA sequencing (CAP-miRSeq). A total of 22 miRNAs were identified to be deregulated in placentas from patients with SPE. They included 16 miRNAs previously known to be associated with PE and 6 novel miRNAs. Among the 6 novel miRNAs, 4 were upregulated (miR-518a, miR-527, miR-518e and miR-4532) and 2 downregulated (miR-98 and miR-135b) in SPE placentas compared with controls. The present results suggest that SPE is associated with specific alterations in the placental miRNA expression pattern, which differ from alterations detected in PE placentas, and therefore, provide novel targets for further investigation of the molecular mechanisms underlying SPE pathogenesis.","author":[{"dropping-particle":"","family":"Vashukova","given":"Elena S.","non-dropping-particle":"","parse-names":false,"suffix":""},{"dropping-particle":"","family":"Glotov","given":"Andrey S.","non-dropping-particle":"","parse-names":false,"suffix":""},{"dropping-particle":"V.","family":"Fedotov","given":"Pavel","non-dropping-particle":"","parse-names":false,"suffix":""},{"dropping-particle":"","family":"Efimova","given":"Olga A.","non-dropping-particle":"","parse-names":false,"suffix":""},{"dropping-particle":"","family":"Pakin","given":"Vladimir S.","non-dropping-particle":"","parse-names":false,"suffix":""},{"dropping-particle":"V.","family":"Mozgovaya","given":"Elena","non-dropping-particle":"","parse-names":false,"suffix":""},{"dropping-particle":"","family":"Pendina","given":"Anna A.","non-dropping-particle":"","parse-names":false,"suffix":""},{"dropping-particle":"V.","family":"Tikhonov","given":"Andrei","non-dropping-particle":"","parse-names":false,"suffix":""},{"dropping-particle":"","family":"Koltsova","given":"Alla S.","non-dropping-particle":"","parse-names":false,"suffix":""},{"dropping-particle":"","family":"Baranov","given":"Vladislav S.","non-dropping-particle":"","parse-names":false,"suffix":""}],"container-title":"Molecular Medicine Reports","id":"ITEM-1","issue":"1","issued":{"date-parts":[["2016"]]},"page":"22-32","title":"Placental microRNA expression in pregnancies complicated by superimposed pre</w:instrText>
            </w:r>
            <w:r w:rsidR="0004386C">
              <w:rPr>
                <w:rFonts w:ascii="MS Mincho" w:eastAsia="MS Mincho" w:hAnsi="MS Mincho" w:cs="MS Mincho" w:hint="eastAsia"/>
                <w:sz w:val="18"/>
                <w:szCs w:val="18"/>
              </w:rPr>
              <w:instrText>‑</w:instrText>
            </w:r>
            <w:r w:rsidR="0004386C">
              <w:rPr>
                <w:rFonts w:cs="Times New Roman"/>
                <w:sz w:val="18"/>
                <w:szCs w:val="18"/>
              </w:rPr>
              <w:instrText>eclampsia o</w:instrText>
            </w:r>
            <w:r w:rsidR="0004386C">
              <w:rPr>
                <w:sz w:val="18"/>
                <w:szCs w:val="18"/>
              </w:rPr>
              <w:instrText>n chronic hypertension","type":"article-journal","volume":"14"},"uris":["http://www.mendeley.com/documents/?uuid=8c21521a-bf02-30cb-a1fe-63aaf730a203"]}],"mendeley":{"formattedCitation":"(Vashukova et al., 2016)","plainTextFormattedCitation":"(Vashukova et al., 2016)","previouslyFormattedCitation":"(Vashukova et al., 2016)"},"properties":{"noteIndex":0},"schema":"https://github.com/citation-style-language/schema/raw/master/csl-citation.json"}</w:instrText>
            </w:r>
            <w:r>
              <w:rPr>
                <w:sz w:val="18"/>
                <w:szCs w:val="18"/>
              </w:rPr>
              <w:fldChar w:fldCharType="separate"/>
            </w:r>
            <w:r w:rsidR="0004386C" w:rsidRPr="00FA32AE">
              <w:rPr>
                <w:noProof/>
                <w:sz w:val="18"/>
                <w:szCs w:val="18"/>
              </w:rPr>
              <w:t>(Vashukova et al., 2016)</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74</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300</w:t>
            </w:r>
          </w:p>
        </w:tc>
        <w:tc>
          <w:tcPr>
            <w:tcW w:w="2136" w:type="dxa"/>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Up in sPE</w:t>
            </w:r>
          </w:p>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{"citationItems":[{"id":"ITEM-1","itemData":{"abstract":"The differentially expressed microRNAs (miRs) in pregnancy-related complications have not been completely clarified.","author":[{"dropping-particle":"","family":"Gao","given":"Shan","non-dropping-particle":"","parse-names":false,"suffix":""},{"dropping-particle":"","family":"Wang","given":"Yuping","non-dropping-particle":"","parse-names":false,"suffix":""},{"dropping-particle":"","family":"Han","given":"Suhui","non-dropping-particle":"","parse-names":false,"suffix":""},{"dropping-particle":"","family":"Zhang","given":"Qingxia","non-dropping-particle":"","parse-names":false,"suffix":""}],"container-title":"Int J Clin Exp Pathol","id":"ITEM-1","issue":"4","issued":{"date-parts":[["2017"]]},"page":"4232-4242","title":"Up-regulated microRNA-300 in maternal whole peripheral blood and placenta associated with pregnancy-induced hypertension and preeclampsia","type":"article-journal","volume":"10"},"uris":["http://www.mendeley.com/documents/?uuid=274e2cb0-6240-37a2-85a4-74c8b8c3b7b4"]}],"mendeley":{"formattedCitation":"(Gao et al., 2017)","plainTextFormattedCitation":"(Gao et al., 2017)","previouslyFormattedCitation":"(Gao et al., 2017)"},"properties":{"noteIndex":0},"schema":"https://github.com/citation-style-language/schema/raw/master/csl-citation.json"}</w:instrText>
            </w:r>
            <w:r>
              <w:rPr>
                <w:sz w:val="18"/>
                <w:szCs w:val="18"/>
              </w:rPr>
              <w:fldChar w:fldCharType="separate"/>
            </w:r>
            <w:r w:rsidR="0004386C" w:rsidRPr="0004386C">
              <w:rPr>
                <w:noProof/>
                <w:sz w:val="18"/>
                <w:szCs w:val="18"/>
              </w:rPr>
              <w:t>(Gao et al., 2017)</w:t>
            </w:r>
            <w:r>
              <w:rPr>
                <w:sz w:val="18"/>
                <w:szCs w:val="18"/>
              </w:rPr>
              <w:fldChar w:fldCharType="end"/>
            </w:r>
          </w:p>
          <w:p w:rsidR="00CB1BEB"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{"citationItems":[{"id":"ITEM-1","itemData":{"abstract":"The differentially expressed microRNAs (miRs) in pregnancy-related complications have not been completely clarified.","author":[{"dropping-particle":"","family":"Gao","given":"Shan","non-dropping-particle":"","parse-names":false,"suffix":""},{"dropping-particle":"","family":"Wang","given":"Yuping","non-dropping-particle":"","parse-names":false,"suffix":""},{"dropping-particle":"","family":"Han","given":"Suhui","non-dropping-particle":"","parse-names":false,"suffix":""},{"dropping-particle":"","family":"Zhang","given":"Qingxia","non-dropping-particle":"","parse-names":false,"suffix":""}],"container-title":"Int J Clin Exp Pathol","id":"ITEM-1","issue":"4","issued":{"date-parts":[["2017"]]},"page":"4232-4242","title":"Up-regulated microRNA-300 in maternal whole peripheral blood and placenta associated with pregnancy-induced hypertension and preeclampsia","type":"article-journal","volume":"10"},"uris":["http://www.mendeley.com/documents/?uuid=274e2cb0-6240-37a2-85a4-74c8b8c3b7b4"]}],"mendeley":{"formattedCitation":"(Gao et al., 2017)","plainTextFormattedCitation":"(Gao et al., 2017)","previouslyFormattedCitation":"(Gao et al., 2017)"},"properties":{"noteIndex":0},"schema":"https://github.com/citation-style-language/schema/raw/master/csl-citation.json"}</w:instrText>
            </w:r>
            <w:r>
              <w:rPr>
                <w:sz w:val="18"/>
                <w:szCs w:val="18"/>
              </w:rPr>
              <w:fldChar w:fldCharType="separate"/>
            </w:r>
            <w:r w:rsidR="00CB1BEB" w:rsidRPr="0004386C">
              <w:rPr>
                <w:noProof/>
                <w:sz w:val="18"/>
                <w:szCs w:val="18"/>
              </w:rPr>
              <w:t>(Gao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87</w:t>
            </w:r>
          </w:p>
          <w:p w:rsidR="00460963" w:rsidRDefault="00460963" w:rsidP="009B2A14">
            <w:pPr>
              <w:spacing w:after="0"/>
              <w:jc w:val="center"/>
              <w:rPr>
                <w:sz w:val="18"/>
                <w:szCs w:val="18"/>
              </w:rPr>
            </w:pPr>
            <w:r>
              <w:rPr>
                <w:sz w:val="18"/>
                <w:szCs w:val="18"/>
              </w:rPr>
              <w:t>87</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let-7b</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sLOPE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{"citationItems":[{"id":"ITEM-1","itemData":{"DOI":"10.1016/j.placenta.2017.02.019","abstract":"Preeclampsia (PE) is one of the leading causes of maternal and fetal morbidity and mortality, occurring usually in the second half of pregnancy and affecting approximately 5–8% of pregnancies in the world. miRNAs play critical role in the regulation of placental development processes. We aimed to determine specific novel miRNAs for early diagnosis of preeclampsia which is one of the most dangerous pregnancy diseases. In this study 72 samples, maternal age 22 ≤ and ≤36, have been analyzed; maternal plasma and placental miRNAs were isolated from 18 severe preeclampsia (sPE) patients and 18 controls, respectively. Profiling of human miRNAs (1368 probe) was performed in samples with Agilent v16 microarrays for detection of the differences in miRNA expression between two groups. The results were validated by using TaqMan RT-qPCR method. The analysis indicated that 406 of these miRNAs in all placentas and 42 of these miRNAs in all maternal plasma were expressed. The relative expression analysis has shown that 12 miRNAs (p &lt; 0.05 and &gt;2-fold) in maternal plasma were differentially expressed in PE and control group. However, five miRNAs were validated by qRT-PCR. Once validated miRNAs have been searched in databases for their target genes and function, it has been shown that there are some preeclampsia related pathways as a target such as angiogenesis, cardiovascular, hypertension, placental abruption and preeclampsia disorders. Differentially expressed and validated plasma miRNAs might be used as notable biomarkers for non-invasive early diagnosis of preeclampsia and treatment of disease.","author":[{"dropping-particle":"","family":"Gunel","given":"Tuba","non-dropping-particle":"","parse-names":false,"suffix":""},{"dropping-particle":"","family":"Hosseini","given":"Mohammad Kazem","non-dropping-particle":"","parse-names":false,"suffix":""},{"dropping-particle":"","family":"Gumusoglu","given":"Ece","non-dropping-particle":"","parse-names":false,"suffix":""},{"dropping-particle":"","family":"Kisakesen","given":"Halil Ibrahim","non-dropping-particle":"","parse-names":false,"suffix":""},{"dropping-particle":"","family":"Benian","given":"Ali","non-dropping-particle":"","parse-names":false,"suffix":""},{"dropping-particle":"","family":"Aydinli","given":"Kilic","non-dropping-particle":"","parse-names":false,"suffix":""}],"container-title":"Placenta","id":"ITEM-1","issued":{"date-parts":[["2017"]]},"page":"77-85","title":"Expression profiling of maternal plasma and placenta microRNAs in preeclamptic pregnancies by microarray technology","type":"article-journal","volume":"52"},"uris":["http://www.mendeley.com/documents/?uuid=52729b35-0153-3583-93c6-4d2daeb2fbdd"]}],"mendeley":{"formattedCitation":"(Gunel et al., 2017)","plainTextFormattedCitation":"(Gunel et al., 2017)","previouslyFormattedCitation":"(Gunel et al., 2017)"},"properties":{"noteIndex":0},"schema":"https://github.com/citation-style-language/schema/raw/master/csl-citation.json"}</w:instrText>
            </w:r>
            <w:r>
              <w:rPr>
                <w:sz w:val="18"/>
                <w:szCs w:val="18"/>
              </w:rPr>
              <w:fldChar w:fldCharType="separate"/>
            </w:r>
            <w:r w:rsidR="00CB1BEB" w:rsidRPr="00CB1BEB">
              <w:rPr>
                <w:noProof/>
                <w:sz w:val="18"/>
                <w:szCs w:val="18"/>
              </w:rPr>
              <w:t>(Gunel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89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let-7f-1</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sLOPE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{"citationItems":[{"id":"ITEM-1","itemData":{"DOI":"10.1016/j.placenta.2017.02.019","abstract":"Preeclampsia (PE) is one of the leading causes of maternal and fetal morbidity and mortality, occurring usually in the second half of pregnancy and affecting approximately 5–8% of pregnancies in the world. miRNAs play critical role in the regulation of placental development processes. We aimed to determine specific novel miRNAs for early diagnosis of preeclampsia which is one of the most dangerous pregnancy diseases. In this study 72 samples, maternal age 22 ≤ and ≤36, have been analyzed; maternal plasma and placental miRNAs were isolated from 18 severe preeclampsia (sPE) patients and 18 controls, respectively. Profiling of human miRNAs (1368 probe) was performed in samples with Agilent v16 microarrays for detection of the differences in miRNA expression between two groups. The results were validated by using TaqMan RT-qPCR method. The analysis indicated that 406 of these miRNAs in all placentas and 42 of these miRNAs in all maternal plasma were expressed. The relative expression analysis has shown that 12 miRNAs (p &lt; 0.05 and &gt;2-fold) in maternal plasma were differentially expressed in PE and control group. However, five miRNAs were validated by qRT-PCR. Once validated miRNAs have been searched in databases for their target genes and function, it has been shown that there are some preeclampsia related pathways as a target such as angiogenesis, cardiovascular, hypertension, placental abruption and preeclampsia disorders. Differentially expressed and validated plasma miRNAs might be used as notable biomarkers for non-invasive early diagnosis of preeclampsia and treatment of disease.","author":[{"dropping-particle":"","family":"Gunel","given":"Tuba","non-dropping-particle":"","parse-names":false,"suffix":""},{"dropping-particle":"","family":"Hosseini","given":"Mohammad Kazem","non-dropping-particle":"","parse-names":false,"suffix":""},{"dropping-particle":"","family":"Gumusoglu","given":"Ece","non-dropping-particle":"","parse-names":false,"suffix":""},{"dropping-particle":"","family":"Kisakesen","given":"Halil Ibrahim","non-dropping-particle":"","parse-names":false,"suffix":""},{"dropping-particle":"","family":"Benian","given":"Ali","non-dropping-particle":"","parse-names":false,"suffix":""},{"dropping-particle":"","family":"Aydinli","given":"Kilic","non-dropping-particle":"","parse-names":false,"suffix":""}],"container-title":"Placenta","id":"ITEM-1","issued":{"date-parts":[["2017"]]},"page":"77-85","title":"Expression profiling of maternal plasma and placenta microRNAs in preeclamptic pregnancies by microarray technology","type":"article-journal","volume":"52"},"uris":["http://www.mendeley.com/documents/?uuid=52729b35-0153-3583-93c6-4d2daeb2fbdd"]}],"mendeley":{"formattedCitation":"(Gunel et al., 2017)","plainTextFormattedCitation":"(Gunel et al., 2017)","previouslyFormattedCitation":"(Gunel et al., 2017)"},"properties":{"noteIndex":0},"schema":"https://github.com/citation-style-language/schema/raw/master/csl-citation.json"}</w:instrText>
            </w:r>
            <w:r>
              <w:rPr>
                <w:sz w:val="18"/>
                <w:szCs w:val="18"/>
              </w:rPr>
              <w:fldChar w:fldCharType="separate"/>
            </w:r>
            <w:r w:rsidR="00CB1BEB" w:rsidRPr="00CB1BEB">
              <w:rPr>
                <w:noProof/>
                <w:sz w:val="18"/>
                <w:szCs w:val="18"/>
              </w:rPr>
              <w:t>(Gunel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89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1183</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sLOPE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{"citationItems":[{"id":"ITEM-1","itemData":{"DOI":"10.1016/j.placenta.2017.02.019","abstract":"Preeclampsia (PE) is one of the leading causes of maternal and fetal morbidity and mortality, occurring usually in the second half of pregnancy and affecting approximately 5–8% of pregnancies in the world. miRNAs play critical role in the regulation of placental development processes. We aimed to determine specific novel miRNAs for early diagnosis of preeclampsia which is one of the most dangerous pregnancy diseases. In this study 72 samples, maternal age 22 ≤ and ≤36, have been analyzed; maternal plasma and placental miRNAs were isolated from 18 severe preeclampsia (sPE) patients and 18 controls, respectively. Profiling of human miRNAs (1368 probe) was performed in samples with Agilent v16 microarrays for detection of the differences in miRNA expression between two groups. The results were validated by using TaqMan RT-qPCR method. The analysis indicated that 406 of these miRNAs in all placentas and 42 of these miRNAs in all maternal plasma were expressed. The relative expression analysis has shown that 12 miRNAs (p &lt; 0.05 and &gt;2-fold) in maternal plasma were differentially expressed in PE and control group. However, five miRNAs were validated by qRT-PCR. Once validated miRNAs have been searched in databases for their target genes and function, it has been shown that there are some preeclampsia related pathways as a target such as angiogenesis, cardiovascular, hypertension, placental abruption and preeclampsia disorders. Differentially expressed and validated plasma miRNAs might be used as notable biomarkers for non-invasive early diagnosis of preeclampsia and treatment of disease.","author":[{"dropping-particle":"","family":"Gunel","given":"Tuba","non-dropping-particle":"","parse-names":false,"suffix":""},{"dropping-particle":"","family":"Hosseini","given":"Mohammad Kazem","non-dropping-particle":"","parse-names":false,"suffix":""},{"dropping-particle":"","family":"Gumusoglu","given":"Ece","non-dropping-particle":"","parse-names":false,"suffix":""},{"dropping-particle":"","family":"Kisakesen","given":"Halil Ibrahim","non-dropping-particle":"","parse-names":false,"suffix":""},{"dropping-particle":"","family":"Benian","given":"Ali","non-dropping-particle":"","parse-names":false,"suffix":""},{"dropping-particle":"","family":"Aydinli","given":"Kilic","non-dropping-particle":"","parse-names":false,"suffix":""}],"container-title":"Placenta","id":"ITEM-1","issued":{"date-parts":[["2017"]]},"page":"77-85","title":"Expression profiling of maternal plasma and placenta microRNAs in preeclamptic pregnancies by microarray technology","type":"article-journal","volume":"52"},"uris":["http://www.mendeley.com/documents/?uuid=52729b35-0153-3583-93c6-4d2daeb2fbdd"]}],"mendeley":{"formattedCitation":"(Gunel et al., 2017)","plainTextFormattedCitation":"(Gunel et al., 2017)","previouslyFormattedCitation":"(Gunel et al., 2017)"},"properties":{"noteIndex":0},"schema":"https://github.com/citation-style-language/schema/raw/master/csl-citation.json"}</w:instrText>
            </w:r>
            <w:r>
              <w:rPr>
                <w:sz w:val="18"/>
                <w:szCs w:val="18"/>
              </w:rPr>
              <w:fldChar w:fldCharType="separate"/>
            </w:r>
            <w:r w:rsidR="00CB1BEB" w:rsidRPr="00CB1BEB">
              <w:rPr>
                <w:noProof/>
                <w:sz w:val="18"/>
                <w:szCs w:val="18"/>
              </w:rPr>
              <w:t>(Gunel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89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23c</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sLOPE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{"citationItems":[{"id":"ITEM-1","itemData":{"DOI":"10.1016/j.placenta.2017.02.019","abstract":"Preeclampsia (PE) is one of the leading causes of maternal and fetal morbidity and mortality, occurring usually in the second half of pregnancy and affecting approximately 5–8% of pregnancies in the world. miRNAs play critical role in the regulation of placental development processes. We aimed to determine specific novel miRNAs for early diagnosis of preeclampsia which is one of the most dangerous pregnancy diseases. In this study 72 samples, maternal age 22 ≤ and ≤36, have been analyzed; maternal plasma and placental miRNAs were isolated from 18 severe preeclampsia (sPE) patients and 18 controls, respectively. Profiling of human miRNAs (1368 probe) was performed in samples with Agilent v16 microarrays for detection of the differences in miRNA expression between two groups. The results were validated by using TaqMan RT-qPCR method. The analysis indicated that 406 of these miRNAs in all placentas and 42 of these miRNAs in all maternal plasma were expressed. The relative expression analysis has shown that 12 miRNAs (p &lt; 0.05 and &gt;2-fold) in maternal plasma were differentially expressed in PE and control group. However, five miRNAs were validated by qRT-PCR. Once validated miRNAs have been searched in databases for their target genes and function, it has been shown that there are some preeclampsia related pathways as a target such as angiogenesis, cardiovascular, hypertension, placental abruption and preeclampsia disorders. Differentially expressed and validated plasma miRNAs might be used as notable biomarkers for non-invasive early diagnosis of preeclampsia and treatment of disease.","author":[{"dropping-particle":"","family":"Gunel","given":"Tuba","non-dropping-particle":"","parse-names":false,"suffix":""},{"dropping-particle":"","family":"Hosseini","given":"Mohammad Kazem","non-dropping-particle":"","parse-names":false,"suffix":""},{"dropping-particle":"","family":"Gumusoglu","given":"Ece","non-dropping-particle":"","parse-names":false,"suffix":""},{"dropping-particle":"","family":"Kisakesen","given":"Halil Ibrahim","non-dropping-particle":"","parse-names":false,"suffix":""},{"dropping-particle":"","family":"Benian","given":"Ali","non-dropping-particle":"","parse-names":false,"suffix":""},{"dropping-particle":"","family":"Aydinli","given":"Kilic","non-dropping-particle":"","parse-names":false,"suffix":""}],"container-title":"Placenta","id":"ITEM-1","issued":{"date-parts":[["2017"]]},"page":"77-85","title":"Expression profiling of maternal plasma and placenta microRNAs in preeclamptic pregnancies by microarray technology","type":"article-journal","volume":"52"},"uris":["http://www.mendeley.com/documents/?uuid=52729b35-0153-3583-93c6-4d2daeb2fbdd"]}],"mendeley":{"formattedCitation":"(Gunel et al., 2017)","plainTextFormattedCitation":"(Gunel et al., 2017)","previouslyFormattedCitation":"(Gunel et al., 2017)"},"properties":{"noteIndex":0},"schema":"https://github.com/citation-style-language/schema/raw/master/csl-citation.json"}</w:instrText>
            </w:r>
            <w:r>
              <w:rPr>
                <w:sz w:val="18"/>
                <w:szCs w:val="18"/>
              </w:rPr>
              <w:fldChar w:fldCharType="separate"/>
            </w:r>
            <w:r w:rsidR="00CB1BEB" w:rsidRPr="00CB1BEB">
              <w:rPr>
                <w:noProof/>
                <w:sz w:val="18"/>
                <w:szCs w:val="18"/>
              </w:rPr>
              <w:t>(Gunel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89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425</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sLOPE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{"citationItems":[{"id":"ITEM-1","itemData":{"DOI":"10.1016/j.placenta.2017.02.019","abstract":"Preeclampsia (PE) is one of the leading causes of maternal and fetal morbidity and mortality, occurring usually in the second half of pregnancy and affecting approximately 5–8% of pregnancies in the world. miRNAs play critical role in the regulation of placental development processes. We aimed to determine specific novel miRNAs for early diagnosis of preeclampsia which is one of the most dangerous pregnancy diseases. In this study 72 samples, maternal age 22 ≤ and ≤36, have been analyzed; maternal plasma and placental miRNAs were isolated from 18 severe preeclampsia (sPE) patients and 18 controls, respectively. Profiling of human miRNAs (1368 probe) was performed in samples with Agilent v16 microarrays for detection of the differences in miRNA expression between two groups. The results were validated by using TaqMan RT-qPCR method. The analysis indicated that 406 of these miRNAs in all placentas and 42 of these miRNAs in all maternal plasma were expressed. The relative expression analysis has shown that 12 miRNAs (p &lt; 0.05 and &gt;2-fold) in maternal plasma were differentially expressed in PE and control group. However, five miRNAs were validated by qRT-PCR. Once validated miRNAs have been searched in databases for their target genes and function, it has been shown that there are some preeclampsia related pathways as a target such as angiogenesis, cardiovascular, hypertension, placental abruption and preeclampsia disorders. Differentially expressed and validated plasma miRNAs might be used as notable biomarkers for non-invasive early diagnosis of preeclampsia and treatment of disease.","author":[{"dropping-particle":"","family":"Gunel","given":"Tuba","non-dropping-particle":"","parse-names":false,"suffix":""},{"dropping-particle":"","family":"Hosseini","given":"Mohammad Kazem","non-dropping-particle":"","parse-names":false,"suffix":""},{"dropping-particle":"","family":"Gumusoglu","given":"Ece","non-dropping-particle":"","parse-names":false,"suffix":""},{"dropping-particle":"","family":"Kisakesen","given":"Halil Ibrahim","non-dropping-particle":"","parse-names":false,"suffix":""},{"dropping-particle":"","family":"Benian","given":"Ali","non-dropping-particle":"","parse-names":false,"suffix":""},{"dropping-particle":"","family":"Aydinli","given":"Kilic","non-dropping-particle":"","parse-names":false,"suffix":""}],"container-title":"Placenta","id":"ITEM-1","issued":{"date-parts":[["2017"]]},"page":"77-85","title":"Expression profiling of maternal plasma and placenta microRNAs in preeclamptic pregnancies by microarray technology","type":"article-journal","volume":"52"},"uris":["http://www.mendeley.com/documents/?uuid=52729b35-0153-3583-93c6-4d2daeb2fbdd"]}],"mendeley":{"formattedCitation":"(Gunel et al., 2017)","plainTextFormattedCitation":"(Gunel et al., 2017)","previouslyFormattedCitation":"(Gunel et al., 2017)"},"properties":{"noteIndex":0},"schema":"https://github.com/citation-style-language/schema/raw/master/csl-citation.json"}</w:instrText>
            </w:r>
            <w:r>
              <w:rPr>
                <w:sz w:val="18"/>
                <w:szCs w:val="18"/>
              </w:rPr>
              <w:fldChar w:fldCharType="separate"/>
            </w:r>
            <w:r w:rsidR="00CB1BEB" w:rsidRPr="00CB1BEB">
              <w:rPr>
                <w:noProof/>
                <w:sz w:val="18"/>
                <w:szCs w:val="18"/>
              </w:rPr>
              <w:t>(Gunel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89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520g</w:t>
            </w:r>
          </w:p>
        </w:tc>
        <w:tc>
          <w:tcPr>
            <w:tcW w:w="2136" w:type="dxa"/>
          </w:tcPr>
          <w:p w:rsidR="00460963" w:rsidRDefault="00460963" w:rsidP="009B2A14">
            <w:pPr>
              <w:spacing w:after="0"/>
              <w:jc w:val="center"/>
              <w:rPr>
                <w:sz w:val="18"/>
                <w:szCs w:val="18"/>
              </w:rPr>
            </w:pPr>
            <w:r>
              <w:rPr>
                <w:sz w:val="18"/>
                <w:szCs w:val="18"/>
              </w:rPr>
              <w:t>MPB (serum)</w:t>
            </w:r>
          </w:p>
          <w:p w:rsidR="00460963" w:rsidRDefault="00460963" w:rsidP="009B2A14">
            <w:pPr>
              <w:spacing w:after="0"/>
              <w:jc w:val="center"/>
              <w:rPr>
                <w:sz w:val="18"/>
                <w:szCs w:val="18"/>
              </w:rPr>
            </w:pPr>
            <w:r>
              <w:rPr>
                <w:sz w:val="18"/>
                <w:szCs w:val="18"/>
              </w:rPr>
              <w:t>MPB (serum)</w:t>
            </w:r>
          </w:p>
          <w:p w:rsidR="00460963" w:rsidRDefault="00460963" w:rsidP="009B2A14">
            <w:pPr>
              <w:spacing w:after="0"/>
              <w:jc w:val="center"/>
              <w:rPr>
                <w:sz w:val="18"/>
                <w:szCs w:val="18"/>
              </w:rPr>
            </w:pPr>
            <w:r>
              <w:rPr>
                <w:sz w:val="18"/>
                <w:szCs w:val="18"/>
              </w:rPr>
              <w:t>MPB (serum)</w:t>
            </w:r>
          </w:p>
        </w:tc>
        <w:tc>
          <w:tcPr>
            <w:tcW w:w="2859" w:type="dxa"/>
          </w:tcPr>
          <w:p w:rsidR="00460963" w:rsidRDefault="00460963" w:rsidP="009B2A14">
            <w:pPr>
              <w:spacing w:after="0"/>
              <w:jc w:val="center"/>
              <w:rPr>
                <w:sz w:val="18"/>
                <w:szCs w:val="18"/>
              </w:rPr>
            </w:pPr>
            <w:r>
              <w:rPr>
                <w:sz w:val="18"/>
                <w:szCs w:val="18"/>
              </w:rPr>
              <w:t>Up in sPE 1</w:t>
            </w:r>
            <w:r w:rsidR="00E33D6E" w:rsidRPr="00E33D6E">
              <w:rPr>
                <w:sz w:val="18"/>
                <w:szCs w:val="18"/>
                <w:vertAlign w:val="superscript"/>
              </w:rPr>
              <w:t>st</w:t>
            </w:r>
            <w:r>
              <w:rPr>
                <w:sz w:val="18"/>
                <w:szCs w:val="18"/>
              </w:rPr>
              <w:t xml:space="preserve"> trimester</w:t>
            </w:r>
          </w:p>
          <w:p w:rsidR="00460963" w:rsidRDefault="00460963" w:rsidP="009B2A14">
            <w:pPr>
              <w:spacing w:after="0"/>
              <w:jc w:val="center"/>
              <w:rPr>
                <w:sz w:val="18"/>
                <w:szCs w:val="18"/>
              </w:rPr>
            </w:pPr>
            <w:r>
              <w:rPr>
                <w:sz w:val="18"/>
                <w:szCs w:val="18"/>
              </w:rPr>
              <w:t>No difference in sPE 2</w:t>
            </w:r>
            <w:r w:rsidR="00E33D6E" w:rsidRPr="00E33D6E">
              <w:rPr>
                <w:sz w:val="18"/>
                <w:szCs w:val="18"/>
                <w:vertAlign w:val="superscript"/>
              </w:rPr>
              <w:t>nd</w:t>
            </w:r>
            <w:r>
              <w:rPr>
                <w:sz w:val="18"/>
                <w:szCs w:val="18"/>
              </w:rPr>
              <w:t xml:space="preserve"> trimetsre</w:t>
            </w:r>
          </w:p>
          <w:p w:rsidR="00460963" w:rsidRDefault="00460963" w:rsidP="009B2A14">
            <w:pPr>
              <w:spacing w:after="0"/>
              <w:jc w:val="center"/>
              <w:rPr>
                <w:sz w:val="18"/>
                <w:szCs w:val="18"/>
              </w:rPr>
            </w:pPr>
            <w:r>
              <w:rPr>
                <w:sz w:val="18"/>
                <w:szCs w:val="18"/>
              </w:rPr>
              <w:t>No difference in sPE 3</w:t>
            </w:r>
            <w:r w:rsidR="00E33D6E" w:rsidRPr="00E33D6E">
              <w:rPr>
                <w:sz w:val="18"/>
                <w:szCs w:val="18"/>
                <w:vertAlign w:val="superscript"/>
              </w:rPr>
              <w:t>rd</w:t>
            </w:r>
            <w:r>
              <w:rPr>
                <w:sz w:val="18"/>
                <w:szCs w:val="18"/>
              </w:rPr>
              <w:t xml:space="preserve"> trimester</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No</w:t>
            </w:r>
          </w:p>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{"citationItems":[{"id":"ITEM-1","itemData":{"DOI":"10.1016/j.placenta.2017.02.001","abstract":"Introduction Pre-eclampsia (PE) is a common and severe obstetric complication. MicroRNAs (miRs) have emerged as molecules that are associated with the disease. Methods Quantitative reverse transcription PCR (RT-qPCR) was used for serum miR-520g characterization from 19 severe pre-eclamptic and 19 normal pregnancies. In situ hybridation was adopted to localize microRNA-520g (miR-520g). Migration and invasion of HTR-8/SVneo cells were evaluated after miR-520g mimic treatment with transwell system. MiR-520g target gene was verified in luciferase reporter system. Results The expression of serum miR-520g displayed an upward trend as pregnancies progress. At first-trimester, miR-520g in pre-eclampsia was significantly higher than that in the control, but no significant differences were found in the second and last trimesters. MiR-520g localized in cytoplasm of early trimester placental trophoblasts. The migration and invasion of HTR8/SVneo were inhibited by miR-520g mimic treatment. Matrix metalloproteinase 2 (MMP2) was verified as a direct target of miR-520g. Conclusions Elevated maternal serum level of miR-520g level in first trimester was detected in patients with severe PE. By suppressing the migration and invasion of trophoblast via at least partial inhibition of MMP2 translation inhibition, miR-520g might play a role in the defective spiral artery remodeling, and thus contribute to pre-eclampsia pathophysiology.","author":[{"dropping-particle":"","family":"Jiang","given":"Liansheng","non-dropping-particle":"","parse-names":false,"suffix":""},{"dropping-particle":"","family":"Long","given":"Anxiong","non-dropping-particle":"","parse-names":false,"suffix":""},{"dropping-particle":"","family":"Tan","given":"Longyi","non-dropping-particle":"","parse-names":false,"suffix":""},{"dropping-particle":"","family":"Hong","given":"Mao","non-dropping-particle":"","parse-names":false,"suffix":""},{"dropping-particle":"","family":"Wu","given":"Jingjing","non-dropping-particle":"","parse-names":false,"suffix":""},{"dropping-particle":"","family":"Cai","given":"Leiming","non-dropping-particle":"","parse-names":false,"suffix":""},{"dropping-particle":"","family":"Li","given":"Qian","non-dropping-particle":"","parse-names":false,"suffix":""}],"container-title":"Placenta","id":"ITEM-1","issued":{"date-parts":[["2017"]]},"page":"70-75","title":"Elevated microRNA-520g in pre-eclampsia inhibits migration and invasion of trophoblasts","type":"article-journal","volume":"51"},"uris":["http://www.mendeley.com/documents/?uuid=6d2a8674-29a1-33da-afcd-0751ce07cee0"]}],"mendeley":{"formattedCitation":"(Jiang et al., 2017)","plainTextFormattedCitation":"(Jiang et al., 2017)","previouslyFormattedCitation":"(Jiang et al., 2017)"},"properties":{"noteIndex":0},"schema":"https://github.com/citation-style-language/schema/raw/master/csl-citation.json"}</w:instrText>
            </w:r>
            <w:r>
              <w:rPr>
                <w:sz w:val="18"/>
                <w:szCs w:val="18"/>
              </w:rPr>
              <w:fldChar w:fldCharType="separate"/>
            </w:r>
            <w:r w:rsidR="00CB1BEB" w:rsidRPr="00CB1BEB">
              <w:rPr>
                <w:noProof/>
                <w:sz w:val="18"/>
                <w:szCs w:val="18"/>
              </w:rPr>
              <w:t>(Jiang et al., 2017)</w:t>
            </w:r>
            <w:r>
              <w:rPr>
                <w:sz w:val="18"/>
                <w:szCs w:val="18"/>
              </w:rPr>
              <w:fldChar w:fldCharType="end"/>
            </w:r>
          </w:p>
          <w:p w:rsidR="00CB1BEB"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{"citationItems":[{"id":"ITEM-1","itemData":{"DOI":"10.1016/j.placenta.2017.02.001","abstract":"Introduction Pre-eclampsia (PE) is a common and severe obstetric complication. MicroRNAs (miRs) have emerged as molecules that are associated with the disease. Methods Quantitative reverse transcription PCR (RT-qPCR) was used for serum miR-520g characterization from 19 severe pre-eclamptic and 19 normal pregnancies. In situ hybridation was adopted to localize microRNA-520g (miR-520g). Migration and invasion of HTR-8/SVneo cells were evaluated after miR-520g mimic treatment with transwell system. MiR-520g target gene was verified in luciferase reporter system. Results The expression of serum miR-520g displayed an upward trend as pregnancies progress. At first-trimester, miR-520g in pre-eclampsia was significantly higher than that in the control, but no significant differences were found in the second and last trimesters. MiR-520g localized in cytoplasm of early trimester placental trophoblasts. The migration and invasion of HTR8/SVneo were inhibited by miR-520g mimic treatment. Matrix metalloproteinase 2 (MMP2) was verified as a direct target of miR-520g. Conclusions Elevated maternal serum level of miR-520g level in first trimester was detected in patients with severe PE. By suppressing the migration and invasion of trophoblast via at least partial inhibition of MMP2 translation inhibition, miR-520g might play a role in the defective spiral artery remodeling, and thus contribute to pre-eclampsia pathophysiology.","author":[{"dropping-particle":"","family":"Jiang","given":"Liansheng","non-dropping-particle":"","parse-names":false,"suffix":""},{"dropping-particle":"","family":"Long","given":"Anxiong","non-dropping-particle":"","parse-names":false,"suffix":""},{"dropping-particle":"","family":"Tan","given":"Longyi","non-dropping-particle":"","parse-names":false,"suffix":""},{"dropping-particle":"","family":"Hong","given":"Mao","non-dropping-particle":"","parse-names":false,"suffix":""},{"dropping-particle":"","family":"Wu","given":"Jingjing","non-dropping-particle":"","parse-names":false,"suffix":""},{"dropping-particle":"","family":"Cai","given":"Leiming","non-dropping-particle":"","parse-names":false,"suffix":""},{"dropping-particle":"","family":"Li","given":"Qian","non-dropping-particle":"","parse-names":false,"suffix":""}],"container-title":"Placenta","id":"ITEM-1","issued":{"date-parts":[["2017"]]},"page":"70-75","title":"Elevated microRNA-520g in pre-eclampsia inhibits migration and invasion of trophoblasts","type":"article-journal","volume":"51"},"uris":["http://www.mendeley.com/documents/?uuid=6d2a8674-29a1-33da-afcd-0751ce07cee0"]}],"mendeley":{"formattedCitation":"(Jiang et al., 2017)","plainTextFormattedCitation":"(Jiang et al., 2017)","previouslyFormattedCitation":"(Jiang et al., 2017)"},"properties":{"noteIndex":0},"schema":"https://github.com/citation-style-language/schema/raw/master/csl-citation.json"}</w:instrText>
            </w:r>
            <w:r>
              <w:rPr>
                <w:sz w:val="18"/>
                <w:szCs w:val="18"/>
              </w:rPr>
              <w:fldChar w:fldCharType="separate"/>
            </w:r>
            <w:r w:rsidR="00CB1BEB" w:rsidRPr="00CB1BEB">
              <w:rPr>
                <w:noProof/>
                <w:sz w:val="18"/>
                <w:szCs w:val="18"/>
              </w:rPr>
              <w:t>(Jiang et al., 2017)</w:t>
            </w:r>
            <w:r>
              <w:rPr>
                <w:sz w:val="18"/>
                <w:szCs w:val="18"/>
              </w:rPr>
              <w:fldChar w:fldCharType="end"/>
            </w:r>
          </w:p>
          <w:p w:rsidR="00CB1BEB"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{"citationItems":[{"id":"ITEM-1","itemData":{"DOI":"10.1016/j.placenta.2017.02.001","abstract":"Introduction Pre-eclampsia (PE) is a common and severe obstetric complication. MicroRNAs (miRs) have emerged as molecules that are associated with the disease. Methods Quantitative reverse transcription PCR (RT-qPCR) was used for serum miR-520g characterization from 19 severe pre-eclamptic and 19 normal pregnancies. In situ hybridation was adopted to localize microRNA-520g (miR-520g). Migration and invasion of HTR-8/SVneo cells were evaluated after miR-520g mimic treatment with transwell system. MiR-520g target gene was verified in luciferase reporter system. Results The expression of serum miR-520g displayed an upward trend as pregnancies progress. At first-trimester, miR-520g in pre-eclampsia was significantly higher than that in the control, but no significant differences were found in the second and last trimesters. MiR-520g localized in cytoplasm of early trimester placental trophoblasts. The migration and invasion of HTR8/SVneo were inhibited by miR-520g mimic treatment. Matrix metalloproteinase 2 (MMP2) was verified as a direct target of miR-520g. Conclusions Elevated maternal serum level of miR-520g level in first trimester was detected in patients with severe PE. By suppressing the migration and invasion of trophoblast via at least partial inhibition of MMP2 translation inhibition, miR-520g might play a role in the defective spiral artery remodeling, and thus contribute to pre-eclampsia pathophysiology.","author":[{"dropping-particle":"","family":"Jiang","given":"Liansheng","non-dropping-particle":"","parse-names":false,"suffix":""},{"dropping-particle":"","family":"Long","given":"Anxiong","non-dropping-particle":"","parse-names":false,"suffix":""},{"dropping-particle":"","family":"Tan","given":"Longyi","non-dropping-particle":"","parse-names":false,"suffix":""},{"dropping-particle":"","family":"Hong","given":"Mao","non-dropping-particle":"","parse-names":false,"suffix":""},{"dropping-particle":"","family":"Wu","given":"Jingjing","non-dropping-particle":"","parse-names":false,"suffix":""},{"dropping-particle":"","family":"Cai","given":"Leiming","non-dropping-particle":"","parse-names":false,"suffix":""},{"dropping-particle":"","family":"Li","given":"Qian","non-dropping-particle":"","parse-names":false,"suffix":""}],"container-title":"Placenta","id":"ITEM-1","issued":{"date-parts":[["2017"]]},"page":"70-75","title":"Elevated microRNA-520g in pre-eclampsia inhibits migration and invasion of trophoblasts","type":"article-journal","volume":"51"},"uris":["http://www.mendeley.com/documents/?uuid=6d2a8674-29a1-33da-afcd-0751ce07cee0"]}],"mendeley":{"formattedCitation":"(Jiang et al., 2017)","plainTextFormattedCitation":"(Jiang et al., 2017)","previouslyFormattedCitation":"(Jiang et al., 2017)"},"properties":{"noteIndex":0},"schema":"https://github.com/citation-style-language/schema/raw/master/csl-citation.json"}</w:instrText>
            </w:r>
            <w:r>
              <w:rPr>
                <w:sz w:val="18"/>
                <w:szCs w:val="18"/>
              </w:rPr>
              <w:fldChar w:fldCharType="separate"/>
            </w:r>
            <w:r w:rsidR="00CB1BEB" w:rsidRPr="00CB1BEB">
              <w:rPr>
                <w:noProof/>
                <w:sz w:val="18"/>
                <w:szCs w:val="18"/>
              </w:rPr>
              <w:t>(Jiang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96</w:t>
            </w:r>
          </w:p>
          <w:p w:rsidR="00460963" w:rsidRDefault="00460963" w:rsidP="009B2A14">
            <w:pPr>
              <w:spacing w:after="0"/>
              <w:jc w:val="center"/>
              <w:rPr>
                <w:sz w:val="18"/>
                <w:szCs w:val="18"/>
              </w:rPr>
            </w:pPr>
            <w:r>
              <w:rPr>
                <w:sz w:val="18"/>
                <w:szCs w:val="18"/>
              </w:rPr>
              <w:t>96</w:t>
            </w:r>
          </w:p>
          <w:p w:rsidR="00460963" w:rsidRDefault="00460963" w:rsidP="009B2A14">
            <w:pPr>
              <w:spacing w:after="0"/>
              <w:jc w:val="center"/>
              <w:rPr>
                <w:sz w:val="18"/>
                <w:szCs w:val="18"/>
              </w:rPr>
            </w:pPr>
            <w:r>
              <w:rPr>
                <w:sz w:val="18"/>
                <w:szCs w:val="18"/>
              </w:rPr>
              <w:t>96</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137</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{"citationItems":[{"id":"ITEM-1","itemData":{"DOI":"10.1177/1933719116650754","abstract":"Objective: To investigate the effects of microRNA-137 (miRNA-137) in proliferation and migration of placenta trophoblast cells of preeclampsia and the targeting gene of miRNA-137. Methods: A total of 134 cases of puerperants were divided into normal pregnancy (n = 50), mild preeclampsia (n = 38), and severe preeclampsia groups (n = 46). MiRNA-137, estrogen-related receptor α (ERRα), and wingless INT (WNT)11 messenger RNAs (mRNAs) were measured in placental tissue and trophoblast cells after transfection, and ERRα protein in placental tissues was detected by immunohistochemistry. The target genes of miRNA-137, trophoblast cell proliferation, migration, and invasion abilities were detected. Both ERRα and WNT11 proteins in the trophoblast cells were measured after transfection. Result: Relative expressions of miRNA-137 were higher, and positive expression rates and relative expression levels of ERRα protein were lower in mild and severe preeclampsia and early- and late-onset preeclampsia than in normal pregnancy group (all P &lt;.05). MiRNA-137 in the placental tissues was negatively correlated with ERRα protein (P &lt;.05). Luciferase reporter gene assay analysis showed that ERRα was a direct target gene of miRNA-137. Absorbance values, relative scratch-covered areas, cell membrane permeable rate, ERRα, and WNT11 mRNA and protein relative expressions were significantly lower, while cells at G1/G0 phase were higher in miRNA-137 mimic group than those in the blank, negative control, and miRNA-137 inhibitor group. Conclusion: MiRNA-137 significantly reduced the proliferation and migration of placenta trophoblast cells of preeclampsia by targeting ERRα, which might be a potential target for gene therapy.","author":[{"dropping-particle":"","family":"Lu","given":"Tan Min","non-dropping-particle":"","parse-names":false,"suffix":""},{"dropping-particle":"","family":"Lu","given":"Wei","non-dropping-particle":"","parse-names":false,"suffix":""},{"dropping-particle":"","family":"Zhao","given":"Long Jun","non-dropping-particle":"","parse-names":false,"suffix":""}],"container-title":"Reproductive Sciences","id":"ITEM-1","issue":"1","issued":{"date-parts":[["2017"]]},"page":"85-96","title":"MicroRNA-137 Affects Proliferation and Migration of Placenta Trophoblast Cells in Preeclampsia by Targeting ERRα","type":"article-journal","volume":"24"},"uris":["http://www.mendeley.com/documents/?uuid=240aa604-88c4-39cc-9a82-58b9549779da"]}],"mendeley":{"formattedCitation":"(Lu et al., 2017)","plainTextFormattedCitation":"(Lu et al., 2017)","previouslyFormattedCitation":"(Lu et al., 2017)"},"properties":{"noteIndex":0},"schema":"https://github.com/citation-style-language/schema/raw/master/csl-citation.json"}</w:instrText>
            </w:r>
            <w:r>
              <w:rPr>
                <w:sz w:val="18"/>
                <w:szCs w:val="18"/>
              </w:rPr>
              <w:fldChar w:fldCharType="separate"/>
            </w:r>
            <w:r w:rsidR="00CB1BEB" w:rsidRPr="00CB1BEB">
              <w:rPr>
                <w:noProof/>
                <w:sz w:val="18"/>
                <w:szCs w:val="18"/>
              </w:rPr>
              <w:t>(Lu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101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22</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Up in sEOPE</w:t>
            </w:r>
          </w:p>
          <w:p w:rsidR="00460963" w:rsidRDefault="00460963" w:rsidP="009B2A14">
            <w:pPr>
              <w:spacing w:after="0"/>
              <w:jc w:val="center"/>
              <w:rPr>
                <w:sz w:val="18"/>
                <w:szCs w:val="18"/>
              </w:rPr>
            </w:pPr>
            <w:r>
              <w:rPr>
                <w:sz w:val="18"/>
                <w:szCs w:val="18"/>
              </w:rPr>
              <w:t>Down in sLOPE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{"citationItems":[{"id":"ITEM-1","itemData":{"DOI":"10.1161/HYPERTENSIONAHA.116.08468","abstract":"Preeclampsia, a multisystem syndrome occurring during mid- to late gestation in humans, is a leading cause of maternal and perinatal morbidity and mortality. Patients usually present with high circulating testosterone and reduced estradiol production, but the mechanisms remain unclear. Revealing the mechanism that modulating the imbalance of testosterone and estradiol in preeclampsia is of great value in understanding the cause of the disease. The placenta is the predominant source of steroid hormone production during gestation, and we observed markedly increased 17β-HSD3 (17β-hydroxysteroid dehydrogenase 3) levels and downregulated aromatase expression, the key enzymes responsible for synthesis of testosterone and estradiol, respectively, in preeclamptic placentas compared with controls. Furthermore, we found a significant upregulation of microRNA (miR)-22 in preeclamptic placentas. In a trophoblast cell line, JEG-3 cells, testosterone repressed the expression of aromatase and estrogen receptor α and the production of estradiol while promoting miR-22 expression. miR-22 directly targeted and inhibited estrogen receptor α expression while indirectly decreasing aromatase expression and estradiol production by interfering with estrogen receptor α signaling. Furthermore, inhibition of miR-22 expression significantly reversed the inhibitory effect of testosterone on de novo estradiol synthesis in human trophoblastic cells. The findings reveal a mechanism underlying the balanced production of androgen and estrogen modulated by miR-22 in the human placenta and provide new insights into the pathogenesis of preeclampsia from the aspect of endocrine regulation.","author":[{"dropping-particle":"","family":"Shao","given":"Xuan","non-dropping-particle":"","parse-names":false,"suffix":""},{"dropping-particle":"","family":"Liu","given":"Yanlei","non-dropping-particle":"","parse-names":false,"suffix":""},{"dropping-particle":"","family":"Liu","given":"Ming","non-dropping-particle":"","parse-names":false,"suffix":""},{"dropping-particle":"","family":"Wang","given":"Yongqing","non-dropping-particle":"","parse-names":false,"suffix":""},{"dropping-particle":"","family":"Yan","given":"Liying","non-dropping-particle":"","parse-names":false,"suffix":""},{"dropping-particle":"","family":"Wang","given":"Hao","non-dropping-particle":"","parse-names":false,"suffix":""},{"dropping-particle":"","family":"Ma","given":"Liyang","non-dropping-particle":"","parse-names":false,"suffix":""},{"dropping-particle":"","family":"Li","given":"Yu Xia","non-dropping-particle":"","parse-names":false,"suffix":""},{"dropping-particle":"","family":"Zhao","given":"Yangyu","non-dropping-particle":"","parse-names":false,"suffix":""},{"dropping-particle":"","family":"Wang","given":"Yan Ling","non-dropping-particle":"","parse-names":false,"suffix":""}],"container-title":"Hypertension","id":"ITEM-1","issue":"4","issued":{"date-parts":[["2017"]]},"page":"721-730","title":"Testosterone Represses Estrogen Signaling by Upregulating miR-22: A Mechanism for Imbalanced Steroid Hormone Production in Preeclampsia","type":"article-journal","volume":"69"},"uris":["http://www.mendeley.com/documents/?uuid=c6286128-ad0e-3259-a957-aa97db85a9b0"]}],"mendeley":{"formattedCitation":"(Shao et al., 2017)","plainTextFormattedCitation":"(Shao et al., 2017)","previouslyFormattedCitation":"(Shao et al., 2017)"},"properties":{"noteIndex":0},"schema":"https://github.com/citation-style-language/schema/raw/master/csl-citation.json"}</w:instrText>
            </w:r>
            <w:r>
              <w:rPr>
                <w:sz w:val="18"/>
                <w:szCs w:val="18"/>
              </w:rPr>
              <w:fldChar w:fldCharType="separate"/>
            </w:r>
            <w:r w:rsidR="00CB1BEB" w:rsidRPr="00CB1BEB">
              <w:rPr>
                <w:noProof/>
                <w:sz w:val="18"/>
                <w:szCs w:val="18"/>
              </w:rPr>
              <w:t>(Shao et al., 2017)</w:t>
            </w:r>
            <w:r>
              <w:rPr>
                <w:sz w:val="18"/>
                <w:szCs w:val="18"/>
              </w:rPr>
              <w:fldChar w:fldCharType="end"/>
            </w:r>
          </w:p>
          <w:p w:rsidR="00CB1BEB"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{"citationItems":[{"id":"ITEM-1","itemData":{"DOI":"10.1161/HYPERTENSIONAHA.116.08468","abstract":"Preeclampsia, a multisystem syndrome occurring during mid- to late gestation in humans, is a leading cause of maternal and perinatal morbidity and mortality. Patients usually present with high circulating testosterone and reduced estradiol production, but the mechanisms remain unclear. Revealing the mechanism that modulating the imbalance of testosterone and estradiol in preeclampsia is of great value in understanding the cause of the disease. The placenta is the predominant source of steroid hormone production during gestation, and we observed markedly increased 17β-HSD3 (17β-hydroxysteroid dehydrogenase 3) levels and downregulated aromatase expression, the key enzymes responsible for synthesis of testosterone and estradiol, respectively, in preeclamptic placentas compared with controls. Furthermore, we found a significant upregulation of microRNA (miR)-22 in preeclamptic placentas. In a trophoblast cell line, JEG-3 cells, testosterone repressed the expression of aromatase and estrogen receptor α and the production of estradiol while promoting miR-22 expression. miR-22 directly targeted and inhibited estrogen receptor α expression while indirectly decreasing aromatase expression and estradiol production by interfering with estrogen receptor α signaling. Furthermore, inhibition of miR-22 expression significantly reversed the inhibitory effect of testosterone on de novo estradiol synthesis in human trophoblastic cells. The findings reveal a mechanism underlying the balanced production of androgen and estrogen modulated by miR-22 in the human placenta and provide new insights into the pathogenesis of preeclampsia from the aspect of endocrine regulation.","author":[{"dropping-particle":"","family":"Shao","given":"Xuan","non-dropping-particle":"","parse-names":false,"suffix":""},{"dropping-particle":"","family":"Liu","given":"Yanlei","non-dropping-particle":"","parse-names":false,"suffix":""},{"dropping-particle":"","family":"Liu","given":"Ming","non-dropping-particle":"","parse-names":false,"suffix":""},{"dropping-particle":"","family":"Wang","given":"Yongqing","non-dropping-particle":"","parse-names":false,"suffix":""},{"dropping-particle":"","family":"Yan","given":"Liying","non-dropping-particle":"","parse-names":false,"suffix":""},{"dropping-particle":"","family":"Wang","given":"Hao","non-dropping-particle":"","parse-names":false,"suffix":""},{"dropping-particle":"","family":"Ma","given":"Liyang","non-dropping-particle":"","parse-names":false,"suffix":""},{"dropping-particle":"","family":"Li","given":"Yu Xia","non-dropping-particle":"","parse-names":false,"suffix":""},{"dropping-particle":"","family":"Zhao","given":"Yangyu","non-dropping-particle":"","parse-names":false,"suffix":""},{"dropping-particle":"","family":"Wang","given":"Yan Ling","non-dropping-particle":"","parse-names":false,"suffix":""}],"container-title":"Hypertension","id":"ITEM-1","issue":"4","issued":{"date-parts":[["2017"]]},"page":"721-730","title":"Testosterone Represses Estrogen Signaling by Upregulating miR-22: A Mechanism for Imbalanced Steroid Hormone Production in Preeclampsia","type":"article-journal","volume":"69"},"uris":["http://www.mendeley.com/documents/?uuid=c6286128-ad0e-3259-a957-aa97db85a9b0"]}],"mendeley":{"formattedCitation":"(Shao et al., 2017)","plainTextFormattedCitation":"(Shao et al., 2017)","previouslyFormattedCitation":"(Shao et al., 2017)"},"properties":{"noteIndex":0},"schema":"https://github.com/citation-style-language/schema/raw/master/csl-citation.json"}</w:instrText>
            </w:r>
            <w:r>
              <w:rPr>
                <w:sz w:val="18"/>
                <w:szCs w:val="18"/>
              </w:rPr>
              <w:fldChar w:fldCharType="separate"/>
            </w:r>
            <w:r w:rsidR="00CB1BEB" w:rsidRPr="00CB1BEB">
              <w:rPr>
                <w:noProof/>
                <w:sz w:val="18"/>
                <w:szCs w:val="18"/>
              </w:rPr>
              <w:t>(Shao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108</w:t>
            </w:r>
          </w:p>
          <w:p w:rsidR="00460963" w:rsidRDefault="00460963" w:rsidP="009B2A14">
            <w:pPr>
              <w:spacing w:after="0"/>
              <w:jc w:val="center"/>
              <w:rPr>
                <w:sz w:val="18"/>
                <w:szCs w:val="18"/>
              </w:rPr>
            </w:pPr>
            <w:r>
              <w:rPr>
                <w:sz w:val="18"/>
                <w:szCs w:val="18"/>
              </w:rPr>
              <w:t>108</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22-3p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CB1BEB"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202-3p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{"citationItems":[{"id":"ITEM-1","itemData":{"DOI":"10.1016/j.preghy.2017.04.002","abstract":"MicroRNA (miRNA) expression has not been studied during placentation in pregnancies that develop preeclampsia, when it likely manifests. In this pilot study, miRNA expression in late first trimester placenta from four pregnancies that developed severe preeclampsia matched to controls using the Affymetrix GeneChip® miRNA 3.0 Array identified 9 miRNAs differentially expressed, with miR-202-3p the most significantly overexpressed in severe preeclampsia. Real-time reverse transcription polymerase chain reaction (qRT-PCR) confirmed overexpression of miR-202-3p in a validation cohort, with a 7-fold increase in pregnancies that developed severe preeclampsia (p ≤ 0.05). Differential miRNA expression, specifically miR-202-3p, is seen in first trimester placenta in severe preeclampsia.","author":[{"dropping-particle":"","family":"Singh","given":"Krishna","non-dropping-particle":"","parse-names":false,"suffix":""},{"dropping-particle":"","family":"Williams","given":"John","non-dropping-particle":"","parse-names":false,"suffix":""},{"dropping-particle":"","family":"Brown","given":"Jordan","non-dropping-particle":"","parse-names":false,"suffix":""},{"dropping-particle":"","family":"Wang","given":"Erica T.","non-dropping-particle":"","parse-names":false,"suffix":""},{"dropping-particle":"","family":"Lee","given":"Bora","non-dropping-particle":"","parse-names":false,"suffix":""},{"dropping-particle":"","family":"Gonzalez","given":"Tania L.","non-dropping-particle":"","parse-names":false,"suffix":""},{"dropping-particle":"","family":"Cui","given":"Jinrui","non-dropping-particle":"","parse-names":false,"suffix":""},{"dropping-particle":"","family":"Goodarzi","given":"Mark O.","non-dropping-particle":"","parse-names":false,"suffix":""},{"dropping-particle":"","family":"Pisarska","given":"Margareta D.","non-dropping-particle":"","parse-names":false,"suffix":""}],"container-title":"Pregnancy Hypertension","id":"ITEM-1","issued":{"date-parts":[["2017"]]},"page":"7-9","title":"Up-regulation of microRNA-202-3p in first trimester placenta of pregnancies destined to develop severe preeclampsia, a pilot study","type":"article-journal","volume":"10"},"uris":["http://www.mendeley.com/documents/?uuid=65aa2861-5f93-3198-9524-a119bdee35e6"]}],"mendeley":{"formattedCitation":"(Singh et al., 2017)","plainTextFormattedCitation":"(Singh et al., 2017)","previouslyFormattedCitation":"(Singh et al., 2017)"},"properties":{"noteIndex":0},"schema":"https://github.com/citation-style-language/schema/raw/master/csl-citation.json"}</w:instrText>
            </w:r>
            <w:r>
              <w:rPr>
                <w:sz w:val="18"/>
                <w:szCs w:val="18"/>
              </w:rPr>
              <w:fldChar w:fldCharType="separate"/>
            </w:r>
            <w:r w:rsidR="00CB1BEB" w:rsidRPr="00CB1BEB">
              <w:rPr>
                <w:noProof/>
                <w:sz w:val="18"/>
                <w:szCs w:val="18"/>
              </w:rPr>
              <w:t>(Singh et al., 2017)</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109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299</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CB1BEB">
              <w:rPr>
                <w:sz w:val="18"/>
                <w:szCs w:val="18"/>
              </w:rPr>
              <w:instrText>ADDIN CSL_CITATION {"citationItems":[{"id":"ITEM-1","itemData":{"DOI":"10.1016/j.biopha.2017.11.053","abstract":"Pre-eclampsia (PE), a pregnancy-associated disorder, is a major contributor to maternal mortality and morbidity worldwide. Recently, microRNAs (miRNAs) were found to be associated with the pathogenesis of PE. The present study investigated the function of miR-299 in HTR-8/SVneo trophoblast cells and explored its underlying mechanism in the pathogenesis of PE. The miR-299 and histone deacetylase 2 (HDAC2) mRNA expression levels were determined by quantitative real-time PCR. Transwell invasion and wound healing assays were used to measure cell invasive and migratory ability. Luciferase reporter assay was performed to confirm the downstream targets of miR-299. Western blot was performed to measure the protein expression of HDAC2. The expression level of miR-299 in placental tissues from pregnant women with severe PE was significantly higher than that from normal pregnant women. MiR-299 overexpression suppressed the invasion and migration of trophoblast cells; and knock-down of miR-299 promoted the invasion and migration of trophoblast cells. Bioinformatics prediction and luciferase reporter assay confirmed that miR-299 directly targeted the 3′ untranslated region of HDAC2. The mRNA expression level of HDAC2 in placental tissues from pregnant women with severe PE was significantly lower than that from normal pregnant women, and was negatively correlated the expression level of miR-299 in placental tissues from pregnant women with severe PE. HDAC2 siRNA transfection suppressed the mRNA and protein expression levels of HDAC in trophoblast cells compared with control group, and HDAC2 siRNA transfection also suppressed the trophoblast cell invasion and migration compared with control group. Enforced expression of HDAC2 in trophoblast cells attenuated the inhibitory effects of miR-299 overexpression on cell invasion and migration. In summary, the results showed the up-regulation of miR-299 in the placental tissues from women with severe PE and miR-299 suppressed the invasion and migration of trophoblast cells partly via targeting HDAC2.","author":[{"dropping-particle":"","family":"Gao","given":"Yu","non-dropping-particle":"","parse-names":false,"suffix":""},{"dropping-particle":"","family":"She","given":"Ruilian","non-dropping-particle":"","parse-names":false,"suffix":""},{"dropping-particle":"","family":"Wang","given":"Qian","non-dropping-particle":"","parse-names":false,"suffix":""},{"dropping-particle":"","family":"Li","given":"Yan","non-dropping-particle":"","parse-names":false,"suffix":""},{"dropping-particle":"","family":"Zhang","given":"Haiying","non-dropping-particle":"","parse-names":false,"suffix":""}],"container-title":"Biomedicine and Pharmacotherapy","id":"ITEM-1","issued":{"date-parts":[["2018"]]},"page":"1222-1228","title":"Up-regulation of miR-299 suppressed the invasion and migration of HTR-8/SVneo trophoblast cells partly via targeting HDAC2 in pre-eclampsia","type":"article-journal","volume":"97"},"uris":["http://www.mendeley.com/documents/?uuid=ec074c4d-a422-36a0-af70-9b0039ae6fc7"]}],"mendeley":{"formattedCitation":"(Gao et al., 2018b)","plainTextFormattedCitation":"(Gao et al., 2018b)","previouslyFormattedCitation":"(Gao et al., 2018b)"},"properties":{"noteIndex":0},"schema":"https://github.com/citation-style-language/schema/raw/master/csl-citation.json"}</w:instrText>
            </w:r>
            <w:r>
              <w:rPr>
                <w:sz w:val="18"/>
                <w:szCs w:val="18"/>
              </w:rPr>
              <w:fldChar w:fldCharType="separate"/>
            </w:r>
            <w:r w:rsidR="00CB1BEB" w:rsidRPr="00CB1BEB">
              <w:rPr>
                <w:noProof/>
                <w:sz w:val="18"/>
                <w:szCs w:val="18"/>
              </w:rPr>
              <w:t>(Gao et al., 2018b)</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126</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376c</w:t>
            </w:r>
          </w:p>
        </w:tc>
        <w:tc>
          <w:tcPr>
            <w:tcW w:w="2136" w:type="dxa"/>
          </w:tcPr>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sPE</w:t>
            </w:r>
          </w:p>
          <w:p w:rsidR="00460963" w:rsidRDefault="00460963" w:rsidP="009B2A14">
            <w:pPr>
              <w:spacing w:after="0"/>
              <w:jc w:val="center"/>
              <w:rPr>
                <w:sz w:val="18"/>
                <w:szCs w:val="18"/>
              </w:rPr>
            </w:pPr>
            <w:r>
              <w:rPr>
                <w:sz w:val="18"/>
                <w:szCs w:val="18"/>
              </w:rPr>
              <w:t>Down in sPE</w:t>
            </w:r>
          </w:p>
          <w:p w:rsidR="00460963" w:rsidRDefault="00460963" w:rsidP="009B2A14">
            <w:pPr>
              <w:spacing w:after="0"/>
              <w:jc w:val="center"/>
              <w:rPr>
                <w:sz w:val="18"/>
                <w:szCs w:val="18"/>
              </w:rPr>
            </w:pPr>
            <w:r>
              <w:rPr>
                <w:sz w:val="18"/>
                <w:szCs w:val="18"/>
              </w:rPr>
              <w:t>No difference in preterm 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C404E8">
              <w:rPr>
                <w:sz w:val="18"/>
                <w:szCs w:val="18"/>
              </w:rPr>
              <w:instrText>ADDIN CSL_CITATION {"citationItems":[{"id":"ITEM-1","itemData":{"DOI":"10.3892/etm.2018.6394","abstract":"The study aims to investigate the clinical significance of regulating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 xml:space="preserve">hydroxyvitamin </w:instrText>
            </w:r>
            <w:r w:rsidR="00C404E8">
              <w:rPr>
                <w:sz w:val="18"/>
                <w:szCs w:val="18"/>
              </w:rPr>
              <w:instrText>D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via microRNA (miRNA)</w:instrText>
            </w:r>
            <w:r w:rsidR="00C404E8">
              <w:rPr>
                <w:rFonts w:ascii="MS Mincho" w:eastAsia="MS Mincho" w:hAnsi="MS Mincho" w:cs="MS Mincho" w:hint="eastAsia"/>
                <w:sz w:val="18"/>
                <w:szCs w:val="18"/>
              </w:rPr>
              <w:instrText>‑</w:instrText>
            </w:r>
            <w:r w:rsidR="00C404E8">
              <w:rPr>
                <w:rFonts w:cs="Times New Roman"/>
                <w:sz w:val="18"/>
                <w:szCs w:val="18"/>
              </w:rPr>
              <w:instrText>376c in the occurrence and development of preeclampsia (PE) in pregnant women. Peripheral blood and placental tissues were collected from pregnant women in 4 groups, including 67 normal pregnant women, 41 pregnant women wi</w:instrText>
            </w:r>
            <w:r w:rsidR="00C404E8">
              <w:rPr>
                <w:sz w:val="18"/>
                <w:szCs w:val="18"/>
              </w:rPr>
              <w:instrText>th gestational hypertension, 40 pregnant women with mild PE and 51 pregnant women with severe PE.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and miRNA</w:instrText>
            </w:r>
            <w:r w:rsidR="00C404E8">
              <w:rPr>
                <w:rFonts w:ascii="MS Mincho" w:eastAsia="MS Mincho" w:hAnsi="MS Mincho" w:cs="MS Mincho" w:hint="eastAsia"/>
                <w:sz w:val="18"/>
                <w:szCs w:val="18"/>
              </w:rPr>
              <w:instrText>‑</w:instrText>
            </w:r>
            <w:r w:rsidR="00C404E8">
              <w:rPr>
                <w:rFonts w:cs="Times New Roman"/>
                <w:sz w:val="18"/>
                <w:szCs w:val="18"/>
              </w:rPr>
              <w:instrText>376c in peripheral blood were analyzed via reverse transcription-quantitative polymerase chain reaction (RT-qPCR); the pr</w:instrText>
            </w:r>
            <w:r w:rsidR="00C404E8">
              <w:rPr>
                <w:sz w:val="18"/>
                <w:szCs w:val="18"/>
              </w:rPr>
              <w:instrText>otein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was analyzed via western blotting, and the clinical significance of its expression was also analyzed. The expression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376c in peripheral blood in pregnant women was decreased (P&lt;0.01), and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 xml:space="preserve">VD in </w:instrText>
            </w:r>
            <w:r w:rsidR="00C404E8">
              <w:rPr>
                <w:sz w:val="18"/>
                <w:szCs w:val="18"/>
              </w:rPr>
              <w:instrText>peripheral blood was significantly decreased (P&lt;0.01); there was a significantly positive correlation between the expression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376c and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(P&lt;0.01). There was a significantly positive correlation between miRNA</w:instrText>
            </w:r>
            <w:r w:rsidR="00C404E8">
              <w:rPr>
                <w:rFonts w:ascii="MS Mincho" w:eastAsia="MS Mincho" w:hAnsi="MS Mincho" w:cs="MS Mincho" w:hint="eastAsia"/>
                <w:sz w:val="18"/>
                <w:szCs w:val="18"/>
              </w:rPr>
              <w:instrText>‑</w:instrText>
            </w:r>
            <w:r w:rsidR="00C404E8">
              <w:rPr>
                <w:rFonts w:cs="Times New Roman"/>
                <w:sz w:val="18"/>
                <w:szCs w:val="18"/>
              </w:rPr>
              <w:instrText>376c and the protein expression o</w:instrText>
            </w:r>
            <w:r w:rsidR="00C404E8">
              <w:rPr>
                <w:sz w:val="18"/>
                <w:szCs w:val="18"/>
              </w:rPr>
              <w:instrText>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in placental tissues (P&lt;0.01). The downregulation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376c expression in peripheral blood and placental tissues in pregnant women had significantly positive correlations with gestational age, plasma albumin level and fetal weight, but had s</w:instrText>
            </w:r>
            <w:r w:rsidR="00C404E8">
              <w:rPr>
                <w:sz w:val="18"/>
                <w:szCs w:val="18"/>
              </w:rPr>
              <w:instrText>ignificantly negative correlations with blood pressure and urinary protein level. (P&lt;0.01). The downregulation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expression in placental tissues also had such correlations. The low expression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376c in PE patients is involved in the occurr</w:instrText>
            </w:r>
            <w:r w:rsidR="00C404E8">
              <w:rPr>
                <w:sz w:val="18"/>
                <w:szCs w:val="18"/>
              </w:rPr>
              <w:instrText>ence and development of PE through downregulating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VD.","author":[{"dropping-particle":"","family":"Li","given":"Jinlan","non-dropping-particle":"","parse-names":false,"suffix":""},{"dropping-particle":"","family":"Du","given":"Jiang</w:instrText>
            </w:r>
            <w:r w:rsidR="00C404E8">
              <w:rPr>
                <w:sz w:val="18"/>
                <w:szCs w:val="18"/>
              </w:rPr>
              <w:instrText>dong","non-dropping-particle":"","parse-names":false,"suffix":""},{"dropping-particle":"","family":"Wang","given":"Zhan","non-dropping-particle":"","parse-names":false,"suffix":""},{"dropping-particle":"","family":"Wang","given":"Chenghong","non-dropping-particle":"","parse-names":false,"suffix":""},{"dropping-particle":"","family":"Bai","given":"Jianhua","non-dropping-particle":"","parse-names":false,"suffix":""},{"dropping-particle":"","family":"Zhang","given":"Su","non-dropping-particle":"","parse-names":false,"suffix":""}],"container-title":"Experimental and Therapeutic Medicine","id":"ITEM-1","issue":"3","issued":{"date-parts":[["2018"]]},"page":"1701-1706","title":"Expression of miR</w:instrText>
            </w:r>
            <w:r w:rsidR="00C404E8">
              <w:rPr>
                <w:rFonts w:ascii="MS Mincho" w:eastAsia="MS Mincho" w:hAnsi="MS Mincho" w:cs="MS Mincho" w:hint="eastAsia"/>
                <w:sz w:val="18"/>
                <w:szCs w:val="18"/>
              </w:rPr>
              <w:instrText>‑</w:instrText>
            </w:r>
            <w:r w:rsidR="00C404E8">
              <w:rPr>
                <w:rFonts w:cs="Times New Roman"/>
                <w:sz w:val="18"/>
                <w:szCs w:val="18"/>
              </w:rPr>
              <w:instrText>376 in blood of pregnant women with preeclampsia and its effect on 25</w:instrText>
            </w:r>
            <w:r w:rsidR="00C404E8">
              <w:rPr>
                <w:rFonts w:ascii="MS Mincho" w:eastAsia="MS Mincho" w:hAnsi="MS Mincho" w:cs="MS Mincho" w:hint="eastAsia"/>
                <w:sz w:val="18"/>
                <w:szCs w:val="18"/>
              </w:rPr>
              <w:instrText>‑</w:instrText>
            </w:r>
            <w:r w:rsidR="00C404E8">
              <w:rPr>
                <w:sz w:val="18"/>
                <w:szCs w:val="18"/>
              </w:rPr>
              <w:instrText>hydroxyvitamin D","type":"article-journal","volume":"16"},"uris":["http://www.mendeley.com/documents/?uuid=9434166f-47f7-3ab6-a838-30cdf6f44afc"]}],"mendeley":{"formattedCitation":"(Li et al., 2018)","plainTextFormattedCitation":"(Li et al., 2018)","previouslyFormattedCitation":"(Li et al., 2018)"},"properties":{"noteIndex":0},"schema":"https://github.com/citation-style-language/schema/raw/master/csl-citation.json"}</w:instrText>
            </w:r>
            <w:r>
              <w:rPr>
                <w:sz w:val="18"/>
                <w:szCs w:val="18"/>
              </w:rPr>
              <w:fldChar w:fldCharType="separate"/>
            </w:r>
            <w:r w:rsidR="00CB1BEB" w:rsidRPr="00CB1BEB">
              <w:rPr>
                <w:noProof/>
                <w:sz w:val="18"/>
                <w:szCs w:val="18"/>
              </w:rPr>
              <w:t>(Li et al., 2018)</w:t>
            </w:r>
            <w:r>
              <w:rPr>
                <w:sz w:val="18"/>
                <w:szCs w:val="18"/>
              </w:rPr>
              <w:fldChar w:fldCharType="end"/>
            </w:r>
          </w:p>
          <w:p w:rsidR="00C404E8" w:rsidRDefault="00E33D6E" w:rsidP="009B2A14">
            <w:pPr>
              <w:spacing w:after="0"/>
              <w:jc w:val="center"/>
              <w:rPr>
                <w:sz w:val="18"/>
                <w:szCs w:val="18"/>
              </w:rPr>
            </w:pPr>
            <w:r>
              <w:rPr>
                <w:sz w:val="18"/>
                <w:szCs w:val="18"/>
              </w:rPr>
              <w:fldChar w:fldCharType="begin" w:fldLock="1"/>
            </w:r>
            <w:r w:rsidR="00C404E8">
              <w:rPr>
                <w:sz w:val="18"/>
                <w:szCs w:val="18"/>
              </w:rPr>
              <w:instrText>ADDIN CSL_CITATION {"citationItems":[{"id":"ITEM-1","itemData":{"DOI":"10.3892/etm.2018.6394","abstract":"The study aims to investigate the clinical significance of regulating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hydroxyvitamin D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via microRNA (miRNA)</w:instrText>
            </w:r>
            <w:r w:rsidR="00C404E8">
              <w:rPr>
                <w:rFonts w:ascii="MS Mincho" w:eastAsia="MS Mincho" w:hAnsi="MS Mincho" w:cs="MS Mincho" w:hint="eastAsia"/>
                <w:sz w:val="18"/>
                <w:szCs w:val="18"/>
              </w:rPr>
              <w:instrText>‑</w:instrText>
            </w:r>
            <w:r w:rsidR="00C404E8">
              <w:rPr>
                <w:rFonts w:cs="Times New Roman"/>
                <w:sz w:val="18"/>
                <w:szCs w:val="18"/>
              </w:rPr>
              <w:instrText>376c in the occurrence and development of preeclampsia (PE) in pregnant women. Peripheral blood and pla</w:instrText>
            </w:r>
            <w:r w:rsidR="00C404E8">
              <w:rPr>
                <w:sz w:val="18"/>
                <w:szCs w:val="18"/>
              </w:rPr>
              <w:instrText>cental tissues were collected from pregnant women in 4 groups, including 67 normal pregnant women, 41 pregnant women with gestational hypertension, 40 pregnant women with mild PE and 51 pregnant women with severe PE.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and miRNA</w:instrText>
            </w:r>
            <w:r w:rsidR="00C404E8">
              <w:rPr>
                <w:rFonts w:ascii="MS Mincho" w:eastAsia="MS Mincho" w:hAnsi="MS Mincho" w:cs="MS Mincho" w:hint="eastAsia"/>
                <w:sz w:val="18"/>
                <w:szCs w:val="18"/>
              </w:rPr>
              <w:instrText>‑</w:instrText>
            </w:r>
            <w:r w:rsidR="00C404E8">
              <w:rPr>
                <w:rFonts w:cs="Times New Roman"/>
                <w:sz w:val="18"/>
                <w:szCs w:val="18"/>
              </w:rPr>
              <w:instrText>37</w:instrText>
            </w:r>
            <w:r w:rsidR="00C404E8">
              <w:rPr>
                <w:sz w:val="18"/>
                <w:szCs w:val="18"/>
              </w:rPr>
              <w:instrText>6c in peripheral blood were analyzed via reverse transcription-quantitative polymerase chain reaction (RT-qPCR); the protein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was analyzed via western blotting, and the clinical significance of its expression was also analyzed. The ex</w:instrText>
            </w:r>
            <w:r w:rsidR="00C404E8">
              <w:rPr>
                <w:sz w:val="18"/>
                <w:szCs w:val="18"/>
              </w:rPr>
              <w:instrText>pression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376c in peripheral blood in pregnant women was decreased (P&lt;0.01), and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in peripheral blood was significantly decreased (P&lt;0.01); there was a significantly positive correlation between the expression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w:instrText>
            </w:r>
            <w:r w:rsidR="00C404E8">
              <w:rPr>
                <w:sz w:val="18"/>
                <w:szCs w:val="18"/>
              </w:rPr>
              <w:instrText>c and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(P&lt;0.01). There was a significantly positive correlation between miRNA</w:instrText>
            </w:r>
            <w:r w:rsidR="00C404E8">
              <w:rPr>
                <w:rFonts w:ascii="MS Mincho" w:eastAsia="MS Mincho" w:hAnsi="MS Mincho" w:cs="MS Mincho" w:hint="eastAsia"/>
                <w:sz w:val="18"/>
                <w:szCs w:val="18"/>
              </w:rPr>
              <w:instrText>‑</w:instrText>
            </w:r>
            <w:r w:rsidR="00C404E8">
              <w:rPr>
                <w:rFonts w:cs="Times New Roman"/>
                <w:sz w:val="18"/>
                <w:szCs w:val="18"/>
              </w:rPr>
              <w:instrText>376c and the protein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 in placental tissues (P&lt;0.01). The downregulation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376c expression in peripheral blood and placental tissues in pregna</w:instrText>
            </w:r>
            <w:r w:rsidR="00C404E8">
              <w:rPr>
                <w:sz w:val="18"/>
                <w:szCs w:val="18"/>
              </w:rPr>
              <w:instrText>nt women had significantly positive correlations with gestational age, plasma albumin level and fetal weight, but had significantly negative correlations with blood pressure and urinary protein level. (P&lt;0.01). The downregulation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 xml:space="preserve">VD expression in </w:instrText>
            </w:r>
            <w:r w:rsidR="00C404E8">
              <w:rPr>
                <w:sz w:val="18"/>
                <w:szCs w:val="18"/>
              </w:rPr>
              <w:instrText>placental tissues also had such correlations. The low expression of miRNA</w:instrText>
            </w:r>
            <w:r w:rsidR="00C404E8">
              <w:rPr>
                <w:rFonts w:ascii="MS Mincho" w:eastAsia="MS Mincho" w:hAnsi="MS Mincho" w:cs="MS Mincho" w:hint="eastAsia"/>
                <w:sz w:val="18"/>
                <w:szCs w:val="18"/>
              </w:rPr>
              <w:instrText>‑</w:instrText>
            </w:r>
            <w:r w:rsidR="00C404E8">
              <w:rPr>
                <w:rFonts w:cs="Times New Roman"/>
                <w:sz w:val="18"/>
                <w:szCs w:val="18"/>
              </w:rPr>
              <w:instrText>376c in PE patients is involved in the occurrence and development of PE through downregulating the expression of 25</w:instrText>
            </w:r>
            <w:r w:rsidR="00C404E8">
              <w:rPr>
                <w:rFonts w:ascii="MS Mincho" w:eastAsia="MS Mincho" w:hAnsi="MS Mincho" w:cs="MS Mincho" w:hint="eastAsia"/>
                <w:sz w:val="18"/>
                <w:szCs w:val="18"/>
              </w:rPr>
              <w:instrText>‑</w:instrText>
            </w:r>
            <w:r w:rsidR="00C404E8">
              <w:rPr>
                <w:rFonts w:cs="Times New Roman"/>
                <w:sz w:val="18"/>
                <w:szCs w:val="18"/>
              </w:rPr>
              <w:instrText>OH</w:instrText>
            </w:r>
            <w:r w:rsidR="00C404E8">
              <w:rPr>
                <w:rFonts w:ascii="MS Mincho" w:eastAsia="MS Mincho" w:hAnsi="MS Mincho" w:cs="MS Mincho" w:hint="eastAsia"/>
                <w:sz w:val="18"/>
                <w:szCs w:val="18"/>
              </w:rPr>
              <w:instrText>‑</w:instrText>
            </w:r>
            <w:r w:rsidR="00C404E8">
              <w:rPr>
                <w:rFonts w:cs="Times New Roman"/>
                <w:sz w:val="18"/>
                <w:szCs w:val="18"/>
              </w:rPr>
              <w:instrText>VD.","author":[{"dropping-particle":"","family":"Li","given":"J</w:instrText>
            </w:r>
            <w:r w:rsidR="00C404E8">
              <w:rPr>
                <w:sz w:val="18"/>
                <w:szCs w:val="18"/>
              </w:rPr>
              <w:instrText>inlan","non-dropping-particle":"","parse-names":false,"suffix":""},{"dropping-particle":"","family":"Du","given":"Jiangdong","non-dropping-particle":"","parse-names":false,"suffix":""},{"dropping-particle":"","family":"Wang","given":"Zhan","non-dropping-particle":"","parse-names":false,"suffix":""},{"dropping-particle":"","family":"Wang","given":"Chenghong","non-dropping-particle":"","parse-names":false,"suffix":""},{"dropping-particle":"","family":"Bai","given":"Jianhua","non-dropping-particle":"","parse-names":false,"suffix":""},{"dropping-particle":"","family":"Zhang","given":"Su","non-dropping-particle":"","parse-names":false,"suffix":""}],"container-title":"Experimental and Therapeutic Medicine","id":"ITEM-1","issue":"3","issued":{"date-parts":[["2018"]]},"page":"1701-1706","title":"Expression of miR</w:instrText>
            </w:r>
            <w:r w:rsidR="00C404E8">
              <w:rPr>
                <w:rFonts w:ascii="MS Mincho" w:eastAsia="MS Mincho" w:hAnsi="MS Mincho" w:cs="MS Mincho" w:hint="eastAsia"/>
                <w:sz w:val="18"/>
                <w:szCs w:val="18"/>
              </w:rPr>
              <w:instrText>‑</w:instrText>
            </w:r>
            <w:r w:rsidR="00C404E8">
              <w:rPr>
                <w:rFonts w:cs="Times New Roman"/>
                <w:sz w:val="18"/>
                <w:szCs w:val="18"/>
              </w:rPr>
              <w:instrText>376 in blood of pregnant women with preeclampsia and its effect on 25</w:instrText>
            </w:r>
            <w:r w:rsidR="00C404E8">
              <w:rPr>
                <w:rFonts w:ascii="MS Mincho" w:eastAsia="MS Mincho" w:hAnsi="MS Mincho" w:cs="MS Mincho" w:hint="eastAsia"/>
                <w:sz w:val="18"/>
                <w:szCs w:val="18"/>
              </w:rPr>
              <w:instrText>‑</w:instrText>
            </w:r>
            <w:r w:rsidR="00C404E8">
              <w:rPr>
                <w:rFonts w:cs="Times New Roman"/>
                <w:sz w:val="18"/>
                <w:szCs w:val="18"/>
              </w:rPr>
              <w:instrText>hydroxyvitamin D","type":"article-journal","volume":"16"},"uris":["http://www.mendeley.com/documents/?uuid=9434166f-47f7-3ab6-a838-30cdf6</w:instrText>
            </w:r>
            <w:r w:rsidR="00C404E8">
              <w:rPr>
                <w:sz w:val="18"/>
                <w:szCs w:val="18"/>
              </w:rPr>
              <w:instrText>f44afc"]}],"mendeley":{"formattedCitation":"(Li et al., 2018)","plainTextFormattedCitation":"(Li et al., 2018)","previouslyFormattedCitation":"(Li et al., 2018)"},"properties":{"noteIndex":0},"schema":"https://github.com/citation-style-language/schema/raw/master/csl-citation.json"}</w:instrText>
            </w:r>
            <w:r>
              <w:rPr>
                <w:sz w:val="18"/>
                <w:szCs w:val="18"/>
              </w:rPr>
              <w:fldChar w:fldCharType="separate"/>
            </w:r>
            <w:r w:rsidR="00C404E8" w:rsidRPr="00CB1BEB">
              <w:rPr>
                <w:noProof/>
                <w:sz w:val="18"/>
                <w:szCs w:val="18"/>
              </w:rPr>
              <w:t>(Li et al., 2018)</w:t>
            </w:r>
            <w:r>
              <w:rPr>
                <w:sz w:val="18"/>
                <w:szCs w:val="18"/>
              </w:rPr>
              <w:fldChar w:fldCharType="end"/>
            </w:r>
          </w:p>
          <w:p w:rsidR="00C404E8" w:rsidRDefault="00E33D6E" w:rsidP="009B2A14">
            <w:pPr>
              <w:spacing w:after="0"/>
              <w:jc w:val="center"/>
              <w:rPr>
                <w:sz w:val="18"/>
                <w:szCs w:val="18"/>
              </w:rPr>
            </w:pPr>
            <w:r>
              <w:rPr>
                <w:sz w:val="18"/>
                <w:szCs w:val="18"/>
              </w:rPr>
              <w:fldChar w:fldCharType="begin" w:fldLock="1"/>
            </w:r>
            <w:r w:rsidR="00C404E8">
              <w:rPr>
                <w:sz w:val="18"/>
                <w:szCs w:val="18"/>
              </w:rPr>
              <w:instrText>ADDIN CSL_CITATION {"citationItems":[{"id":"ITEM-1","itemData":{"DOI":"10.1590/1414-431X20197546","abstract":"Preeclampsia is a major reason of morbidity and mortality in pregnant women and perinatal fetus. Hence, it is of prime importance that diagnostic markers are defined to predict chances of preeclampsia in pregnant women. It has been previously shown that microRNA (miRNA)-376c expression is decreased in the placenta of preeclampsia patients at term. Even though this decrease was not mimicked in the placenta at the pre-term stage, miR-376c expression was decreased in the plasma of these patients as early as the second trimester. Plasma and placenta specimens were obtained from pregnant women having unifetal gestation undergoing perinatal care between January 2014 and December 2016 (n=49). Early trimester placentas were collected from patients undergoing terminated pregnancies through dilation and curettage procedure. Our results showed that in addition to miR-376c, miR-441 levels were decreased in the placenta of preeclampsia patients, and this decrease occurred both at pre-term and at term. This decrease is also mimicked in the plasma levels at both early and late weeks of pregnancy, highlighting that miR-441 levels can serve as a diagnostic marker of risk of preeclampsia in pregnant women. Overexpression of the miR-441, as well as miR-376c, promoted cell viability, migration, and invasion in the human immortalized cytotrophoblast cell line HTR8/ SVneo, indicating that their decrease in pregnant women would result in anomalous apoptosis and functional imbalance resulting in premature abortion and other complications. MiR-441 level can thus potentially serve as diagnostic marker of preeclampsia in pregnant women.","author":[{"dropping-particle":"","family":"Yang","given":"Hui Li","non-dropping-particle":"","parse-names":false,"suffix":""},{"dropping-particle":"","family":"Zhang","given":"Hong Zhi","non-dropping-particle":"","parse-names":false,"suffix":""},{"dropping-particle":"","family":"Meng","given":"Fan Rong","non-dropping-particle":"","parse-names":false,"suffix":""},{"dropping-particle":"","family":"Han","given":"Shu Yi","non-dropping-particle":"","parse-names":false,"suffix":""},{"dropping-particle":"","family":"Zhang","given":"Miao","non-dropping-particle":"","parse-names":false,"suffix":""}],"container-title":"Brazilian Journal of Medical and Biological Research","id":"ITEM-1","issue":"4","issued":{"date-parts":[["2019"]]},"page":"e7546","title":"Differential expression of microRNA-411 and 376c is associated with hypertension in pregnancy","type":"article-journal","volume":"52"},"uris":["http://www.mendeley.com/documents/?uuid=f076a5a1-7108-3069-9c7a-bd8d17f88b69"]}],"mendeley":{"formattedCitation":"(Yang et al., 2019a)","plainTextFormattedCitation":"(Yang et al., 2019a)","previouslyFormattedCitation":"(Yang et al., 2019a)"},"properties":{"noteIndex":0},"schema":"https://github.com/citation-style-language/schema/raw/master/csl-citation.json"}</w:instrText>
            </w:r>
            <w:r>
              <w:rPr>
                <w:sz w:val="18"/>
                <w:szCs w:val="18"/>
              </w:rPr>
              <w:fldChar w:fldCharType="separate"/>
            </w:r>
            <w:r w:rsidR="00C404E8" w:rsidRPr="00C404E8">
              <w:rPr>
                <w:noProof/>
                <w:sz w:val="18"/>
                <w:szCs w:val="18"/>
              </w:rPr>
              <w:t>(Yang et al., 2019a)</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132</w:t>
            </w:r>
          </w:p>
          <w:p w:rsidR="00460963" w:rsidRDefault="00460963" w:rsidP="009B2A14">
            <w:pPr>
              <w:spacing w:after="0"/>
              <w:jc w:val="center"/>
              <w:rPr>
                <w:sz w:val="18"/>
                <w:szCs w:val="18"/>
              </w:rPr>
            </w:pPr>
            <w:r>
              <w:rPr>
                <w:sz w:val="18"/>
                <w:szCs w:val="18"/>
              </w:rPr>
              <w:t>132</w:t>
            </w:r>
          </w:p>
          <w:p w:rsidR="00460963" w:rsidRDefault="00460963" w:rsidP="009B2A14">
            <w:pPr>
              <w:spacing w:after="0"/>
              <w:jc w:val="center"/>
              <w:rPr>
                <w:sz w:val="18"/>
                <w:szCs w:val="18"/>
              </w:rPr>
            </w:pPr>
            <w:r>
              <w:rPr>
                <w:sz w:val="18"/>
                <w:szCs w:val="18"/>
              </w:rPr>
              <w:t>186</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376c-3p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C404E8">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C404E8"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518-5p</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34D4A">
              <w:rPr>
                <w:sz w:val="18"/>
                <w:szCs w:val="18"/>
              </w:rPr>
              <w:instrText>ADDIN CSL_CITATION {"citationItems":[{"id":"ITEM-1","itemData":{"DOI":"10.1016/j.placenta.2017.11.005","abstract":"Introduction To determine the miRNA expression profile in placentas complicated by Preeclampsia (PE) and compare it to uncomplicated pregnancies. Methods Sixteen placentas from women with PE, [11 with early onset PE (EOPE) and 5 with late onset PE (LOPE)], as well as 8 placentas from uncomplicated pregnancies were analyzed using miRNA microarrays. For statistical analyses the MATLAB® simulation environment was applied. The over-expression of miR-518a-5p was verified using Quantitative Real-Time Polymerase Chain Reaction. Results Forty four miRNAs were found dysregulated in PE complicated placentas. Statistical analysis revealed that miR-431, miR-518a-5p and miR-124* were over-expressed in EOPE complicated placentas as compared to controls, whereas miR-544 and miR-3942 were down-regulated in EOPE. When comparing the miRNA expression profile in cases with PE and PE-growth restricted fetuses (FGR), miR-431 and miR-518a-5p were found over-expressed in pregnancies complicated by FGR. Discussion Since specific miRNAs can differentiate EOPE and LOPE from uncomplicated placentas, they may be considered as putative PE-specific biomarkers. MiR-518a-5p emerged as a potential diagnostic indicator for EOPE cases as well as for PE-FGR complicated placentas, indicating a potential link to the severity of the disease.","author":[{"dropping-particle":"","family":"Lykoudi","given":"Alexandra","non-dropping-particle":"","parse-names":false,"suffix":""},{"dropping-particle":"","family":"Kolialexi","given":"Aggeliki","non-dropping-particle":"","parse-names":false,"suffix":""},{"dropping-particle":"","family":"Lambrou","given":"George I.","non-dropping-particle":"","parse-names":false,"suffix":""},{"dropping-particle":"","family":"Braoudaki","given":"Maria","non-dropping-particle":"","parse-names":false,"suffix":""},{"dropping-particle":"","family":"Siristatidis","given":"Charalampos","non-dropping-particle":"","parse-names":false,"suffix":""},{"dropping-particle":"","family":"Papaioanou","given":"George Konstantinos","non-dropping-particle":"","parse-names":false,"suffix":""},{"dropping-particle":"","family":"Tzetis","given":"Maria","non-dropping-particle":"","parse-names":false,"suffix":""},{"dropping-particle":"","family":"Mavrou","given":"Ariadni","non-dropping-particle":"","parse-names":false,"suffix":""},{"dropping-particle":"","family":"Papantoniou","given":"Nikolas","non-dropping-particle":"","parse-names":false,"suffix":""}],"container-title":"Placenta","id":"ITEM-1","issued":{"date-parts":[["2018"]]},"page":"24-32","title":"Dysregulated placental microRNAs in Early and Late onset Preeclampsia","type":"article-journal","volume":"61"},"uris":["http://www.mendeley.com/documents/?uuid=9e213bee-2ca7-32d4-a8b1-eba28751d842"]}],"mendeley":{"formattedCitation":"(Lykoudi et al., 2018)","plainTextFormattedCitation":"(Lykoudi et al., 2018)","previouslyFormattedCitation":"(Lykoudi et al., 2018)"},"properties":{"noteIndex":0},"schema":"https://github.com/citation-style-language/schema/raw/master/csl-citation.json"}</w:instrText>
            </w:r>
            <w:r>
              <w:rPr>
                <w:sz w:val="18"/>
                <w:szCs w:val="18"/>
              </w:rPr>
              <w:fldChar w:fldCharType="separate"/>
            </w:r>
            <w:r w:rsidR="00C404E8" w:rsidRPr="00C404E8">
              <w:rPr>
                <w:noProof/>
                <w:sz w:val="18"/>
                <w:szCs w:val="18"/>
              </w:rPr>
              <w:t>(Lykoudi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135</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518b</w:t>
            </w:r>
          </w:p>
        </w:tc>
        <w:tc>
          <w:tcPr>
            <w:tcW w:w="2136" w:type="dxa"/>
          </w:tcPr>
          <w:p w:rsidR="00460963" w:rsidRDefault="00460963" w:rsidP="009B2A14">
            <w:pPr>
              <w:spacing w:after="0"/>
              <w:jc w:val="center"/>
              <w:rPr>
                <w:sz w:val="18"/>
                <w:szCs w:val="18"/>
              </w:rPr>
            </w:pPr>
            <w:r>
              <w:rPr>
                <w:sz w:val="18"/>
                <w:szCs w:val="18"/>
              </w:rPr>
              <w:t>MPB (leukocytes)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{"citationItems":[{"id":"ITEM-1","itemData":{"DOI":"10.1016/j.preghy.2019.11.003","ISSN":"22107797","PMID":"31899190","abstract":"Objectives: Maternal leucocytes play an important role in the pathogenesis of preeclampsia (PE). Circulating microRNAs (miRNAs) are small, noncoding RNA molecules. The purpose of this study was to investigate miR-518b, miR-155-5p, and miR-21-3p in the peripheral blood leukocytes of patients with PE, compared to controls. Study design: Using real-time quantitative PCR method, the selected miRNAs which have been associated with PE were examined from early- onset PE (EOPE) (&lt;34 weeks) (n = 48), late- onset PE (LOPE) (≥34 weeks) (n = 48), total cases of PE (n = 96), and healthy controls (n = 52). Main outcome measures: The relative expression of the target miR in patient samples was compared to the calibrator and the results were expressed as relative quantification values. Results: Gestational age (GA) was significantly different between PE and controls. Univariate logistic regression analysis adjusted for GA at blood draw were fit to compare miR-518b, miR-155-5p, and miR-21-3p between PE and controls. The expression of miR-518b, miR-155-5p, and miR-21-3p were not significantly different in PE, compared to controls. The expression of miR-518b was upregulated in the EOPE and LOPE group, compared to controls, and the area under the receiver operating characteristic curve (AUC) of miR-518b was 0.65 and 0.62, respectively. miR-518b was positively correlated with WBC count, platelet count, serum levels of AST, ALT, LDH in EOPE. miR-21-3p expression level was negatively correlated with body mass index at blood draw and systolic blood pressure in the LOPE group. Conclusions: Increased miR-518b expression levels were found to be associated with EOPE and LOPE.","author":[{"dropping-particle":"","family":"Demirer","given":"Selin","non-dropping-particle":"","parse-names":false,"suffix":""},{"dropping-particle":"","family":"Hocaoglu","given":"Meryem","non-dropping-particle":"","parse-names":false,"suffix":""},{"dropping-particle":"","family":"Turgut","given":"Abdulkadir","non-dropping-particle":"","parse-names":false,"suffix":""},{"dropping-particle":"","family":"Karateke","given":"Ateş","non-dropping-particle":"","parse-names":false,"suffix":""},{"dropping-particle":"","family":"Komurcu-Bayrak","given":"Evrim","non-dropping-particle":"","parse-names":false,"suffix":""}],"container-title":"Pregnancy Hypertension","id":"ITEM-1","issued":{"date-parts":[["2020","1","1"]]},"page":"239-245","publisher":"Elsevier B.V.","title":"Expression profiles of candidate microRNAs in the peripheral blood leukocytes of patients with early- and late-onset preeclampsia versus normal pregnancies","type":"article-journal","volume":"19"},"uris":["http://www.mendeley.com/documents/?uuid=6685fb39-b7c4-3ea5-86a3-af1fc8e5eabf"]}],"mendeley":{"formattedCitation":"(Demirer et al., 2020)","plainTextFormattedCitation":"(Demirer et al., 2020)","previouslyFormattedCitation":"(Demirer et al., 2020)"},"properties":{"noteIndex":0},"schema":"https://github.com/citation-style-language/schema/raw/master/csl-citation.json"}</w:instrText>
            </w:r>
            <w:r>
              <w:rPr>
                <w:sz w:val="18"/>
                <w:szCs w:val="18"/>
              </w:rPr>
              <w:fldChar w:fldCharType="separate"/>
            </w:r>
            <w:r w:rsidR="00134D4A" w:rsidRPr="00134D4A">
              <w:rPr>
                <w:noProof/>
                <w:sz w:val="18"/>
                <w:szCs w:val="18"/>
              </w:rPr>
              <w:t>(Demirer et al., 2020)</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Demirer 2019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518f</w:t>
            </w:r>
          </w:p>
        </w:tc>
        <w:tc>
          <w:tcPr>
            <w:tcW w:w="2136" w:type="dxa"/>
          </w:tcPr>
          <w:p w:rsidR="00460963" w:rsidRDefault="00460963" w:rsidP="009B2A14">
            <w:pPr>
              <w:spacing w:after="0"/>
              <w:jc w:val="center"/>
              <w:rPr>
                <w:sz w:val="18"/>
                <w:szCs w:val="18"/>
              </w:rPr>
            </w:pPr>
            <w:r>
              <w:rPr>
                <w:sz w:val="18"/>
                <w:szCs w:val="18"/>
              </w:rPr>
              <w:t>MPB (serum)</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497F37">
              <w:rPr>
                <w:sz w:val="18"/>
                <w:szCs w:val="18"/>
              </w:rPr>
              <w:instrText>ADDIN CSL_CITATION {"citationItems":[{"id":"ITEM-1","itemData":{"DOI":"10.1007/s00404-017-4611-6","abstract":"Purpose: To perform serum microRNA expression profiling to identify members of chromosome 19 miRNA cluster involved in preeclampsia development. Methods: Serum chromosome 19 miRNA cluster microRNA expression profiling was evaluated at 12, 16, and 20 gestational weeks and at the time of preeclampsia diagnosis, in women who developed preeclampsia (WWD-PE; n = 16) and controls (n = 18) using TaqMan low density array plates. Results: A total of 51 chromosome 19 microRNA cluster members were evaluated. The circulating hsa-miRs 512-3p, 518f-3p, 520c-3p, and 520d-3p, were differentially expressed between groups (P &lt; 0.05). Compared with controls, serum levels of hsa-miR-518f-3p at 20 GW were useful for identifying WWD-Mild-PE (P = 0.035) and WWD-Severe-PE (P = 0.007). Conclusions: Serum hsa-miRs 512-3p, 518f-3p, 520c-3p, and 520d-3p, are differentially expressed between WWD-PE and controls and their role in the development of preeclampsia should be investigated further.","author":[{"dropping-particle":"","family":"Martinez-Fierro","given":"Margarita L.","non-dropping-particle":"","parse-names":false,"suffix":""},{"dropping-particle":"","family":"Garza-Veloz","given":"Idalia","non-dropping-particle":"","parse-names":false,"suffix":""},{"dropping-particle":"","family":"Gutierrez-Arteaga","given":"Cristina","non-dropping-particle":"","parse-names":false,"suffix":""},{"dropping-particle":"","family":"Delgado-Enciso","given":"Ivan","non-dropping-particle":"","parse-names":false,"suffix":""},{"dropping-particle":"","family":"Barbosa-Cisneros","given":"Olga Y.","non-dropping-particle":"","parse-names":false,"suffix":""},{"dropping-particle":"","family":"Flores-Morales","given":"Virginia","non-dropping-particle":"","parse-names":false,"suffix":""},{"dropping-particle":"","family":"Hernandez-Delgadillo","given":"Gloria P.","non-dropping-particle":"","parse-names":false,"suffix":""},{"dropping-particle":"","family":"Rocha-Pizaña","given":"Maria R.","non-dropping-particle":"","parse-names":false,"suffix":""},{"dropping-particle":"","family":"Rodriguez-Sanchez","given":"Iram P.","non-dropping-particle":"","parse-names":false,"suffix":""},{"dropping-particle":"","family":"Badillo-Almaraz","given":"Jose I.","non-dropping-particle":"","parse-names":false,"suffix":""},{"dropping-particle":"","family":"Ortiz-Rodriguez","given":"Jose M.","non-dropping-particle":"","parse-names":false,"suffix":""},{"dropping-particle":"","family":"Castañeda-Miranda","given":"Rodrigo","non-dropping-particle":"","parse-names":false,"suffix":""},{"dropping-particle":"","family":"Solis-Sanchez","given":"Luis O.","non-dropping-particle":"","parse-names":false,"suffix":""},{"dropping-particle":"","family":"Ortiz-Castro","given":"Yolanda","non-dropping-particle":"","parse-names":false,"suffix":""}],"container-title":"Archives of Gynecology and Obstetrics","id":"ITEM-1","issue":"2","issued":{"date-parts":[["2018"]]},"page":"365-371","title":"Circulating levels of specific members of chromosome 19 microRNA cluster are associated with preeclampsia development","type":"article-journal","volume":"297"},"uris":["http://www.mendeley.com/documents/?uuid=fcd98f5c-a55b-3ef1-9ad4-9bfa99e7f0d5"]}],"mendeley":{"formattedCitation":"(Martinez-Fierro et al., 2018)","plainTextFormattedCitation":"(Martinez-Fierro et al., 2018)","previouslyFormattedCitation":"(Martinez-Fierro et al., 2018)"},"properties":{"noteIndex":0},"schema":"https://github.com/citation-style-language/schema/raw/master/csl-citation.json"}</w:instrText>
            </w:r>
            <w:r>
              <w:rPr>
                <w:sz w:val="18"/>
                <w:szCs w:val="18"/>
              </w:rPr>
              <w:fldChar w:fldCharType="separate"/>
            </w:r>
            <w:r w:rsidR="001B2671" w:rsidRPr="001B2671">
              <w:rPr>
                <w:noProof/>
                <w:sz w:val="18"/>
                <w:szCs w:val="18"/>
              </w:rPr>
              <w:t>(Martinez-Fierro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136</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539-5p</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423-5p</w:t>
            </w:r>
          </w:p>
        </w:tc>
        <w:tc>
          <w:tcPr>
            <w:tcW w:w="2136" w:type="dxa"/>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p w:rsidR="00460963" w:rsidRDefault="00460963" w:rsidP="009B2A14">
            <w:pPr>
              <w:spacing w:after="0"/>
              <w:jc w:val="center"/>
              <w:rPr>
                <w:sz w:val="18"/>
                <w:szCs w:val="18"/>
              </w:rPr>
            </w:pPr>
            <w:r>
              <w:rPr>
                <w:sz w:val="18"/>
                <w:szCs w:val="18"/>
              </w:rPr>
              <w:t>MPB (plasma exosomes)</w:t>
            </w:r>
          </w:p>
          <w:p w:rsidR="00460963" w:rsidRDefault="00460963" w:rsidP="009B2A14">
            <w:pPr>
              <w:spacing w:after="0"/>
              <w:jc w:val="center"/>
              <w:rPr>
                <w:sz w:val="18"/>
                <w:szCs w:val="18"/>
              </w:rPr>
            </w:pPr>
            <w:r>
              <w:rPr>
                <w:sz w:val="18"/>
                <w:szCs w:val="18"/>
              </w:rPr>
              <w:lastRenderedPageBreak/>
              <w:t>MPB (plasma exosomes)</w:t>
            </w:r>
          </w:p>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lastRenderedPageBreak/>
              <w:t>Down in EOPE</w:t>
            </w:r>
          </w:p>
          <w:p w:rsidR="00460963" w:rsidRDefault="00460963" w:rsidP="009B2A14">
            <w:pPr>
              <w:spacing w:after="0"/>
              <w:jc w:val="center"/>
              <w:rPr>
                <w:sz w:val="18"/>
                <w:szCs w:val="18"/>
              </w:rPr>
            </w:pPr>
            <w:r>
              <w:rPr>
                <w:sz w:val="18"/>
                <w:szCs w:val="18"/>
              </w:rPr>
              <w:t>Up in EOPE</w:t>
            </w:r>
          </w:p>
          <w:p w:rsidR="00460963" w:rsidRDefault="00460963" w:rsidP="009B2A14">
            <w:pPr>
              <w:spacing w:after="0"/>
              <w:jc w:val="center"/>
              <w:rPr>
                <w:sz w:val="18"/>
                <w:szCs w:val="18"/>
              </w:rPr>
            </w:pPr>
            <w:r>
              <w:rPr>
                <w:sz w:val="18"/>
                <w:szCs w:val="18"/>
              </w:rPr>
              <w:t>Up in EOPE (11-13gw)</w:t>
            </w:r>
          </w:p>
          <w:p w:rsidR="00460963" w:rsidRDefault="00460963" w:rsidP="009B2A14">
            <w:pPr>
              <w:spacing w:after="0"/>
              <w:jc w:val="center"/>
              <w:rPr>
                <w:sz w:val="18"/>
                <w:szCs w:val="18"/>
              </w:rPr>
            </w:pPr>
            <w:r>
              <w:rPr>
                <w:sz w:val="18"/>
                <w:szCs w:val="18"/>
              </w:rPr>
              <w:lastRenderedPageBreak/>
              <w:t>Up in EOPE (24-26gw)</w:t>
            </w:r>
          </w:p>
          <w:p w:rsidR="00460963" w:rsidRDefault="00460963" w:rsidP="009B2A14">
            <w:pPr>
              <w:spacing w:after="0"/>
              <w:jc w:val="center"/>
              <w:rPr>
                <w:sz w:val="18"/>
                <w:szCs w:val="18"/>
              </w:rPr>
            </w:pPr>
            <w:r>
              <w:rPr>
                <w:sz w:val="18"/>
                <w:szCs w:val="18"/>
              </w:rPr>
              <w:t>Up in EOPE (30-32gw)</w:t>
            </w:r>
          </w:p>
        </w:tc>
        <w:tc>
          <w:tcPr>
            <w:tcW w:w="1173" w:type="dxa"/>
          </w:tcPr>
          <w:p w:rsidR="00460963" w:rsidRDefault="00460963" w:rsidP="009B2A14">
            <w:pPr>
              <w:spacing w:after="0"/>
              <w:jc w:val="center"/>
              <w:rPr>
                <w:sz w:val="18"/>
                <w:szCs w:val="18"/>
              </w:rPr>
            </w:pPr>
            <w:r>
              <w:rPr>
                <w:sz w:val="18"/>
                <w:szCs w:val="18"/>
              </w:rPr>
              <w:lastRenderedPageBreak/>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lastRenderedPageBreak/>
              <w:t>No</w:t>
            </w:r>
          </w:p>
          <w:p w:rsidR="00460963" w:rsidRDefault="00460963" w:rsidP="009B2A14">
            <w:pPr>
              <w:spacing w:after="0"/>
              <w:jc w:val="center"/>
              <w:rPr>
                <w:sz w:val="18"/>
                <w:szCs w:val="18"/>
              </w:rPr>
            </w:pPr>
            <w:r>
              <w:rPr>
                <w:sz w:val="18"/>
                <w:szCs w:val="18"/>
              </w:rPr>
              <w:t>Yes</w:t>
            </w:r>
          </w:p>
        </w:tc>
        <w:tc>
          <w:tcPr>
            <w:tcW w:w="2977" w:type="dxa"/>
          </w:tcPr>
          <w:p w:rsidR="001B2671" w:rsidRDefault="00E33D6E" w:rsidP="001B2671">
            <w:pPr>
              <w:spacing w:after="0"/>
              <w:jc w:val="center"/>
              <w:rPr>
                <w:sz w:val="18"/>
                <w:szCs w:val="18"/>
              </w:rPr>
            </w:pPr>
            <w:r>
              <w:rPr>
                <w:sz w:val="18"/>
                <w:szCs w:val="18"/>
              </w:rPr>
              <w:lastRenderedPageBreak/>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1B2671" w:rsidRDefault="00E33D6E" w:rsidP="001B2671">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1B2671" w:rsidRDefault="00E33D6E" w:rsidP="001B2671">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1B2671" w:rsidRDefault="00E33D6E" w:rsidP="001B2671">
            <w:pPr>
              <w:spacing w:after="0"/>
              <w:jc w:val="center"/>
              <w:rPr>
                <w:sz w:val="18"/>
                <w:szCs w:val="18"/>
              </w:rPr>
            </w:pPr>
            <w:r>
              <w:rPr>
                <w:sz w:val="18"/>
                <w:szCs w:val="18"/>
              </w:rPr>
              <w:lastRenderedPageBreak/>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lastRenderedPageBreak/>
              <w:t>141</w:t>
            </w:r>
          </w:p>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lastRenderedPageBreak/>
              <w:t>141</w:t>
            </w:r>
          </w:p>
          <w:p w:rsidR="00460963" w:rsidRDefault="00460963" w:rsidP="009B2A14">
            <w:pPr>
              <w:spacing w:after="0"/>
              <w:jc w:val="center"/>
              <w:rPr>
                <w:sz w:val="18"/>
                <w:szCs w:val="18"/>
              </w:rPr>
            </w:pPr>
            <w:r>
              <w:rPr>
                <w:sz w:val="18"/>
                <w:szCs w:val="18"/>
              </w:rPr>
              <w:t>141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lastRenderedPageBreak/>
              <w:t>629-5p</w:t>
            </w:r>
          </w:p>
        </w:tc>
        <w:tc>
          <w:tcPr>
            <w:tcW w:w="2136" w:type="dxa"/>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EOPE</w:t>
            </w:r>
          </w:p>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tc>
        <w:tc>
          <w:tcPr>
            <w:tcW w:w="2977" w:type="dxa"/>
          </w:tcPr>
          <w:p w:rsidR="001B2671" w:rsidRDefault="00E33D6E" w:rsidP="001B2671">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532-5p</w:t>
            </w:r>
          </w:p>
        </w:tc>
        <w:tc>
          <w:tcPr>
            <w:tcW w:w="2136" w:type="dxa"/>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 exosomes)</w:t>
            </w:r>
          </w:p>
          <w:p w:rsidR="00460963" w:rsidRDefault="00460963" w:rsidP="009B2A14">
            <w:pPr>
              <w:spacing w:after="0"/>
              <w:jc w:val="center"/>
              <w:rPr>
                <w:sz w:val="18"/>
                <w:szCs w:val="18"/>
              </w:rPr>
            </w:pPr>
            <w:r>
              <w:rPr>
                <w:sz w:val="18"/>
                <w:szCs w:val="18"/>
              </w:rPr>
              <w:t>MPB (plasma exosomes)</w:t>
            </w:r>
          </w:p>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p w:rsidR="00460963" w:rsidRDefault="00460963" w:rsidP="009B2A14">
            <w:pPr>
              <w:spacing w:after="0"/>
              <w:jc w:val="center"/>
              <w:rPr>
                <w:sz w:val="18"/>
                <w:szCs w:val="18"/>
              </w:rPr>
            </w:pPr>
            <w:r>
              <w:rPr>
                <w:sz w:val="18"/>
                <w:szCs w:val="18"/>
              </w:rPr>
              <w:t>Up in EOPE (11-13gw)</w:t>
            </w:r>
          </w:p>
          <w:p w:rsidR="00460963" w:rsidRDefault="00460963" w:rsidP="009B2A14">
            <w:pPr>
              <w:spacing w:after="0"/>
              <w:jc w:val="center"/>
              <w:rPr>
                <w:sz w:val="18"/>
                <w:szCs w:val="18"/>
              </w:rPr>
            </w:pPr>
            <w:r>
              <w:rPr>
                <w:sz w:val="18"/>
                <w:szCs w:val="18"/>
              </w:rPr>
              <w:t>Up in EOPE (24-26gw)</w:t>
            </w:r>
          </w:p>
          <w:p w:rsidR="00460963" w:rsidRDefault="00460963" w:rsidP="009B2A14">
            <w:pPr>
              <w:spacing w:after="0"/>
              <w:jc w:val="center"/>
              <w:rPr>
                <w:sz w:val="18"/>
                <w:szCs w:val="18"/>
              </w:rPr>
            </w:pPr>
            <w:r>
              <w:rPr>
                <w:sz w:val="18"/>
                <w:szCs w:val="18"/>
              </w:rPr>
              <w:t>No difference in EOPE (30-32gw)</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No</w:t>
            </w:r>
          </w:p>
        </w:tc>
        <w:tc>
          <w:tcPr>
            <w:tcW w:w="2977" w:type="dxa"/>
          </w:tcPr>
          <w:p w:rsidR="001B2671" w:rsidRDefault="00E33D6E" w:rsidP="001B2671">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1B2671" w:rsidRDefault="00E33D6E" w:rsidP="001B2671">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1B2671" w:rsidRDefault="00E33D6E" w:rsidP="001B2671">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519-3p</w:t>
            </w:r>
          </w:p>
        </w:tc>
        <w:tc>
          <w:tcPr>
            <w:tcW w:w="2136" w:type="dxa"/>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EOPE</w:t>
            </w:r>
          </w:p>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tc>
        <w:tc>
          <w:tcPr>
            <w:tcW w:w="2977" w:type="dxa"/>
          </w:tcPr>
          <w:p w:rsidR="001B2671" w:rsidRDefault="00E33D6E" w:rsidP="001B2671">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127-3p</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let-7c-5p</w:t>
            </w:r>
          </w:p>
        </w:tc>
        <w:tc>
          <w:tcPr>
            <w:tcW w:w="2136" w:type="dxa"/>
          </w:tcPr>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EOPE</w:t>
            </w:r>
          </w:p>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p w:rsidR="001B2671" w:rsidRDefault="00E33D6E" w:rsidP="009B2A14">
            <w:pPr>
              <w:spacing w:after="0"/>
              <w:jc w:val="center"/>
              <w:rPr>
                <w:sz w:val="18"/>
                <w:szCs w:val="18"/>
              </w:rPr>
            </w:pPr>
            <w:r>
              <w:rPr>
                <w:sz w:val="18"/>
                <w:szCs w:val="18"/>
              </w:rPr>
              <w:fldChar w:fldCharType="begin" w:fldLock="1"/>
            </w:r>
            <w:r w:rsidR="001B2671">
              <w:rPr>
                <w:sz w:val="18"/>
                <w:szCs w:val="18"/>
              </w:rPr>
              <w:instrText>ADDIN CSL_CITATION {"citationItems":[{"id":"ITEM-1","itemData":{"DOI":"10.1016/j.placenta.2017.11.011","abstract":"Introduction It is thought that poor placental perfusion caused by inadequate remodelling of the maternal spiral arteries leads to preeclampsia (PE). To identify novel signalling pathways that contribute to PE pathogenesis and to create prerequisites for the non-invasive diagnosis of PE before clinical manifestations of the disease, this study aimed to evaluate miRNA expression levels in the placenta and blood plasma of pregnant women. Methods miRNA deep sequencing followed by real-time quantitative RT-PCR was applied to compare miRNA expression profiles in the placenta and blood plasma from women with early- and late-onset PE relative to the control group. Results A more than two-fold decrease in miR-532-5p, -423-5p, -127-3p, -539-5p, -519a-3p, and -629-5p and let-7c-5p expression levels was observed in the placenta, while a more than two-fold increase in miR-423-5p, 519a-3p, and -629-5p and let-7c-5p was observed in the blood plasma of pregnant women with PE. The above-listed miRNAs are associated with PE for the first time in this study, except for miR-519a-3p, whose role in PE has already been postulated. Using a logistic regression, plasma samples were classified into the early-onset PE group (probability p = 0.01, 80% specificity, 87.5% sensitivity and 87.5% precision) and showed increased miR-423-5p expression levels that were confirmed by the 9.8-fold up-regulation (р = 0.0002498) of miR-423-5p expression observed in the blood plasma at 11–13 GW by RT-PCR in a group of pregnant women manifesting severe PE clinical signs at 28–33 GW. Conclusions miR-423-5p may be considered a potential candidate for the early diagnosis of PE during the targeted management of high-risk pregnancies.","author":[{"dropping-particle":"V.","family":"Timofeeva","given":"Angelika","non-dropping-particle":"","parse-names":false,"suffix":""},{"dropping-particle":"","family":"Gusar","given":"Vladyslava A.","non-dropping-particle":"","parse-names":false,"suffix":""},{"dropping-particle":"","family":"Kan","given":"Nataliya E.","non-dropping-particle":"","parse-names":false,"suffix":""},{"dropping-particle":"","family":"Prozorovskaya","given":"Kseniya N.","non-dropping-particle":"","parse-names":false,"suffix":""},{"dropping-particle":"","family":"Karapetyan","given":"Anna O.","non-dropping-particle":"","parse-names":false,"suffix":""},{"dropping-particle":"","family":"Bayev","given":"Oleg R.","non-dropping-particle":"","parse-names":false,"suffix":""},{"dropping-particle":"V.","family":"Chagovets","given":"Vitaliy","non-dropping-particle":"","parse-names":false,"suffix":""},{"dropping-particle":"","family":"Kliver","given":"Sergei F.","non-dropping-particle":"","parse-names":false,"suffix":""},{"dropping-particle":"","family":"Iakovishina","given":"Daria Yu","non-dropping-particle":"","parse-names":false,"suffix":""},{"dropping-particle":"","family":"Frankevich","given":"Vladimir E.","non-dropping-particle":"","parse-names":false,"suffix":""},{"dropping-particle":"","family":"Sukhikh","given":"Gennadiy T.","non-dropping-particle":"","parse-names":false,"suffix":""}],"container-title":"Placenta","id":"ITEM-1","issued":{"date-parts":[["2018"]]},"page":"61-71","title":"Identification of potential early biomarkers of preeclampsia","type":"article-journal","volume":"61"},"uris":["http://www.mendeley.com/documents/?uuid=024d2ca1-e931-3035-9c84-4fed92ca187f"]}],"mendeley":{"formattedCitation":"(Timofeeva et al., 2018)","plainTextFormattedCitation":"(Timofeeva et al., 2018)","previouslyFormattedCitation":"(Timofeeva et al., 2018)"},"properties":{"noteIndex":0},"schema":"https://github.com/citation-style-language/schema/raw/master/csl-citation.json"}</w:instrText>
            </w:r>
            <w:r>
              <w:rPr>
                <w:sz w:val="18"/>
                <w:szCs w:val="18"/>
              </w:rPr>
              <w:fldChar w:fldCharType="separate"/>
            </w:r>
            <w:r w:rsidR="001B2671" w:rsidRPr="005E6D07">
              <w:rPr>
                <w:noProof/>
                <w:sz w:val="18"/>
                <w:szCs w:val="18"/>
              </w:rPr>
              <w:t>(Timofeeva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141</w:t>
            </w:r>
          </w:p>
          <w:p w:rsidR="00460963" w:rsidRDefault="00460963" w:rsidP="009B2A14">
            <w:pPr>
              <w:spacing w:after="0"/>
              <w:jc w:val="center"/>
              <w:rPr>
                <w:sz w:val="18"/>
                <w:szCs w:val="18"/>
              </w:rPr>
            </w:pPr>
            <w:r>
              <w:rPr>
                <w:sz w:val="18"/>
                <w:szCs w:val="18"/>
              </w:rPr>
              <w:t>141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892c-3p</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FA6F9A">
              <w:rPr>
                <w:sz w:val="18"/>
                <w:szCs w:val="18"/>
              </w:rPr>
              <w:instrText>ADDIN CSL_CITATION {"citationItems":[{"id":"ITEM-1","itemData":{"DOI":"10.1093/molehr/gay031","ISSN":"14602407","PMID":"30060096","abstract":"STUDY QUESTION: Are any microRNAs (miRNAs) that target the placental renin-angiotensin system (RAS) in the human placenta suppressed in early gestation? SUMMARY ANSWER: Overall, 21 miRNAs with predicted RAS mRNA targets were less abundant in early versus term placentae and nine were more highly expressed. WHAT IS KNOWN ALREADY: Regulation of human placental RAS expression could alter placental development and therefore normal pregnancy outcome. The expression of genes encoding prorenin (REN), angiotensinogen, (pro)renin receptor, angiotensin converting enzyme 2, and the angiotensin II type 1 receptor are highest in early gestation, at a time when oxygen tension is at its lowest. Studies have shown that the human placental RAS is sensitive to oxygen, as are some miRNAs that regulate RAS mRNAs. We propose that in early pregnancy, the prevailing low O2 tension, by suppression of levels of miRNAs that target RAS mRNAs, results in increased expression of RAS mRNAs and encoded proteins. As gestation proceeds and the prevailing oxygen tension rises, abundance of these miRNAs increases, and placental RAS mRNA expression is suppressed. STUDY DESIGN, SIZE, DURATION: The expression of miRNAs was compared in human placentae collected in early (10-11 weeks; n = 7) and mid-gestation (14-18 weeks; n = 8) with placenta collected at term (38-40 weeks; n = 8). Expression of placental miRNAs in women with early (29-35.1 weeks; n = 8) or late-onset pre-eclampsia (PE) (&gt;34-weeks gestation; n = 8) and gestational age matched preterm (31.6-35.1 weeks; n = 8) and term normotensive controls were also compared. PARTICIPANTS/MATERIALS, SETTING, METHODS: Agilent Human miRNA microarray v19 was used to detect up to 2006 miRNAs in four placentae from each group. Statistically different levels of expression were determined and refined using predictive modelling. Placental miRNAs predicted to target RAS mRNAs were identified in three databases. Differences detected on the array were confirmed for some miRNAs by semi-quantitative RT-PCR (qPCR, n = 7-8 for all groups). Two differentially expressed miRNAs that were known to target human renal REN mRNA (miR-181a-5p and miR-663) were transfected into human HTR-8/SVneo trophoblast cells to examine their effect on placental REN expression and prorenin levels. MAIN RESULTS AND THE ROLE OF CHANCE: In early gestation placentae, 186 miRNAs were differentially expressed compared with term placentae (109 increased, 77 decreased). Thirty of the diff…","author":[{"dropping-particle":"","family":"Wang","given":"Yu","non-dropping-particle":"","parse-names":false,"suffix":""},{"dropping-particle":"","family":"Lumbers","given":"Eugenie R.","non-dropping-particle":"","parse-names":false,"suffix":""},{"dropping-particle":"","family":"Arthurs","given":"Anya L.","non-dropping-particle":"","parse-names":false,"suffix":""},{"dropping-particle":"","family":"Meaultsart","given":"Celine Corbisier","non-dropping-particle":"De","parse-names":false,"suffix":""},{"dropping-particle":"","family":"Mathe","given":"Andrea","non-dropping-particle":"","parse-names":false,"suffix":""},{"dropping-particle":"","family":"Avery-Kiejda","given":"Kelly A.","non-dropping-particle":"","parse-names":false,"suffix":""},{"dropping-particle":"","family":"Roberts","given":"Claire T.","non-dropping-particle":"","parse-names":false,"suffix":""},{"dropping-particle":"","family":"Pipkin","given":"Fiona Broughton","non-dropping-particle":"","parse-names":false,"suffix":""},{"dropping-particle":"","family":"Marques","given":"Francine Z.","non-dropping-particle":"","parse-names":false,"suffix":""},{"dropping-particle":"","family":"Morris","given":"Brian J.","non-dropping-particle":"","parse-names":false,"suffix":""},{"dropping-particle":"","family":"Pringle","given":"Kirsty G.","non-dropping-particle":"","parse-names":false,"suffix":""}],"container-title":"Molecular Human Reproduction","id":"ITEM-1","issue":"9","issued":{"date-parts":[["2018"]]},"page":"453-464","title":"Regulation of the human placental (pro)renin receptor-prorenin-angiotensin system by microRNAs","type":"article-journal","volume":"24"},"uris":["http://www.mendeley.com/documents/?uuid=e92ad325-13b9-4f2d-9eea-5bfe16f792b9"]}],"mendeley":{"formattedCitation":"(Wang et al., 2018c)","plainTextFormattedCitation":"(Wang et al., 2018c)","previouslyFormattedCitation":"(Wang et al., 2018c)"},"properties":{"noteIndex":0},"schema":"https://github.com/citation-style-language/schema/raw/master/csl-citation.json"}</w:instrText>
            </w:r>
            <w:r>
              <w:rPr>
                <w:sz w:val="18"/>
                <w:szCs w:val="18"/>
              </w:rPr>
              <w:fldChar w:fldCharType="separate"/>
            </w:r>
            <w:r w:rsidR="00497F37" w:rsidRPr="00497F37">
              <w:rPr>
                <w:noProof/>
                <w:sz w:val="18"/>
                <w:szCs w:val="18"/>
              </w:rPr>
              <w:t>(Wang et al., 2018c)</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145</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378c</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FA6F9A">
              <w:rPr>
                <w:sz w:val="18"/>
                <w:szCs w:val="18"/>
              </w:rPr>
              <w:instrText>ADDIN CSL_CITATION {"citationItems":[{"id":"ITEM-1","itemData":{"DOI":"10.1093/molehr/gay031","ISSN":"14602407","PMID":"30060096","abstract":"STUDY QUESTION: Are any microRNAs (miRNAs) that target the placental renin-angiotensin system (RAS) in the human placenta suppressed in early gestation? SUMMARY ANSWER: Overall, 21 miRNAs with predicted RAS mRNA targets were less abundant in early versus term placentae and nine were more highly expressed. WHAT IS KNOWN ALREADY: Regulation of human placental RAS expression could alter placental development and therefore normal pregnancy outcome. The expression of genes encoding prorenin (REN), angiotensinogen, (pro)renin receptor, angiotensin converting enzyme 2, and the angiotensin II type 1 receptor are highest in early gestation, at a time when oxygen tension is at its lowest. Studies have shown that the human placental RAS is sensitive to oxygen, as are some miRNAs that regulate RAS mRNAs. We propose that in early pregnancy, the prevailing low O2 tension, by suppression of levels of miRNAs that target RAS mRNAs, results in increased expression of RAS mRNAs and encoded proteins. As gestation proceeds and the prevailing oxygen tension rises, abundance of these miRNAs increases, and placental RAS mRNA expression is suppressed. STUDY DESIGN, SIZE, DURATION: The expression of miRNAs was compared in human placentae collected in early (10-11 weeks; n = 7) and mid-gestation (14-18 weeks; n = 8) with placenta collected at term (38-40 weeks; n = 8). Expression of placental miRNAs in women with early (29-35.1 weeks; n = 8) or late-onset pre-eclampsia (PE) (&gt;34-weeks gestation; n = 8) and gestational age matched preterm (31.6-35.1 weeks; n = 8) and term normotensive controls were also compared. PARTICIPANTS/MATERIALS, SETTING, METHODS: Agilent Human miRNA microarray v19 was used to detect up to 2006 miRNAs in four placentae from each group. Statistically different levels of expression were determined and refined using predictive modelling. Placental miRNAs predicted to target RAS mRNAs were identified in three databases. Differences detected on the array were confirmed for some miRNAs by semi-quantitative RT-PCR (qPCR, n = 7-8 for all groups). Two differentially expressed miRNAs that were known to target human renal REN mRNA (miR-181a-5p and miR-663) were transfected into human HTR-8/SVneo trophoblast cells to examine their effect on placental REN expression and prorenin levels. MAIN RESULTS AND THE ROLE OF CHANCE: In early gestation placentae, 186 miRNAs were differentially expressed compared with term placentae (109 increased, 77 decreased). Thirty of the diff…","author":[{"dropping-particle":"","family":"Wang","given":"Yu","non-dropping-particle":"","parse-names":false,"suffix":""},{"dropping-particle":"","family":"Lumbers","given":"Eugenie R.","non-dropping-particle":"","parse-names":false,"suffix":""},{"dropping-particle":"","family":"Arthurs","given":"Anya L.","non-dropping-particle":"","parse-names":false,"suffix":""},{"dropping-particle":"","family":"Meaultsart","given":"Celine Corbisier","non-dropping-particle":"De","parse-names":false,"suffix":""},{"dropping-particle":"","family":"Mathe","given":"Andrea","non-dropping-particle":"","parse-names":false,"suffix":""},{"dropping-particle":"","family":"Avery-Kiejda","given":"Kelly A.","non-dropping-particle":"","parse-names":false,"suffix":""},{"dropping-particle":"","family":"Roberts","given":"Claire T.","non-dropping-particle":"","parse-names":false,"suffix":""},{"dropping-particle":"","family":"Pipkin","given":"Fiona Broughton","non-dropping-particle":"","parse-names":false,"suffix":""},{"dropping-particle":"","family":"Marques","given":"Francine Z.","non-dropping-particle":"","parse-names":false,"suffix":""},{"dropping-particle":"","family":"Morris","given":"Brian J.","non-dropping-particle":"","parse-names":false,"suffix":""},{"dropping-particle":"","family":"Pringle","given":"Kirsty G.","non-dropping-particle":"","parse-names":false,"suffix":""}],"container-title":"Molecular Human Reproduction","id":"ITEM-1","issue":"9","issued":{"date-parts":[["2018"]]},"page":"453-464","title":"Regulation of the human placental (pro)renin receptor-prorenin-angiotensin system by microRNAs","type":"article-journal","volume":"24"},"uris":["http://www.mendeley.com/documents/?uuid=e92ad325-13b9-4f2d-9eea-5bfe16f792b9"]}],"mendeley":{"formattedCitation":"(Wang et al., 2018c)","plainTextFormattedCitation":"(Wang et al., 2018c)","previouslyFormattedCitation":"(Wang et al., 2018c)"},"properties":{"noteIndex":0},"schema":"https://github.com/citation-style-language/schema/raw/master/csl-citation.json"}</w:instrText>
            </w:r>
            <w:r>
              <w:rPr>
                <w:sz w:val="18"/>
                <w:szCs w:val="18"/>
              </w:rPr>
              <w:fldChar w:fldCharType="separate"/>
            </w:r>
            <w:r w:rsidR="00497F37" w:rsidRPr="00497F37">
              <w:rPr>
                <w:noProof/>
                <w:sz w:val="18"/>
                <w:szCs w:val="18"/>
              </w:rPr>
              <w:t>(Wang et al., 2018c)</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145</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514b-3p</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FA6F9A">
              <w:rPr>
                <w:sz w:val="18"/>
                <w:szCs w:val="18"/>
              </w:rPr>
              <w:instrText>ADDIN CSL_CITATION {"citationItems":[{"id":"ITEM-1","itemData":{"DOI":"10.1093/molehr/gay031","ISSN":"14602407","PMID":"30060096","abstract":"STUDY QUESTION: Are any microRNAs (miRNAs) that target the placental renin-angiotensin system (RAS) in the human placenta suppressed in early gestation? SUMMARY ANSWER: Overall, 21 miRNAs with predicted RAS mRNA targets were less abundant in early versus term placentae and nine were more highly expressed. WHAT IS KNOWN ALREADY: Regulation of human placental RAS expression could alter placental development and therefore normal pregnancy outcome. The expression of genes encoding prorenin (REN), angiotensinogen, (pro)renin receptor, angiotensin converting enzyme 2, and the angiotensin II type 1 receptor are highest in early gestation, at a time when oxygen tension is at its lowest. Studies have shown that the human placental RAS is sensitive to oxygen, as are some miRNAs that regulate RAS mRNAs. We propose that in early pregnancy, the prevailing low O2 tension, by suppression of levels of miRNAs that target RAS mRNAs, results in increased expression of RAS mRNAs and encoded proteins. As gestation proceeds and the prevailing oxygen tension rises, abundance of these miRNAs increases, and placental RAS mRNA expression is suppressed. STUDY DESIGN, SIZE, DURATION: The expression of miRNAs was compared in human placentae collected in early (10-11 weeks; n = 7) and mid-gestation (14-18 weeks; n = 8) with placenta collected at term (38-40 weeks; n = 8). Expression of placental miRNAs in women with early (29-35.1 weeks; n = 8) or late-onset pre-eclampsia (PE) (&gt;34-weeks gestation; n = 8) and gestational age matched preterm (31.6-35.1 weeks; n = 8) and term normotensive controls were also compared. PARTICIPANTS/MATERIALS, SETTING, METHODS: Agilent Human miRNA microarray v19 was used to detect up to 2006 miRNAs in four placentae from each group. Statistically different levels of expression were determined and refined using predictive modelling. Placental miRNAs predicted to target RAS mRNAs were identified in three databases. Differences detected on the array were confirmed for some miRNAs by semi-quantitative RT-PCR (qPCR, n = 7-8 for all groups). Two differentially expressed miRNAs that were known to target human renal REN mRNA (miR-181a-5p and miR-663) were transfected into human HTR-8/SVneo trophoblast cells to examine their effect on placental REN expression and prorenin levels. MAIN RESULTS AND THE ROLE OF CHANCE: In early gestation placentae, 186 miRNAs were differentially expressed compared with term placentae (109 increased, 77 decreased). Thirty of the diff…","author":[{"dropping-particle":"","family":"Wang","given":"Yu","non-dropping-particle":"","parse-names":false,"suffix":""},{"dropping-particle":"","family":"Lumbers","given":"Eugenie R.","non-dropping-particle":"","parse-names":false,"suffix":""},{"dropping-particle":"","family":"Arthurs","given":"Anya L.","non-dropping-particle":"","parse-names":false,"suffix":""},{"dropping-particle":"","family":"Meaultsart","given":"Celine Corbisier","non-dropping-particle":"De","parse-names":false,"suffix":""},{"dropping-particle":"","family":"Mathe","given":"Andrea","non-dropping-particle":"","parse-names":false,"suffix":""},{"dropping-particle":"","family":"Avery-Kiejda","given":"Kelly A.","non-dropping-particle":"","parse-names":false,"suffix":""},{"dropping-particle":"","family":"Roberts","given":"Claire T.","non-dropping-particle":"","parse-names":false,"suffix":""},{"dropping-particle":"","family":"Pipkin","given":"Fiona Broughton","non-dropping-particle":"","parse-names":false,"suffix":""},{"dropping-particle":"","family":"Marques","given":"Francine Z.","non-dropping-particle":"","parse-names":false,"suffix":""},{"dropping-particle":"","family":"Morris","given":"Brian J.","non-dropping-particle":"","parse-names":false,"suffix":""},{"dropping-particle":"","family":"Pringle","given":"Kirsty G.","non-dropping-particle":"","parse-names":false,"suffix":""}],"container-title":"Molecular Human Reproduction","id":"ITEM-1","issue":"9","issued":{"date-parts":[["2018"]]},"page":"453-464","title":"Regulation of the human placental (pro)renin receptor-prorenin-angiotensin system by microRNAs","type":"article-journal","volume":"24"},"uris":["http://www.mendeley.com/documents/?uuid=e92ad325-13b9-4f2d-9eea-5bfe16f792b9"]}],"mendeley":{"formattedCitation":"(Wang et al., 2018c)","plainTextFormattedCitation":"(Wang et al., 2018c)","previouslyFormattedCitation":"(Wang et al., 2018c)"},"properties":{"noteIndex":0},"schema":"https://github.com/citation-style-language/schema/raw/master/csl-citation.json"}</w:instrText>
            </w:r>
            <w:r>
              <w:rPr>
                <w:sz w:val="18"/>
                <w:szCs w:val="18"/>
              </w:rPr>
              <w:fldChar w:fldCharType="separate"/>
            </w:r>
            <w:r w:rsidR="00497F37" w:rsidRPr="00497F37">
              <w:rPr>
                <w:noProof/>
                <w:sz w:val="18"/>
                <w:szCs w:val="18"/>
              </w:rPr>
              <w:t>(Wang et al., 2018c)</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145</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663</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FA6F9A">
              <w:rPr>
                <w:sz w:val="18"/>
                <w:szCs w:val="18"/>
              </w:rPr>
              <w:instrText>ADDIN CSL_CITATION {"citationItems":[{"id":"ITEM-1","itemData":{"DOI":"10.1093/molehr/gay031","ISSN":"14602407","PMID":"30060096","abstract":"STUDY QUESTION: Are any microRNAs (miRNAs) that target the placental renin-angiotensin system (RAS) in the human placenta suppressed in early gestation? SUMMARY ANSWER: Overall, 21 miRNAs with predicted RAS mRNA targets were less abundant in early versus term placentae and nine were more highly expressed. WHAT IS KNOWN ALREADY: Regulation of human placental RAS expression could alter placental development and therefore normal pregnancy outcome. The expression of genes encoding prorenin (REN), angiotensinogen, (pro)renin receptor, angiotensin converting enzyme 2, and the angiotensin II type 1 receptor are highest in early gestation, at a time when oxygen tension is at its lowest. Studies have shown that the human placental RAS is sensitive to oxygen, as are some miRNAs that regulate RAS mRNAs. We propose that in early pregnancy, the prevailing low O2 tension, by suppression of levels of miRNAs that target RAS mRNAs, results in increased expression of RAS mRNAs and encoded proteins. As gestation proceeds and the prevailing oxygen tension rises, abundance of these miRNAs increases, and placental RAS mRNA expression is suppressed. STUDY DESIGN, SIZE, DURATION: The expression of miRNAs was compared in human placentae collected in early (10-11 weeks; n = 7) and mid-gestation (14-18 weeks; n = 8) with placenta collected at term (38-40 weeks; n = 8). Expression of placental miRNAs in women with early (29-35.1 weeks; n = 8) or late-onset pre-eclampsia (PE) (&gt;34-weeks gestation; n = 8) and gestational age matched preterm (31.6-35.1 weeks; n = 8) and term normotensive controls were also compared. PARTICIPANTS/MATERIALS, SETTING, METHODS: Agilent Human miRNA microarray v19 was used to detect up to 2006 miRNAs in four placentae from each group. Statistically different levels of expression were determined and refined using predictive modelling. Placental miRNAs predicted to target RAS mRNAs were identified in three databases. Differences detected on the array were confirmed for some miRNAs by semi-quantitative RT-PCR (qPCR, n = 7-8 for all groups). Two differentially expressed miRNAs that were known to target human renal REN mRNA (miR-181a-5p and miR-663) were transfected into human HTR-8/SVneo trophoblast cells to examine their effect on placental REN expression and prorenin levels. MAIN RESULTS AND THE ROLE OF CHANCE: In early gestation placentae, 186 miRNAs were differentially expressed compared with term placentae (109 increased, 77 decreased). Thirty of the diff…","author":[{"dropping-particle":"","family":"Wang","given":"Yu","non-dropping-particle":"","parse-names":false,"suffix":""},{"dropping-particle":"","family":"Lumbers","given":"Eugenie R.","non-dropping-particle":"","parse-names":false,"suffix":""},{"dropping-particle":"","family":"Arthurs","given":"Anya L.","non-dropping-particle":"","parse-names":false,"suffix":""},{"dropping-particle":"","family":"Meaultsart","given":"Celine Corbisier","non-dropping-particle":"De","parse-names":false,"suffix":""},{"dropping-particle":"","family":"Mathe","given":"Andrea","non-dropping-particle":"","parse-names":false,"suffix":""},{"dropping-particle":"","family":"Avery-Kiejda","given":"Kelly A.","non-dropping-particle":"","parse-names":false,"suffix":""},{"dropping-particle":"","family":"Roberts","given":"Claire T.","non-dropping-particle":"","parse-names":false,"suffix":""},{"dropping-particle":"","family":"Pipkin","given":"Fiona Broughton","non-dropping-particle":"","parse-names":false,"suffix":""},{"dropping-particle":"","family":"Marques","given":"Francine Z.","non-dropping-particle":"","parse-names":false,"suffix":""},{"dropping-particle":"","family":"Morris","given":"Brian J.","non-dropping-particle":"","parse-names":false,"suffix":""},{"dropping-particle":"","family":"Pringle","given":"Kirsty G.","non-dropping-particle":"","parse-names":false,"suffix":""}],"container-title":"Molecular Human Reproduction","id":"ITEM-1","issue":"9","issued":{"date-parts":[["2018"]]},"page":"453-464","title":"Regulation of the human placental (pro)renin receptor-prorenin-angiotensin system by microRNAs","type":"article-journal","volume":"24"},"uris":["http://www.mendeley.com/documents/?uuid=e92ad325-13b9-4f2d-9eea-5bfe16f792b9"]}],"mendeley":{"formattedCitation":"(Wang et al., 2018c)","plainTextFormattedCitation":"(Wang et al., 2018c)","previouslyFormattedCitation":"(Wang et al., 2018c)"},"properties":{"noteIndex":0},"schema":"https://github.com/citation-style-language/schema/raw/master/csl-citation.json"}</w:instrText>
            </w:r>
            <w:r>
              <w:rPr>
                <w:sz w:val="18"/>
                <w:szCs w:val="18"/>
              </w:rPr>
              <w:fldChar w:fldCharType="separate"/>
            </w:r>
            <w:r w:rsidR="00497F37" w:rsidRPr="00497F37">
              <w:rPr>
                <w:noProof/>
                <w:sz w:val="18"/>
                <w:szCs w:val="18"/>
              </w:rPr>
              <w:t>(Wang et al., 2018c)</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145</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134</w:t>
            </w:r>
          </w:p>
        </w:tc>
        <w:tc>
          <w:tcPr>
            <w:tcW w:w="2136" w:type="dxa"/>
          </w:tcPr>
          <w:p w:rsidR="00460963" w:rsidRDefault="00460963" w:rsidP="009B2A14">
            <w:pPr>
              <w:spacing w:after="0"/>
              <w:jc w:val="center"/>
              <w:rPr>
                <w:sz w:val="18"/>
                <w:szCs w:val="18"/>
              </w:rPr>
            </w:pPr>
            <w:r>
              <w:rPr>
                <w:sz w:val="18"/>
                <w:szCs w:val="18"/>
              </w:rPr>
              <w:t>Placenta (basal plate)</w:t>
            </w:r>
          </w:p>
          <w:p w:rsidR="00460963" w:rsidRDefault="00460963" w:rsidP="009B2A14">
            <w:pPr>
              <w:spacing w:after="0"/>
              <w:jc w:val="center"/>
              <w:rPr>
                <w:sz w:val="18"/>
                <w:szCs w:val="18"/>
              </w:rPr>
            </w:pPr>
            <w:r>
              <w:rPr>
                <w:sz w:val="18"/>
                <w:szCs w:val="18"/>
              </w:rPr>
              <w:t>Placenta (chorionic plate)</w:t>
            </w:r>
          </w:p>
        </w:tc>
        <w:tc>
          <w:tcPr>
            <w:tcW w:w="2859" w:type="dxa"/>
          </w:tcPr>
          <w:p w:rsidR="00460963" w:rsidRDefault="00460963" w:rsidP="009B2A14">
            <w:pPr>
              <w:spacing w:after="0"/>
              <w:jc w:val="center"/>
              <w:rPr>
                <w:sz w:val="18"/>
                <w:szCs w:val="18"/>
              </w:rPr>
            </w:pPr>
            <w:r>
              <w:rPr>
                <w:sz w:val="18"/>
                <w:szCs w:val="18"/>
              </w:rPr>
              <w:t>Up in sPE</w:t>
            </w:r>
          </w:p>
          <w:p w:rsidR="00460963" w:rsidRDefault="00460963" w:rsidP="009B2A14">
            <w:pPr>
              <w:spacing w:after="0"/>
              <w:jc w:val="center"/>
              <w:rPr>
                <w:sz w:val="18"/>
                <w:szCs w:val="18"/>
              </w:rPr>
            </w:pPr>
            <w:r>
              <w:rPr>
                <w:sz w:val="18"/>
                <w:szCs w:val="18"/>
              </w:rPr>
              <w:t>No difference in sPE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10.26355/eurrev_201803_14557","author":[{"dropping-particle":"","family":"Zou","given":"A.-X","non-dropping-particle":"","parse-names":false,"suffix":""},{"dropping-particle":"","family":"Chen","given":"B","non-dropping-particle":"","parse-names":false,"suffix":""},{"dropping-particle":"","family":"Li","given":"Q.-X","non-dropping-particle":"","parse-names":false,"suffix":""},{"dropping-particle":"","family":"Liang","given":"Y.-C","non-dropping-particle":"","parse-names":false,"suffix":""}],"container-title":"European Review for Medical and Pharmacological Sciences","id":"ITEM-1","issued":{"date-parts":[["2018"]]},"page":"2199-2206","title":"MiR-134 regulates the progression of preeclampsia","type":"article-journal","volume":"22"},"uris":["http://www.mendeley.com/documents/?uuid=bd18a081-fec8-3c1f-aa11-ebf1c2f591fb"]}],"mendeley":{"formattedCitation":"(Zou et al., 2018)","plainTextFormattedCitation":"(Zou et al., 2018)","previouslyFormattedCitation":"(Zou et al., 2018)"},"properties":{"noteIndex":0},"schema":"https://github.com/citation-style-language/schema/raw/master/csl-citation.json"}</w:instrText>
            </w:r>
            <w:r>
              <w:rPr>
                <w:sz w:val="18"/>
                <w:szCs w:val="18"/>
              </w:rPr>
              <w:fldChar w:fldCharType="separate"/>
            </w:r>
            <w:r w:rsidR="00FA6F9A" w:rsidRPr="00FA6F9A">
              <w:rPr>
                <w:noProof/>
                <w:sz w:val="18"/>
                <w:szCs w:val="18"/>
              </w:rPr>
              <w:t>(Zou et al., 2018)</w:t>
            </w:r>
            <w:r>
              <w:rPr>
                <w:sz w:val="18"/>
                <w:szCs w:val="18"/>
              </w:rPr>
              <w:fldChar w:fldCharType="end"/>
            </w:r>
          </w:p>
          <w:p w:rsidR="00E5670F"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10.26355/eurrev_201803_14557","author":[{"dropping-particle":"","family":"Zou","given":"A.-X","non-dropping-particle":"","parse-names":false,"suffix":""},{"dropping-particle":"","family":"Chen","given":"B","non-dropping-particle":"","parse-names":false,"suffix":""},{"dropping-particle":"","family":"Li","given":"Q.-X","non-dropping-particle":"","parse-names":false,"suffix":""},{"dropping-particle":"","family":"Liang","given":"Y.-C","non-dropping-particle":"","parse-names":false,"suffix":""}],"container-title":"European Review for Medical and Pharmacological Sciences","id":"ITEM-1","issued":{"date-parts":[["2018"]]},"page":"2199-2206","title":"MiR-134 regulates the progression of preeclampsia","type":"article-journal","volume":"22"},"uris":["http://www.mendeley.com/documents/?uuid=bd18a081-fec8-3c1f-aa11-ebf1c2f591fb"]}],"mendeley":{"formattedCitation":"(Zou et al., 2018)","plainTextFormattedCitation":"(Zou et al., 2018)","previouslyFormattedCitation":"(Zou et al., 2018)"},"properties":{"noteIndex":0},"schema":"https://github.com/citation-style-language/schema/raw/master/csl-citation.json"}</w:instrText>
            </w:r>
            <w:r>
              <w:rPr>
                <w:sz w:val="18"/>
                <w:szCs w:val="18"/>
              </w:rPr>
              <w:fldChar w:fldCharType="separate"/>
            </w:r>
            <w:r w:rsidR="00E5670F" w:rsidRPr="00FA6F9A">
              <w:rPr>
                <w:noProof/>
                <w:sz w:val="18"/>
                <w:szCs w:val="18"/>
              </w:rPr>
              <w:t>(Zou et al., 2018)</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148</w:t>
            </w:r>
          </w:p>
          <w:p w:rsidR="00460963" w:rsidRDefault="00460963" w:rsidP="009B2A14">
            <w:pPr>
              <w:spacing w:after="0"/>
              <w:jc w:val="center"/>
              <w:rPr>
                <w:sz w:val="18"/>
                <w:szCs w:val="18"/>
              </w:rPr>
            </w:pPr>
            <w:r>
              <w:rPr>
                <w:sz w:val="18"/>
                <w:szCs w:val="18"/>
              </w:rPr>
              <w:t>148</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193b-3p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No difference in EOPE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E5670F" w:rsidRPr="00E5670F">
              <w:rPr>
                <w:noProof/>
                <w:sz w:val="18"/>
                <w:szCs w:val="18"/>
              </w:rPr>
              <w:t>(Awamleh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193-5p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E5670F" w:rsidRPr="00E5670F">
              <w:rPr>
                <w:noProof/>
                <w:sz w:val="18"/>
                <w:szCs w:val="18"/>
              </w:rPr>
              <w:t>(Awamleh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365a/b3p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No difference in EOPE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E5670F" w:rsidRPr="00E5670F">
              <w:rPr>
                <w:noProof/>
                <w:sz w:val="18"/>
                <w:szCs w:val="18"/>
              </w:rPr>
              <w:t>(Awamleh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520a-3p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E5670F" w:rsidRPr="00E5670F">
              <w:rPr>
                <w:noProof/>
                <w:sz w:val="18"/>
                <w:szCs w:val="18"/>
              </w:rPr>
              <w:t>(Awamleh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210-5p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No difference in EOPE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E5670F" w:rsidRPr="00E5670F">
              <w:rPr>
                <w:noProof/>
                <w:sz w:val="18"/>
                <w:szCs w:val="18"/>
              </w:rPr>
              <w:t>(Awamleh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181a-2-3p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No difference in EOPE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E5670F" w:rsidRPr="00E5670F">
              <w:rPr>
                <w:noProof/>
                <w:sz w:val="18"/>
                <w:szCs w:val="18"/>
              </w:rPr>
              <w:t>(Awamleh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33b-3p</w:t>
            </w:r>
          </w:p>
        </w:tc>
        <w:tc>
          <w:tcPr>
            <w:tcW w:w="2136" w:type="dxa"/>
          </w:tcPr>
          <w:p w:rsidR="00460963" w:rsidRDefault="00460963" w:rsidP="009B2A14">
            <w:pPr>
              <w:spacing w:after="0"/>
              <w:jc w:val="center"/>
              <w:rPr>
                <w:sz w:val="18"/>
                <w:szCs w:val="18"/>
              </w:rPr>
            </w:pPr>
            <w:r>
              <w:rPr>
                <w:sz w:val="18"/>
                <w:szCs w:val="18"/>
              </w:rPr>
              <w:t>Placenta (villi)</w:t>
            </w:r>
          </w:p>
        </w:tc>
        <w:tc>
          <w:tcPr>
            <w:tcW w:w="2859" w:type="dxa"/>
          </w:tcPr>
          <w:p w:rsidR="00460963" w:rsidRDefault="00460963" w:rsidP="009B2A14">
            <w:pPr>
              <w:spacing w:after="0"/>
              <w:jc w:val="center"/>
              <w:rPr>
                <w:sz w:val="18"/>
                <w:szCs w:val="18"/>
              </w:rPr>
            </w:pPr>
            <w:r>
              <w:rPr>
                <w:sz w:val="18"/>
                <w:szCs w:val="18"/>
              </w:rPr>
              <w:t>No difference in EOPE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E5670F">
              <w:rPr>
                <w:sz w:val="18"/>
                <w:szCs w:val="18"/>
              </w:rPr>
              <w:instrText>ADDIN CSL_CITATION {"citationItems":[{"id":"ITEM-1","itemData":{"DOI":"10.1186/s12920-019-0548-x","abstract":"Background: A normally developed placenta is integral to a successful pregnancy. Preeclampsia (PE) and intrauterine growth restriction (IUGR) are two common pregnancy related complications that maybe a result of abnormal placental development. Placental microRNAs (miRNAs) have been investigated as potential biomarkers for these complications, as they may play a role in placental development and pathophysiology by influencing gene expression. The purpose of this study is to utilize next-generation sequencing to determine miRNA and gene expression in human placental (chorionic villous) samples from three distinct patient groups with early-onset (EO) PE, IUGR, or PE + IUGR. Methods: Placental tissues were collected from four patient groups (control [N = 21], EO-PE [N = 20], EO-IUGR [N = 18], and EO-PE + IUGR [N = 20]), and total RNA was used for miRNA and RNA sequencing on the Illumina Hiseq2000 platform. For stringent differential expression analysis multiple analysis programs were used to analyze both expression datasets in each patient group compared to gestational age-matched controls. Results: Analysis revealed miRNAs and genes that are disease-specific, as well as others that were common between disease groups, which suggests common underlying placental pathologies in EO-PE and EO-IUGR. More specifically, 6 miRNAs and 22 genes were identified to be differentially expressed in all three patient groups. In addition, integrative analysis between the miRNA and gene expression datasets revealed candidate gene targets for miRNAs of interest. Conclusions: Integration of miRNA and RNA profiling in the same three subgroups of pregnancy complications, provides an alternate level of molecular information, in addition it can be used to better understand both unique and common molecular mechanisms involved in the pathophysiology of these diseases.","author":[{"dropping-particle":"","family":"Awamleh","given":"Zain","non-dropping-particle":"","parse-names":false,"suffix":""},{"dropping-particle":"","family":"Gloor","given":"Gregory B.","non-dropping-particle":"","parse-names":false,"suffix":""},{"dropping-particle":"","family":"Han","given":"Victor K.M.","non-dropping-particle":"","parse-names":false,"suffix":""}],"container-title":"BMC Medical Genomics","id":"ITEM-1","issue":"1","issued":{"date-parts":[["2019"]]},"page":"91","title":"Placental microRNAs in pregnancies with early onset intrauterine growth restriction and preeclampsia: Potential impact on gene expression and pathophysiology","type":"article-journal","volume":"12"},"uris":["http://www.mendeley.com/documents/?uuid=a4d9b11a-1adb-3934-be56-00cea07fb323"]}],"mendeley":{"formattedCitation":"(Awamleh et al., 2019)","plainTextFormattedCitation":"(Awamleh et al., 2019)","previouslyFormattedCitation":"(Awamleh et al., 2019)"},"properties":{"noteIndex":0},"schema":"https://github.com/citation-style-language/schema/raw/master/csl-citation.json"}</w:instrText>
            </w:r>
            <w:r>
              <w:rPr>
                <w:sz w:val="18"/>
                <w:szCs w:val="18"/>
              </w:rPr>
              <w:fldChar w:fldCharType="separate"/>
            </w:r>
            <w:r w:rsidR="00E5670F" w:rsidRPr="00E5670F">
              <w:rPr>
                <w:noProof/>
                <w:sz w:val="18"/>
                <w:szCs w:val="18"/>
              </w:rPr>
              <w:t>(Awamleh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21</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{"citationItems":[{"id":"ITEM-1","itemData":{"DOI":"10.1016/j.preghy.2019.05.013","abstract":"MicroRNAs (miRNAs/miRs) are highly stable in circulating, which suppress target gene expression by base-pairing to the 3′-untranslated region. We compared the expressions of 3 circulating miRs (miR-31, miR-21, and miR-16), which are related to the control of cell apoptosis, invasion, angiogenesis and immune tolerance in non-pregnancy (n = 10), 20–34 gestational weeks normal pregnancy (20–34 GW NP, n = 20), early onset preeclampsia (EOPE, n = 20), 34–41 gestational weeks normal pregnancy (34–41 GW NP, n = 20) and late onset preeclampsia (LOPE, n = 20). Using quantitative RT-PCR, we found the levels of miR-31, miR-21 and miR-16 changed throughout different stages of pregnancy with the non-pregnancy as the calibrator. The plasma miR-31 levels were significantly down-regulated in EOPE rather than in LOPE when compared to gestational age matched normal pregnancy (P &lt; 0.001). MiR-21 levels were significantly lower in LOPE compared to healthy controls (P &lt; 0.001), while no significant difference was found between EOPE and 20–34 gestational weeks normal pregnancy (P = 0.376). The miR-16 expressions were at similar levels between preeclampsia (PE) and normal pregnancy. Receiver operating characteristic (ROC) curve analyses indicated the miR-31 differentiated EOPE patients from healthy controls with an area under the curve (AUC) of 0.875 with 95.0% sensitivity and 70.0% specificity. ROC curves also discriminated the LOPE patients from healthy pregnancy with an AUC of 0.793, 65.1% sensitivity and 90.3% specificity for plasma miR-21 levels. This study is the first to demonstrate the difference, and circulating miR-31 may serve as a diagnostic biomarker for early onset preeclampsia meanwhile miR-21 might be a diagnostic biomarker for late onset preeclampsia.","author":[{"dropping-particle":"","family":"Dong","given":"Kun","non-dropping-particle":"","parse-names":false,"suffix":""},{"dropping-particle":"","family":"Zhang","given":"Xiangli","non-dropping-particle":"","parse-names":false,"suffix":""},{"dropping-particle":"","family":"Ma","given":"Lijuan","non-dropping-particle":"","parse-names":false,"suffix":""},{"dropping-particle":"","family":"Gao","given":"Na","non-dropping-particle":"","parse-names":false,"suffix":""},{"dropping-particle":"","family":"Tang","given":"Haiyang","non-dropping-particle":"","parse-names":false,"suffix":""},{"dropping-particle":"","family":"Jian","given":"Feng","non-dropping-particle":"","parse-names":false,"suffix":""},{"dropping-particle":"","family":"Ma","given":"Yuyan","non-dropping-particle":"","parse-names":false,"suffix":""}],"container-title":"Pregnancy Hypertension","id":"ITEM-1","issued":{"date-parts":[["2019"]]},"page":"59-63","title":"Downregulations of circulating miR-31 and miR-21 are associated with preeclampsia","type":"article-journal","volume":"17"},"uris":["http://www.mendeley.com/documents/?uuid=0b184015-3d45-3041-bdc9-41d1d163d454"]}],"mendeley":{"formattedCitation":"(Dong et al., 2019)","plainTextFormattedCitation":"(Dong et al., 2019)","previouslyFormattedCitation":"(Dong et al., 2019)"},"properties":{"noteIndex":0},"schema":"https://github.com/citation-style-language/schema/raw/master/csl-citation.json"}</w:instrText>
            </w:r>
            <w:r>
              <w:rPr>
                <w:sz w:val="18"/>
                <w:szCs w:val="18"/>
              </w:rPr>
              <w:fldChar w:fldCharType="separate"/>
            </w:r>
            <w:r w:rsidR="00E5670F" w:rsidRPr="00E5670F">
              <w:rPr>
                <w:noProof/>
                <w:sz w:val="18"/>
                <w:szCs w:val="18"/>
              </w:rPr>
              <w:t>(Dong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154</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21-3p</w:t>
            </w:r>
          </w:p>
        </w:tc>
        <w:tc>
          <w:tcPr>
            <w:tcW w:w="2136" w:type="dxa"/>
          </w:tcPr>
          <w:p w:rsidR="00460963" w:rsidRDefault="00460963" w:rsidP="009B2A14">
            <w:pPr>
              <w:spacing w:after="0"/>
              <w:jc w:val="center"/>
              <w:rPr>
                <w:sz w:val="18"/>
                <w:szCs w:val="18"/>
              </w:rPr>
            </w:pPr>
            <w:r>
              <w:rPr>
                <w:sz w:val="18"/>
                <w:szCs w:val="18"/>
              </w:rPr>
              <w:t>MPB (leukocytes)</w:t>
            </w:r>
          </w:p>
        </w:tc>
        <w:tc>
          <w:tcPr>
            <w:tcW w:w="2859" w:type="dxa"/>
          </w:tcPr>
          <w:p w:rsidR="00460963" w:rsidRDefault="00460963" w:rsidP="009B2A14">
            <w:pPr>
              <w:spacing w:after="0"/>
              <w:jc w:val="center"/>
              <w:rPr>
                <w:sz w:val="18"/>
                <w:szCs w:val="18"/>
              </w:rPr>
            </w:pPr>
            <w:r>
              <w:rPr>
                <w:sz w:val="18"/>
                <w:szCs w:val="18"/>
              </w:rPr>
              <w:t>Not reported</w:t>
            </w:r>
          </w:p>
        </w:tc>
        <w:tc>
          <w:tcPr>
            <w:tcW w:w="1173" w:type="dxa"/>
          </w:tcPr>
          <w:p w:rsidR="00460963" w:rsidRDefault="00460963" w:rsidP="009B2A14">
            <w:pPr>
              <w:spacing w:after="0"/>
              <w:jc w:val="center"/>
              <w:rPr>
                <w:sz w:val="18"/>
                <w:szCs w:val="18"/>
              </w:rPr>
            </w:pPr>
            <w:r>
              <w:rPr>
                <w:sz w:val="18"/>
                <w:szCs w:val="18"/>
              </w:rPr>
              <w:t>NR</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{"citationItems":[{"id":"ITEM-1","itemData":{"DOI":"10.1016/j.preghy.2019.11.003","ISSN":"22107797","PMID":"31899190","abstract":"Objectives: Maternal leucocytes play an important role in the pathogenesis of preeclampsia (PE). Circulating microRNAs (miRNAs) are small, noncoding RNA molecules. The purpose of this study was to investigate miR-518b, miR-155-5p, and miR-21-3p in the peripheral blood leukocytes of patients with PE, compared to controls. Study design: Using real-time quantitative PCR method, the selected miRNAs which have been associated with PE were examined from early- onset PE (EOPE) (&lt;34 weeks) (n = 48), late- onset PE (LOPE) (≥34 weeks) (n = 48), total cases of PE (n = 96), and healthy controls (n = 52). Main outcome measures: The relative expression of the target miR in patient samples was compared to the calibrator and the results were expressed as relative quantification values. Results: Gestational age (GA) was significantly different between PE and controls. Univariate logistic regression analysis adjusted for GA at blood draw were fit to compare miR-518b, miR-155-5p, and miR-21-3p between PE and controls. The expression of miR-518b, miR-155-5p, and miR-21-3p were not significantly different in PE, compared to controls. The expression of miR-518b was upregulated in the EOPE and LOPE group, compared to controls, and the area under the receiver operating characteristic curve (AUC) of miR-518b was 0.65 and 0.62, respectively. miR-518b was positively correlated with WBC count, platelet count, serum levels of AST, ALT, LDH in EOPE. miR-21-3p expression level was negatively correlated with body mass index at blood draw and systolic blood pressure in the LOPE group. Conclusions: Increased miR-518b expression levels were found to be associated with EOPE and LOPE.","author":[{"dropping-particle":"","family":"Demirer","given":"Selin","non-dropping-particle":"","parse-names":false,"suffix":""},{"dropping-particle":"","family":"Hocaoglu","given":"Meryem","non-dropping-particle":"","parse-names":false,"suffix":""},{"dropping-particle":"","family":"Turgut","given":"Abdulkadir","non-dropping-particle":"","parse-names":false,"suffix":""},{"dropping-particle":"","family":"Karateke","given":"Ateş","non-dropping-particle":"","parse-names":false,"suffix":""},{"dropping-particle":"","family":"Komurcu-Bayrak","given":"Evrim","non-dropping-particle":"","parse-names":false,"suffix":""}],"container-title":"Pregnancy Hypertension","id":"ITEM-1","issued":{"date-parts":[["2020","1","1"]]},"page":"239-245","publisher":"Elsevier B.V.","title":"Expression profiles of candidate microRNAs in the peripheral blood leukocytes of patients with early- and late-onset preeclampsia versus normal pregnancies","type":"article-journal","volume":"19"},"uris":["http://www.mendeley.com/documents/?uuid=6685fb39-b7c4-3ea5-86a3-af1fc8e5eabf"]}],"mendeley":{"formattedCitation":"(Demirer et al., 2020)","plainTextFormattedCitation":"(Demirer et al., 2020)","previouslyFormattedCitation":"(Demirer et al., 2020)"},"properties":{"noteIndex":0},"schema":"https://github.com/citation-style-language/schema/raw/master/csl-citation.json"}</w:instrText>
            </w:r>
            <w:r>
              <w:rPr>
                <w:sz w:val="18"/>
                <w:szCs w:val="18"/>
              </w:rPr>
              <w:fldChar w:fldCharType="separate"/>
            </w:r>
            <w:r w:rsidR="006B4E21" w:rsidRPr="00134D4A">
              <w:rPr>
                <w:noProof/>
                <w:sz w:val="18"/>
                <w:szCs w:val="18"/>
              </w:rPr>
              <w:t>(Demirer et al., 2020)</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Demirer 2019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133a-3p</w:t>
            </w:r>
          </w:p>
        </w:tc>
        <w:tc>
          <w:tcPr>
            <w:tcW w:w="2136" w:type="dxa"/>
          </w:tcPr>
          <w:p w:rsidR="00460963" w:rsidRDefault="00460963" w:rsidP="009B2A14">
            <w:pPr>
              <w:spacing w:after="0"/>
              <w:jc w:val="center"/>
              <w:rPr>
                <w:sz w:val="18"/>
                <w:szCs w:val="18"/>
              </w:rPr>
            </w:pPr>
            <w:r>
              <w:rPr>
                <w:sz w:val="18"/>
                <w:szCs w:val="18"/>
              </w:rPr>
              <w:t>MPB</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{"citationItems":[{"id":"ITEM-1","itemData":{"DOI":"10.1016/j.ijcard.2019.05.036","abstract":"Background and methods: Gestational hypertension (GH), preeclampsia (PE) and fetal growth restriction (FGR) may predispose to later onset of cardiovascular/cerebrovascular diseases. We examined if pregnancy complications induce postpartum alterations in gene expression of cardiovascular/cerebrovascular disease associated microRNAs. 29 microRNAs were tested in peripheral blood of women, compared between groups with a history of GH, PE, FGR and controls, and correlated with the severity of the disease regarding clinical signs, delivery date, and Doppler parameters. Results: GH was associated with the up-regulation of miR-20a-5p, miR-143-3p, miR-146a-5p, miR-181a-5p, miR-199a-5p, miR-221-3p, and miR-499a-5p. The up-regulation of miR-17-5p, miR-20b-5p, miR-29a-3p, and miR-126-3p was a mutual phenomenon of GH and severe PE. GH and early PE were associated with up-regulation of miR-1-3p and miR-17-5p. GH and late PE showed up-regulation of miR-17-5p, miR-20b-5p, and miR-29a-3p. Severe PE induced up-regulation of miR-133a-3p and down-regulation of miR-130b-3p. MiR-133a-3p up-regulation was also observed in early PE. PE and/or FGR with abnormal Doppler parameters demonstrated up-regulation of miR-100-5p, miR-125b-5p, miR-133a-3p, and miR-145-5p. The combination screening was superior over using individual microRNAs for patients with GH, PE regardless of the severity of the disease, severe PE and early PE. A cardiovascular risk at patients with late PE, PE and/or FGR with abnormal Doppler parameters was identified more accurately using the single microRNA only. Conclusion: Epigenetic changes characteristic for cardiovascular/cerebrovascular diseases are present in women with a prior exposure to pregnancy complications. Screening of microRNAs may be used to identify patients at a higher risk of later development of cardiovascular/cerebrovascular diseases.","author":[{"dropping-particle":"","family":"Hromadnikova","given":"Ilona","non-dropping-particle":"","parse-names":false,"suffix":""},{"dropping-particle":"","family":"Kotlabova","given":"Katerina","non-dropping-particle":"","parse-names":false,"suffix":""},{"dropping-particle":"","family":"Dvorakova","given":"Lenka","non-dropping-particle":"","parse-names":false,"suffix":""},{"dropping-particle":"","family":"Krofta","given":"Ladislav","non-dropping-particle":"","parse-names":false,"suffix":""}],"container-title":"International Journal of Cardiology","id":"ITEM-1","issued":{"date-parts":[["2019"]]},"page":"158-167","publisher":"Elsevier Ireland Ltd","title":"Postpartum profiling of microRNAs involved in pathogenesis of cardiovascular/cerebrovascular diseases in women exposed to pregnancy-related complications","type":"article-journal","volume":"291"},"uris":["http://www.mendeley.com/documents/?uuid=21c8f59f-c373-3ad5-8ab8-4b4735893312"]}],"mendeley":{"formattedCitation":"(Hromadnikova et al., 2019b)","plainTextFormattedCitation":"(Hromadnikova et al., 2019b)","previouslyFormattedCitation":"(Hromadnikova et al., 2019b)"},"properties":{"noteIndex":0},"schema":"https://github.com/citation-style-language/schema/raw/master/csl-citation.json"}</w:instrText>
            </w:r>
            <w:r>
              <w:rPr>
                <w:sz w:val="18"/>
                <w:szCs w:val="18"/>
              </w:rPr>
              <w:fldChar w:fldCharType="separate"/>
            </w:r>
            <w:r w:rsidR="006B4E21" w:rsidRPr="00C346EA">
              <w:rPr>
                <w:noProof/>
                <w:sz w:val="18"/>
                <w:szCs w:val="18"/>
              </w:rPr>
              <w:t>(Hromadnikova et al., 2019b)</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158</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130b-3p</w:t>
            </w:r>
          </w:p>
        </w:tc>
        <w:tc>
          <w:tcPr>
            <w:tcW w:w="2136" w:type="dxa"/>
          </w:tcPr>
          <w:p w:rsidR="00460963" w:rsidRDefault="00460963" w:rsidP="009B2A14">
            <w:pPr>
              <w:spacing w:after="0"/>
              <w:jc w:val="center"/>
              <w:rPr>
                <w:sz w:val="18"/>
                <w:szCs w:val="18"/>
              </w:rPr>
            </w:pPr>
            <w:r>
              <w:rPr>
                <w:sz w:val="18"/>
                <w:szCs w:val="18"/>
              </w:rPr>
              <w:t>MPB</w:t>
            </w:r>
          </w:p>
        </w:tc>
        <w:tc>
          <w:tcPr>
            <w:tcW w:w="2859" w:type="dxa"/>
          </w:tcPr>
          <w:p w:rsidR="00460963" w:rsidRDefault="00460963" w:rsidP="009B2A14">
            <w:pPr>
              <w:spacing w:after="0"/>
              <w:jc w:val="center"/>
              <w:rPr>
                <w:sz w:val="18"/>
                <w:szCs w:val="18"/>
              </w:rPr>
            </w:pPr>
            <w:r>
              <w:rPr>
                <w:sz w:val="18"/>
                <w:szCs w:val="18"/>
              </w:rPr>
              <w:t>No difference in sPE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{"citationItems":[{"id":"ITEM-1","itemData":{"DOI":"10.1016/j.ijcard.2019.05.036","abstract":"Background and methods: Gestational hypertension (GH), preeclampsia (PE) and fetal growth restriction (FGR) may predispose to later onset of cardiovascular/cerebrovascular diseases. We examined if pregnancy complications induce postpartum alterations in gene expression of cardiovascular/cerebrovascular disease associated microRNAs. 29 microRNAs were tested in peripheral blood of women, compared between groups with a history of GH, PE, FGR and controls, and correlated with the severity of the disease regarding clinical signs, delivery date, and Doppler parameters. Results: GH was associated with the up-regulation of miR-20a-5p, miR-143-3p, miR-146a-5p, miR-181a-5p, miR-199a-5p, miR-221-3p, and miR-499a-5p. The up-regulation of miR-17-5p, miR-20b-5p, miR-29a-3p, and miR-126-3p was a mutual phenomenon of GH and severe PE. GH and early PE were associated with up-regulation of miR-1-3p and miR-17-5p. GH and late PE showed up-regulation of miR-17-5p, miR-20b-5p, and miR-29a-3p. Severe PE induced up-regulation of miR-133a-3p and down-regulation of miR-130b-3p. MiR-133a-3p up-regulation was also observed in early PE. PE and/or FGR with abnormal Doppler parameters demonstrated up-regulation of miR-100-5p, miR-125b-5p, miR-133a-3p, and miR-145-5p. The combination screening was superior over using individual microRNAs for patients with GH, PE regardless of the severity of the disease, severe PE and early PE. A cardiovascular risk at patients with late PE, PE and/or FGR with abnormal Doppler parameters was identified more accurately using the single microRNA only. Conclusion: Epigenetic changes characteristic for cardiovascular/cerebrovascular diseases are present in women with a prior exposure to pregnancy complications. Screening of microRNAs may be used to identify patients at a higher risk of later development of cardiovascular/cerebrovascular diseases.","author":[{"dropping-particle":"","family":"Hromadnikova","given":"Ilona","non-dropping-particle":"","parse-names":false,"suffix":""},{"dropping-particle":"","family":"Kotlabova","given":"Katerina","non-dropping-particle":"","parse-names":false,"suffix":""},{"dropping-particle":"","family":"Dvorakova","given":"Lenka","non-dropping-particle":"","parse-names":false,"suffix":""},{"dropping-particle":"","family":"Krofta","given":"Ladislav","non-dropping-particle":"","parse-names":false,"suffix":""}],"container-title":"International Journal of Cardiology","id":"ITEM-1","issued":{"date-parts":[["2019"]]},"page":"158-167","publisher":"Elsevier Ireland Ltd","title":"Postpartum profiling of microRNAs involved in pathogenesis of cardiovascular/cerebrovascular diseases in women exposed to pregnancy-related complications","type":"article-journal","volume":"291"},"uris":["http://www.mendeley.com/documents/?uuid=21c8f59f-c373-3ad5-8ab8-4b4735893312"]}],"mendeley":{"formattedCitation":"(Hromadnikova et al., 2019b)","plainTextFormattedCitation":"(Hromadnikova et al., 2019b)","previouslyFormattedCitation":"(Hromadnikova et al., 2019b)"},"properties":{"noteIndex":0},"schema":"https://github.com/citation-style-language/schema/raw/master/csl-citation.json"}</w:instrText>
            </w:r>
            <w:r>
              <w:rPr>
                <w:sz w:val="18"/>
                <w:szCs w:val="18"/>
              </w:rPr>
              <w:fldChar w:fldCharType="separate"/>
            </w:r>
            <w:r w:rsidR="006B4E21" w:rsidRPr="00C346EA">
              <w:rPr>
                <w:noProof/>
                <w:sz w:val="18"/>
                <w:szCs w:val="18"/>
              </w:rPr>
              <w:t>(Hromadnikova et al., 2019b)</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158</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490-3p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874-3p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190a-5p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23a-3p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324-3p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431-5p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758-5p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504-5p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2113</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lastRenderedPageBreak/>
              <w:t>374-5p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Pr="00E67201" w:rsidRDefault="00460963" w:rsidP="009B2A14">
            <w:pPr>
              <w:spacing w:after="0"/>
              <w:jc w:val="center"/>
              <w:rPr>
                <w:sz w:val="18"/>
                <w:szCs w:val="18"/>
              </w:rPr>
            </w:pPr>
            <w:r>
              <w:rPr>
                <w:sz w:val="18"/>
                <w:szCs w:val="18"/>
              </w:rPr>
              <w:t>204-5p</w:t>
            </w:r>
          </w:p>
        </w:tc>
        <w:tc>
          <w:tcPr>
            <w:tcW w:w="2136" w:type="dxa"/>
          </w:tcPr>
          <w:p w:rsidR="00460963" w:rsidRDefault="00460963" w:rsidP="009B2A14">
            <w:pPr>
              <w:spacing w:after="0"/>
              <w:jc w:val="center"/>
              <w:rPr>
                <w:sz w:val="18"/>
                <w:szCs w:val="18"/>
              </w:rPr>
            </w:pPr>
            <w:r>
              <w:rPr>
                <w:sz w:val="18"/>
                <w:szCs w:val="18"/>
              </w:rPr>
              <w:t>MPB (plasma exosomes)</w:t>
            </w:r>
          </w:p>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Down in EOPE</w:t>
            </w:r>
          </w:p>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p w:rsidR="006B4E21"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6B4E21"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Pr="00E67201" w:rsidRDefault="00460963" w:rsidP="009B2A14">
            <w:pPr>
              <w:spacing w:after="0"/>
              <w:jc w:val="center"/>
              <w:rPr>
                <w:sz w:val="18"/>
                <w:szCs w:val="18"/>
              </w:rPr>
            </w:pPr>
            <w:r>
              <w:rPr>
                <w:sz w:val="18"/>
                <w:szCs w:val="18"/>
              </w:rPr>
              <w:t>139-5p</w:t>
            </w:r>
          </w:p>
        </w:tc>
        <w:tc>
          <w:tcPr>
            <w:tcW w:w="2136" w:type="dxa"/>
          </w:tcPr>
          <w:p w:rsidR="00460963" w:rsidRDefault="00460963" w:rsidP="009B2A14">
            <w:pPr>
              <w:spacing w:after="0"/>
              <w:jc w:val="center"/>
              <w:rPr>
                <w:sz w:val="18"/>
                <w:szCs w:val="18"/>
              </w:rPr>
            </w:pPr>
            <w:r>
              <w:rPr>
                <w:sz w:val="18"/>
                <w:szCs w:val="18"/>
              </w:rPr>
              <w:t>MPB (plasma exosomes)</w:t>
            </w:r>
          </w:p>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EOPE</w:t>
            </w:r>
          </w:p>
          <w:p w:rsidR="00460963" w:rsidRDefault="00460963" w:rsidP="009B2A14">
            <w:pPr>
              <w:spacing w:after="0"/>
              <w:jc w:val="center"/>
              <w:rPr>
                <w:sz w:val="18"/>
                <w:szCs w:val="18"/>
              </w:rPr>
            </w:pPr>
            <w:r>
              <w:rPr>
                <w:sz w:val="18"/>
                <w:szCs w:val="18"/>
              </w:rPr>
              <w:t>Down in sPE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 xml:space="preserve">Yes </w:t>
            </w:r>
          </w:p>
        </w:tc>
        <w:tc>
          <w:tcPr>
            <w:tcW w:w="2977" w:type="dxa"/>
          </w:tcPr>
          <w:p w:rsidR="006B4E21" w:rsidRDefault="00E33D6E" w:rsidP="006B4E21">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{"citationItems":[{"id":"ITEM-1","itemData":{"DOI":"10.1016/j.placenta.2020.02.003","ISSN":"15323102","PMID":"32056785","abstract":"Background: The biological functions of placental trophoblast cells have been reported to be critical in preeclampsia (PE) and its complications. Here, we aimed to investigate the role and underlying mechanism of soluble fms-like tyrsine kinase-1 (sFlt-1) and miR-139-5p in severe preeclampsia (sPE) by culturing the trophoblast cells from patients. Methods: ELISA and qRT-PCR were used to measure the expression of sFlt-1 and miR-139-5p. The direct interaction between sFlt-1 and miR-139-5p was determined by luciferase reporter assay. Cell proliferation and invasion were evaluated by CCK-8 analysis and transwell assay. Results: Our results showed that miR-139-5p was downregulated in sPE patients and was negatively correlated with the expression of sFlt-1. Further, sFlt-1 was a direct target of miR-139-5p, which monitored the expression of sFlt-1. Besides, miR-139-5p promoted the proliferation and invasion of trophoblast cells derived from sPE patients. Overexpression of sFlt-1 attenuated the effects of miR-139-5p on cell proliferation and invasion of trophoblast cells from sPE patients. Conclusion: Our research proposes a novel mechanism where the role of miR-139-5p is dependent on sFlt-1. Our data demonstrated that miR-139-5p promoted the proliferation and invasion of trophoblast cells by directly targeting sFlt-1 in PE.","author":[{"dropping-particle":"","family":"Huang","given":"J","non-dropping-particle":"","parse-names":false,"suffix":""},{"dropping-particle":"","family":"Zheng","given":"L","non-dropping-particle":"","parse-names":false,"suffix":""},{"dropping-particle":"","family":"Kong","given":"H","non-dropping-particle":"","parse-names":false,"suffix":""},{"dropping-particle":"","family":"Wang","given":"F","non-dropping-particle":"","parse-names":false,"suffix":""},{"dropping-particle":"","family":"Su","given":"Y","non-dropping-particle":"","parse-names":false,"suffix":""},{"dropping-particle":"","family":"Xin","given":"H","non-dropping-particle":"","parse-names":false,"suffix":""}],"container-title":"Placenta","id":"ITEM-1","issued":{"date-parts":[["2020"]]},"page":"37-43","title":"miR-139-5p promotes the proliferation and invasion of trophoblast cells by targeting sFlt-1 in preeclampsia","type":"article-journal","volume":"92"},"uris":["http://www.mendeley.com/documents/?uuid=99db4d18-d94d-370c-b960-c76965edec32"]}],"mendeley":{"formattedCitation":"(Huang et al., 2020)","plainTextFormattedCitation":"(Huang et al., 2020)","previouslyFormattedCitation":"(Huang et al., 2020)"},"properties":{"noteIndex":0},"schema":"https://github.com/citation-style-language/schema/raw/master/csl-citation.json"}</w:instrText>
            </w:r>
            <w:r>
              <w:rPr>
                <w:sz w:val="18"/>
                <w:szCs w:val="18"/>
              </w:rPr>
              <w:fldChar w:fldCharType="separate"/>
            </w:r>
            <w:r w:rsidR="006B4E21" w:rsidRPr="006B4E21">
              <w:rPr>
                <w:noProof/>
                <w:sz w:val="18"/>
                <w:szCs w:val="18"/>
              </w:rPr>
              <w:t>(Huang et al., 2020)</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p w:rsidR="00460963" w:rsidRDefault="00460963" w:rsidP="009B2A14">
            <w:pPr>
              <w:spacing w:after="0"/>
              <w:jc w:val="center"/>
              <w:rPr>
                <w:sz w:val="18"/>
                <w:szCs w:val="18"/>
              </w:rPr>
            </w:pPr>
            <w:r>
              <w:rPr>
                <w:sz w:val="18"/>
                <w:szCs w:val="18"/>
              </w:rPr>
              <w:t>Huang 2020</w:t>
            </w:r>
          </w:p>
        </w:tc>
      </w:tr>
      <w:tr w:rsidR="00460963" w:rsidTr="00B00CA2">
        <w:trPr>
          <w:jc w:val="center"/>
        </w:trPr>
        <w:tc>
          <w:tcPr>
            <w:tcW w:w="886" w:type="dxa"/>
          </w:tcPr>
          <w:p w:rsidR="00460963" w:rsidRPr="00E67201" w:rsidRDefault="00460963" w:rsidP="009B2A14">
            <w:pPr>
              <w:spacing w:after="0"/>
              <w:jc w:val="center"/>
              <w:rPr>
                <w:sz w:val="18"/>
                <w:szCs w:val="18"/>
              </w:rPr>
            </w:pPr>
            <w:r>
              <w:rPr>
                <w:sz w:val="18"/>
                <w:szCs w:val="18"/>
              </w:rPr>
              <w:t>449c-5p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Pr="00E67201" w:rsidRDefault="00460963" w:rsidP="009B2A14">
            <w:pPr>
              <w:spacing w:after="0"/>
              <w:jc w:val="center"/>
              <w:rPr>
                <w:sz w:val="18"/>
                <w:szCs w:val="18"/>
              </w:rPr>
            </w:pPr>
            <w:r>
              <w:rPr>
                <w:sz w:val="18"/>
                <w:szCs w:val="18"/>
              </w:rPr>
              <w:t>1275</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Pr="00E67201" w:rsidRDefault="00460963" w:rsidP="009B2A14">
            <w:pPr>
              <w:spacing w:after="0"/>
              <w:jc w:val="center"/>
              <w:rPr>
                <w:sz w:val="18"/>
                <w:szCs w:val="18"/>
              </w:rPr>
            </w:pPr>
            <w:r>
              <w:rPr>
                <w:sz w:val="18"/>
                <w:szCs w:val="18"/>
              </w:rPr>
              <w:t>320d</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452-5p</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Pr="00E67201" w:rsidRDefault="00460963" w:rsidP="009B2A14">
            <w:pPr>
              <w:spacing w:after="0"/>
              <w:jc w:val="center"/>
              <w:rPr>
                <w:sz w:val="18"/>
                <w:szCs w:val="18"/>
              </w:rPr>
            </w:pPr>
            <w:r>
              <w:rPr>
                <w:sz w:val="18"/>
                <w:szCs w:val="18"/>
              </w:rPr>
              <w:t>378b</w:t>
            </w:r>
          </w:p>
        </w:tc>
        <w:tc>
          <w:tcPr>
            <w:tcW w:w="2136" w:type="dxa"/>
          </w:tcPr>
          <w:p w:rsidR="00460963" w:rsidRDefault="00460963" w:rsidP="009B2A14">
            <w:pPr>
              <w:spacing w:after="0"/>
              <w:jc w:val="center"/>
              <w:rPr>
                <w:sz w:val="18"/>
                <w:szCs w:val="18"/>
              </w:rPr>
            </w:pPr>
            <w:r>
              <w:rPr>
                <w:sz w:val="18"/>
                <w:szCs w:val="18"/>
              </w:rPr>
              <w:t>MPB (plasma exosomes)</w:t>
            </w:r>
          </w:p>
        </w:tc>
        <w:tc>
          <w:tcPr>
            <w:tcW w:w="2859" w:type="dxa"/>
          </w:tcPr>
          <w:p w:rsidR="00460963" w:rsidRDefault="00460963" w:rsidP="009B2A14">
            <w:pPr>
              <w:spacing w:after="0"/>
              <w:jc w:val="center"/>
              <w:rPr>
                <w:sz w:val="18"/>
                <w:szCs w:val="18"/>
              </w:rPr>
            </w:pPr>
            <w:r>
              <w:rPr>
                <w:sz w:val="18"/>
                <w:szCs w:val="18"/>
              </w:rPr>
              <w:t>Down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{"citationItems":[{"id":"ITEM-1","itemData":{"DOI":"10.2147/IJN.S208865","abstract":"Background: Preeclampsia is the leading cause of maternal and fetal mortality due to the inability to diagnose and treat the disorder early in pregnancy. This is attributed to the complex pathophysiology and unknown etiology of the disorder, which is modulated by several known and unknown factors. Exosomes have recently been implicated as possible mediators of the pathogenesis of preeclampsia, with, however, no evidence linking these nanovesicles to the pathophysiology of preeclampsia and its subtypes. Methods: To better understand the pathophysiological role of exosomes in preeclampsia, we have analyzed the exosomal microRNA in early and late onset preeclamptic women in comparison to their gestationally matched normotensive controls using Digital Direct Detection (NanoString Technologies). Results: For the first time, distinct exosomal microRNA signatures in early and late onset preeclampsia have been identified. Moreover, these signatures indicate that exosomes are involved in key pathological features associated with preeclampsia and differentiate between the subtypes. Conclusion: This study forms the basis for the diagnostic and functional validation of the identified signatures as biomarkers of preeclampsia and its subtypes.","author":[{"dropping-particle":"","family":"Pillay","given":"Preenan","non-dropping-particle":"","parse-names":false,"suffix":""},{"dropping-particle":"","family":"Vatish","given":"Manu","non-dropping-particle":"","parse-names":false,"suffix":""},{"dropping-particle":"","family":"Duarte","given":"Raquel","non-dropping-particle":"","parse-names":false,"suffix":""},{"dropping-particle":"","family":"Moodley","given":"Jack","non-dropping-particle":"","parse-names":false,"suffix":""},{"dropping-particle":"","family":"Mackraj","given":"Irene","non-dropping-particle":"","parse-names":false,"suffix":""}],"container-title":"International Journal of Nanomedicine","id":"ITEM-1","issued":{"date-parts":[["2019"]]},"page":"5637-5657","title":"Exosomal microRNA profiling in early and late onset preeclamptic pregnant women reflects pathophysiology","type":"article-journal","volume":"14"},"uris":["http://www.mendeley.com/documents/?uuid=f0dadd0d-f739-312f-8799-173181d465ab"]}],"mendeley":{"formattedCitation":"(Pillay et al., 2019)","plainTextFormattedCitation":"(Pillay et al., 2019)","previouslyFormattedCitation":"(Pillay et al., 2019)"},"properties":{"noteIndex":0},"schema":"https://github.com/citation-style-language/schema/raw/master/csl-citation.json"}</w:instrText>
            </w:r>
            <w:r>
              <w:rPr>
                <w:sz w:val="18"/>
                <w:szCs w:val="18"/>
              </w:rPr>
              <w:fldChar w:fldCharType="separate"/>
            </w:r>
            <w:r w:rsidR="006B4E21" w:rsidRPr="006B4E21">
              <w:rPr>
                <w:noProof/>
                <w:sz w:val="18"/>
                <w:szCs w:val="18"/>
              </w:rPr>
              <w:t>(Pillay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171</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424</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6B4E21">
              <w:rPr>
                <w:sz w:val="18"/>
                <w:szCs w:val="18"/>
              </w:rPr>
              <w:instrText>ADDIN CSL_CITATION {"citationItems":[{"id":"ITEM-1","itemData":{"DOI":"10.1016/j.preghy.2019.05.017","abstract":"Previous studies have suggested that altered miRNA expression in the placenta is associated with preeclampsia. The aim of this study was to investigate the expression of miR-424 in placental samples of severe preeclampsia (sPE) and uncomplicated pregnancy patients. miRNA was isolated from placentas obtained from 30 sPE patients and 30 healthy women. Quantitative real-time polymerase chain reaction was used to analyze the expression of miR-424. The prediction of target genes of miR-424 was performed using miRGen database. The function of these target genes was analyzed further by DAVID and Gorilla software. The expression of miR-424 was significantly lower in patients with sPE than in healthy controls. Changed expression of miR-424 in the case of pregnancy-related hypertensive disorders might affect the Wnt signaling pathway. These factors have a strong correlation with the development of PE. Expression of miR-424 in placenta was lower in patients with sPE, suggesting its role in the pathology of sPE.","author":[{"dropping-particle":"","family":"Tang","given":"Qiuqin","non-dropping-particle":"","parse-names":false,"suffix":""},{"dropping-particle":"","family":"Gui","given":"Jing","non-dropping-particle":"","parse-names":false,"suffix":""},{"dropping-particle":"","family":"Wu","given":"Xian","non-dropping-particle":"","parse-names":false,"suffix":""},{"dropping-particle":"","family":"Wu","given":"Wei","non-dropping-particle":"","parse-names":false,"suffix":""}],"container-title":"Pregnancy Hypertension","id":"ITEM-1","issued":{"date-parts":[["2019"]]},"page":"109-112","title":"Downregulation of miR-424 in placenta is associated with severe preeclampsia","type":"article-journal","volume":"17"},"uris":["http://www.mendeley.com/documents/?uuid=a74918b1-339f-3a55-87ed-d9cc65a50aac"]}],"mendeley":{"formattedCitation":"(Tang et al., 2019)","plainTextFormattedCitation":"(Tang et al., 2019)","previouslyFormattedCitation":"(Tang et al., 2019)"},"properties":{"noteIndex":0},"schema":"https://github.com/citation-style-language/schema/raw/master/csl-citation.json"}</w:instrText>
            </w:r>
            <w:r>
              <w:rPr>
                <w:sz w:val="18"/>
                <w:szCs w:val="18"/>
              </w:rPr>
              <w:fldChar w:fldCharType="separate"/>
            </w:r>
            <w:r w:rsidR="006B4E21" w:rsidRPr="006B4E21">
              <w:rPr>
                <w:noProof/>
                <w:sz w:val="18"/>
                <w:szCs w:val="18"/>
              </w:rPr>
              <w:t>(Tang et al., 2019)</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176</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441</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preterm 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{"citationItems":[{"id":"ITEM-1","itemData":{"DOI":"10.1590/1414-431X20197546","abstract":"Preeclampsia is a major reason of morbidity and mortality in pregnant women and perinatal fetus. Hence, it is of prime importance that diagnostic markers are defined to predict chances of preeclampsia in pregnant women. It has been previously shown that microRNA (miRNA)-376c expression is decreased in the placenta of preeclampsia patients at term. Even though this decrease was not mimicked in the placenta at the pre-term stage, miR-376c expression was decreased in the plasma of these patients as early as the second trimester. Plasma and placenta specimens were obtained from pregnant women having unifetal gestation undergoing perinatal care between January 2014 and December 2016 (n=49). Early trimester placentas were collected from patients undergoing terminated pregnancies through dilation and curettage procedure. Our results showed that in addition to miR-376c, miR-441 levels were decreased in the placenta of preeclampsia patients, and this decrease occurred both at pre-term and at term. This decrease is also mimicked in the plasma levels at both early and late weeks of pregnancy, highlighting that miR-441 levels can serve as a diagnostic marker of risk of preeclampsia in pregnant women. Overexpression of the miR-441, as well as miR-376c, promoted cell viability, migration, and invasion in the human immortalized cytotrophoblast cell line HTR8/ SVneo, indicating that their decrease in pregnant women would result in anomalous apoptosis and functional imbalance resulting in premature abortion and other complications. MiR-441 level can thus potentially serve as diagnostic marker of preeclampsia in pregnant women.","author":[{"dropping-particle":"","family":"Yang","given":"Hui Li","non-dropping-particle":"","parse-names":false,"suffix":""},{"dropping-particle":"","family":"Zhang","given":"Hong Zhi","non-dropping-particle":"","parse-names":false,"suffix":""},{"dropping-particle":"","family":"Meng","given":"Fan Rong","non-dropping-particle":"","parse-names":false,"suffix":""},{"dropping-particle":"","family":"Han","given":"Shu Yi","non-dropping-particle":"","parse-names":false,"suffix":""},{"dropping-particle":"","family":"Zhang","given":"Miao","non-dropping-particle":"","parse-names":false,"suffix":""}],"container-title":"Brazilian Journal of Medical and Biological Research","id":"ITEM-1","issue":"4","issued":{"date-parts":[["2019"]]},"page":"e7546","title":"Differential expression of microRNA-411 and 376c is associated with hypertension in pregnancy","type":"article-journal","volume":"52"},"uris":["http://www.mendeley.com/documents/?uuid=f076a5a1-7108-3069-9c7a-bd8d17f88b69"]}],"mendeley":{"formattedCitation":"(Yang et al., 2019a)","plainTextFormattedCitation":"(Yang et al., 2019a)","previouslyFormattedCitation":"(Yang et al., 2019a)"},"properties":{"noteIndex":0},"schema":"https://github.com/citation-style-language/schema/raw/master/csl-citation.json"}</w:instrText>
            </w:r>
            <w:r>
              <w:rPr>
                <w:sz w:val="18"/>
                <w:szCs w:val="18"/>
              </w:rPr>
              <w:fldChar w:fldCharType="separate"/>
            </w:r>
            <w:r w:rsidR="006B4E21" w:rsidRPr="006B4E21">
              <w:rPr>
                <w:noProof/>
                <w:sz w:val="18"/>
                <w:szCs w:val="18"/>
              </w:rPr>
              <w:t>(Yang et al., 2019a)</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186</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1972</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283825">
              <w:rPr>
                <w:sz w:val="18"/>
                <w:szCs w:val="18"/>
              </w:rPr>
              <w:instrText>ADDIN CSL_CITATION {"citationItems":[{"id":"ITEM-1","itemData":{"DOI":"10.1016/j.ajog.2019.11.1286","ISSN":"10976868","PMID":"31836544","abstract":"Background: Preeclampsia is a hypertensive pregnancy disorder in which generalized systemic inflammation and maternal endothelial dysfunction are involved in the pathophysiology. MiRNAs are small noncoding RNAs responsible for post-transcriptional regulation of gene expression and involved in many physiological processes. They mainly downregulate translation of their target genes. Objective: We aimed to compare the plasma miRNA concentrations in preeclampsia, healthy pregnant women, and nonpregnant women. Furthermore, we aimed to evaluate the effect of 3 highly increased plasma miRNAs in preeclampsia on endothelial cell function in vitro. Study Design: We compared 3391 (precursor) miRNA concentrations in plasma samples from early-onset preeclamptic women, gestational age–matched healthy pregnant women, and nonpregnant women using miRNA 3.1. arrays (Affymetrix) and validated our findings by real-time quantitative polymerase chain reaction. Subsequently, endothelial cells (human umbilical vein endothelial cells) were transfected with microRNA mimics (we choose the 3 miRNAs with the greatest fold change and lowest false-discovery rate in preeclampsia vs healthy pregnancy). After transfection, functional assays were performed to evaluate whether overexpression of the microRNAs in endothelial cells affected endothelial cell function in vitro. Functional assays were the wound-healing assay (which measures cell migration and proliferation), the proliferation assay, and the tube-formation assay (which assesses formation of endothelial cell tubes during the angiogenic process). To determine whether the miRNAs are able to decrease gene expression of certain genes, RNA was isolated from transfected endothelial cells and gene expression (by measuring RNA expression) was evaluated by gene expression microarray (Genechip Human Gene 2.1 ST arrays; Life Technologies). For the microarray, we used pooled samples, but the differently expressed genes in the microarray were validated by real-time quantitative polymerase chain reaction in individual samples. Results: No significant differences (fold change &lt;–1.2 or &gt;1.2 with a false-discovery rate &lt;0.05) were found in miRNA plasma concentrations between healthy pregnant and nonpregnant women. The plasma concentrations of 26 (precursor) miRNAs were different between preeclampsia and healthy pregnancy. The 3 miRNAs that were increased with the greatest fold change and lowest false-discovery rate in preeclampsia vs healthy preg…","author":[{"dropping-particle":"V.","family":"Lip","given":"Simone","non-dropping-particle":"","parse-names":false,"suffix":""},{"dropping-particle":"V.","family":"Boekschoten","given":"Mark","non-dropping-particle":"","parse-names":false,"suffix":""},{"dropping-particle":"","family":"Hooiveld","given":"Guido J.","non-dropping-particle":"","parse-names":false,"suffix":""},{"dropping-particle":"","family":"Pampus","given":"Mariëlle G.","non-dropping-particle":"van","parse-names":false,"suffix":""},{"dropping-particle":"","family":"Scherjon","given":"Sicco A.","non-dropping-particle":"","parse-names":false,"suffix":""},{"dropping-particle":"","family":"Plösch","given":"Torsten","non-dropping-particle":"","parse-names":false,"suffix":""},{"dropping-particle":"","family":"Faas","given":"Marijke M.","non-dropping-particle":"","parse-names":false,"suffix":""}],"container-title":"American Journal of Obstetrics and Gynecology","id":"ITEM-1","issue":"5","issued":{"date-parts":[["2020"]]},"page":"497.e1-497.e12","title":"Early-onset preeclampsia, plasma microRNAs, and endothelial cell function","type":"article-journal","volume":"222"},"uris":["http://www.mendeley.com/documents/?uuid=7bc2de84-8a54-33e5-af22-afb2273ba54d"]}],"mendeley":{"formattedCitation":"(Lip et al., 2020)","plainTextFormattedCitation":"(Lip et al., 2020)","previouslyFormattedCitation":"(Lip et al., 2020)"},"properties":{"noteIndex":0},"schema":"https://github.com/citation-style-language/schema/raw/master/csl-citation.json"}</w:instrText>
            </w:r>
            <w:r>
              <w:rPr>
                <w:sz w:val="18"/>
                <w:szCs w:val="18"/>
              </w:rPr>
              <w:fldChar w:fldCharType="separate"/>
            </w:r>
            <w:r w:rsidR="00894231" w:rsidRPr="00894231">
              <w:rPr>
                <w:noProof/>
                <w:sz w:val="18"/>
                <w:szCs w:val="18"/>
              </w:rPr>
              <w:t>(Lip et al., 2020)</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Lip 2019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4793-3p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283825">
              <w:rPr>
                <w:sz w:val="18"/>
                <w:szCs w:val="18"/>
              </w:rPr>
              <w:instrText>ADDIN CSL_CITATION {"citationItems":[{"id":"ITEM-1","itemData":{"DOI":"10.1016/j.ajog.2019.11.1286","ISSN":"10976868","PMID":"31836544","abstract":"Background: Preeclampsia is a hypertensive pregnancy disorder in which generalized systemic inflammation and maternal endothelial dysfunction are involved in the pathophysiology. MiRNAs are small noncoding RNAs responsible for post-transcriptional regulation of gene expression and involved in many physiological processes. They mainly downregulate translation of their target genes. Objective: We aimed to compare the plasma miRNA concentrations in preeclampsia, healthy pregnant women, and nonpregnant women. Furthermore, we aimed to evaluate the effect of 3 highly increased plasma miRNAs in preeclampsia on endothelial cell function in vitro. Study Design: We compared 3391 (precursor) miRNA concentrations in plasma samples from early-onset preeclamptic women, gestational age–matched healthy pregnant women, and nonpregnant women using miRNA 3.1. arrays (Affymetrix) and validated our findings by real-time quantitative polymerase chain reaction. Subsequently, endothelial cells (human umbilical vein endothelial cells) were transfected with microRNA mimics (we choose the 3 miRNAs with the greatest fold change and lowest false-discovery rate in preeclampsia vs healthy pregnancy). After transfection, functional assays were performed to evaluate whether overexpression of the microRNAs in endothelial cells affected endothelial cell function in vitro. Functional assays were the wound-healing assay (which measures cell migration and proliferation), the proliferation assay, and the tube-formation assay (which assesses formation of endothelial cell tubes during the angiogenic process). To determine whether the miRNAs are able to decrease gene expression of certain genes, RNA was isolated from transfected endothelial cells and gene expression (by measuring RNA expression) was evaluated by gene expression microarray (Genechip Human Gene 2.1 ST arrays; Life Technologies). For the microarray, we used pooled samples, but the differently expressed genes in the microarray were validated by real-time quantitative polymerase chain reaction in individual samples. Results: No significant differences (fold change &lt;–1.2 or &gt;1.2 with a false-discovery rate &lt;0.05) were found in miRNA plasma concentrations between healthy pregnant and nonpregnant women. The plasma concentrations of 26 (precursor) miRNAs were different between preeclampsia and healthy pregnancy. The 3 miRNAs that were increased with the greatest fold change and lowest false-discovery rate in preeclampsia vs healthy preg…","author":[{"dropping-particle":"V.","family":"Lip","given":"Simone","non-dropping-particle":"","parse-names":false,"suffix":""},{"dropping-particle":"V.","family":"Boekschoten","given":"Mark","non-dropping-particle":"","parse-names":false,"suffix":""},{"dropping-particle":"","family":"Hooiveld","given":"Guido J.","non-dropping-particle":"","parse-names":false,"suffix":""},{"dropping-particle":"","family":"Pampus","given":"Mariëlle G.","non-dropping-particle":"van","parse-names":false,"suffix":""},{"dropping-particle":"","family":"Scherjon","given":"Sicco A.","non-dropping-particle":"","parse-names":false,"suffix":""},{"dropping-particle":"","family":"Plösch","given":"Torsten","non-dropping-particle":"","parse-names":false,"suffix":""},{"dropping-particle":"","family":"Faas","given":"Marijke M.","non-dropping-particle":"","parse-names":false,"suffix":""}],"container-title":"American Journal of Obstetrics and Gynecology","id":"ITEM-1","issue":"5","issued":{"date-parts":[["2020"]]},"page":"497.e1-497.e12","title":"Early-onset preeclampsia, plasma microRNAs, and endothelial cell function","type":"article-journal","volume":"222"},"uris":["http://www.mendeley.com/documents/?uuid=7bc2de84-8a54-33e5-af22-afb2273ba54d"]}],"mendeley":{"formattedCitation":"(Lip et al., 2020)","plainTextFormattedCitation":"(Lip et al., 2020)","previouslyFormattedCitation":"(Lip et al., 2020)"},"properties":{"noteIndex":0},"schema":"https://github.com/citation-style-language/schema/raw/master/csl-citation.json"}</w:instrText>
            </w:r>
            <w:r>
              <w:rPr>
                <w:sz w:val="18"/>
                <w:szCs w:val="18"/>
              </w:rPr>
              <w:fldChar w:fldCharType="separate"/>
            </w:r>
            <w:r w:rsidR="00894231" w:rsidRPr="00894231">
              <w:rPr>
                <w:noProof/>
                <w:sz w:val="18"/>
                <w:szCs w:val="18"/>
              </w:rPr>
              <w:t>(Lip et al., 2020)</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Lip 2019</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483</w:t>
            </w:r>
          </w:p>
        </w:tc>
        <w:tc>
          <w:tcPr>
            <w:tcW w:w="2136" w:type="dxa"/>
          </w:tcPr>
          <w:p w:rsidR="00460963" w:rsidRDefault="00460963" w:rsidP="009B2A14">
            <w:pPr>
              <w:spacing w:after="0"/>
              <w:jc w:val="center"/>
              <w:rPr>
                <w:sz w:val="18"/>
                <w:szCs w:val="18"/>
              </w:rPr>
            </w:pPr>
            <w:r>
              <w:rPr>
                <w:sz w:val="18"/>
                <w:szCs w:val="18"/>
              </w:rPr>
              <w:t>MPB (serum)</w:t>
            </w:r>
          </w:p>
          <w:p w:rsidR="00460963" w:rsidRDefault="00460963" w:rsidP="009B2A14">
            <w:pPr>
              <w:spacing w:after="0"/>
              <w:jc w:val="center"/>
              <w:rPr>
                <w:sz w:val="18"/>
                <w:szCs w:val="18"/>
              </w:rPr>
            </w:pPr>
            <w:r>
              <w:rPr>
                <w:sz w:val="18"/>
                <w:szCs w:val="18"/>
              </w:rPr>
              <w:t>MPB (serum)</w:t>
            </w:r>
          </w:p>
          <w:p w:rsidR="00460963" w:rsidRDefault="00460963" w:rsidP="009B2A14">
            <w:pPr>
              <w:spacing w:after="0"/>
              <w:jc w:val="center"/>
              <w:rPr>
                <w:sz w:val="18"/>
                <w:szCs w:val="18"/>
              </w:rPr>
            </w:pPr>
            <w:r>
              <w:rPr>
                <w:sz w:val="18"/>
                <w:szCs w:val="18"/>
              </w:rPr>
              <w:t>UCB</w:t>
            </w:r>
          </w:p>
          <w:p w:rsidR="00460963" w:rsidRDefault="00460963" w:rsidP="009B2A14">
            <w:pPr>
              <w:spacing w:after="0"/>
              <w:jc w:val="center"/>
              <w:rPr>
                <w:sz w:val="18"/>
                <w:szCs w:val="18"/>
              </w:rPr>
            </w:pPr>
            <w:r>
              <w:rPr>
                <w:sz w:val="18"/>
                <w:szCs w:val="18"/>
              </w:rPr>
              <w:t>UCB</w:t>
            </w:r>
          </w:p>
          <w:p w:rsidR="00460963" w:rsidRDefault="00460963" w:rsidP="009B2A14">
            <w:pPr>
              <w:spacing w:after="0"/>
              <w:jc w:val="center"/>
              <w:rPr>
                <w:sz w:val="18"/>
                <w:szCs w:val="18"/>
              </w:rPr>
            </w:pPr>
            <w:r>
              <w:rPr>
                <w:sz w:val="18"/>
                <w:szCs w:val="18"/>
              </w:rPr>
              <w:t>Placenta</w:t>
            </w:r>
          </w:p>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mild EOPE</w:t>
            </w:r>
          </w:p>
          <w:p w:rsidR="00460963" w:rsidRDefault="00460963" w:rsidP="009B2A14">
            <w:pPr>
              <w:spacing w:after="0"/>
              <w:jc w:val="center"/>
              <w:rPr>
                <w:sz w:val="18"/>
                <w:szCs w:val="18"/>
              </w:rPr>
            </w:pPr>
            <w:r>
              <w:rPr>
                <w:sz w:val="18"/>
                <w:szCs w:val="18"/>
              </w:rPr>
              <w:t>Down in severe EOPE</w:t>
            </w:r>
          </w:p>
          <w:p w:rsidR="00460963" w:rsidRDefault="00460963" w:rsidP="008B71D8">
            <w:pPr>
              <w:spacing w:after="0"/>
              <w:jc w:val="center"/>
              <w:rPr>
                <w:sz w:val="18"/>
                <w:szCs w:val="18"/>
              </w:rPr>
            </w:pPr>
            <w:r>
              <w:rPr>
                <w:sz w:val="18"/>
                <w:szCs w:val="18"/>
              </w:rPr>
              <w:t>Down in mild EOPE</w:t>
            </w:r>
          </w:p>
          <w:p w:rsidR="00460963" w:rsidRDefault="00460963" w:rsidP="008B71D8">
            <w:pPr>
              <w:spacing w:after="0"/>
              <w:jc w:val="center"/>
              <w:rPr>
                <w:sz w:val="18"/>
                <w:szCs w:val="18"/>
              </w:rPr>
            </w:pPr>
            <w:r>
              <w:rPr>
                <w:sz w:val="18"/>
                <w:szCs w:val="18"/>
              </w:rPr>
              <w:t>Down in severe EOPE</w:t>
            </w:r>
          </w:p>
          <w:p w:rsidR="00460963" w:rsidRDefault="00460963" w:rsidP="008B71D8">
            <w:pPr>
              <w:spacing w:after="0"/>
              <w:jc w:val="center"/>
              <w:rPr>
                <w:sz w:val="18"/>
                <w:szCs w:val="18"/>
              </w:rPr>
            </w:pPr>
            <w:r>
              <w:rPr>
                <w:sz w:val="18"/>
                <w:szCs w:val="18"/>
              </w:rPr>
              <w:t>Down in mild EOPE</w:t>
            </w:r>
          </w:p>
          <w:p w:rsidR="00460963" w:rsidRDefault="00460963" w:rsidP="008B71D8">
            <w:pPr>
              <w:spacing w:after="0"/>
              <w:jc w:val="center"/>
              <w:rPr>
                <w:sz w:val="18"/>
                <w:szCs w:val="18"/>
              </w:rPr>
            </w:pPr>
            <w:r>
              <w:rPr>
                <w:sz w:val="18"/>
                <w:szCs w:val="18"/>
              </w:rPr>
              <w:t>Down in severe EOPE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tc>
        <w:tc>
          <w:tcPr>
            <w:tcW w:w="2977" w:type="dxa"/>
          </w:tcPr>
          <w:p w:rsidR="00460963" w:rsidRDefault="00460963" w:rsidP="009B2A14">
            <w:pPr>
              <w:spacing w:after="0"/>
              <w:jc w:val="center"/>
              <w:rPr>
                <w:sz w:val="18"/>
                <w:szCs w:val="18"/>
              </w:rPr>
            </w:pPr>
          </w:p>
        </w:tc>
        <w:tc>
          <w:tcPr>
            <w:tcW w:w="1791" w:type="dxa"/>
          </w:tcPr>
          <w:p w:rsidR="00460963" w:rsidRDefault="00460963" w:rsidP="009B2A14">
            <w:pPr>
              <w:spacing w:after="0"/>
              <w:jc w:val="center"/>
              <w:rPr>
                <w:sz w:val="18"/>
                <w:szCs w:val="18"/>
              </w:rPr>
            </w:pPr>
            <w:r>
              <w:rPr>
                <w:sz w:val="18"/>
                <w:szCs w:val="18"/>
              </w:rPr>
              <w:t>Han 2020</w:t>
            </w:r>
          </w:p>
          <w:p w:rsidR="00460963" w:rsidRDefault="00460963" w:rsidP="009B2A14">
            <w:pPr>
              <w:spacing w:after="0"/>
              <w:jc w:val="center"/>
              <w:rPr>
                <w:sz w:val="18"/>
                <w:szCs w:val="18"/>
              </w:rPr>
            </w:pPr>
            <w:r>
              <w:rPr>
                <w:sz w:val="18"/>
                <w:szCs w:val="18"/>
              </w:rPr>
              <w:t>Han 2020</w:t>
            </w:r>
          </w:p>
          <w:p w:rsidR="00460963" w:rsidRDefault="00460963" w:rsidP="009B2A14">
            <w:pPr>
              <w:spacing w:after="0"/>
              <w:jc w:val="center"/>
              <w:rPr>
                <w:sz w:val="18"/>
                <w:szCs w:val="18"/>
              </w:rPr>
            </w:pPr>
            <w:r>
              <w:rPr>
                <w:sz w:val="18"/>
                <w:szCs w:val="18"/>
              </w:rPr>
              <w:t>Han 2020</w:t>
            </w:r>
          </w:p>
          <w:p w:rsidR="00460963" w:rsidRDefault="00460963" w:rsidP="009B2A14">
            <w:pPr>
              <w:spacing w:after="0"/>
              <w:jc w:val="center"/>
              <w:rPr>
                <w:sz w:val="18"/>
                <w:szCs w:val="18"/>
              </w:rPr>
            </w:pPr>
            <w:r>
              <w:rPr>
                <w:sz w:val="18"/>
                <w:szCs w:val="18"/>
              </w:rPr>
              <w:t>Han 2020</w:t>
            </w:r>
          </w:p>
          <w:p w:rsidR="00460963" w:rsidRDefault="00460963" w:rsidP="009B2A14">
            <w:pPr>
              <w:spacing w:after="0"/>
              <w:jc w:val="center"/>
              <w:rPr>
                <w:sz w:val="18"/>
                <w:szCs w:val="18"/>
              </w:rPr>
            </w:pPr>
            <w:r>
              <w:rPr>
                <w:sz w:val="18"/>
                <w:szCs w:val="18"/>
              </w:rPr>
              <w:t>Han 2020</w:t>
            </w:r>
          </w:p>
          <w:p w:rsidR="00460963" w:rsidRDefault="00460963" w:rsidP="009B2A14">
            <w:pPr>
              <w:spacing w:after="0"/>
              <w:jc w:val="center"/>
              <w:rPr>
                <w:sz w:val="18"/>
                <w:szCs w:val="18"/>
              </w:rPr>
            </w:pPr>
            <w:r>
              <w:rPr>
                <w:sz w:val="18"/>
                <w:szCs w:val="18"/>
              </w:rPr>
              <w:t>Han 2020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383</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Down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460963" w:rsidP="009B2A14">
            <w:pPr>
              <w:spacing w:after="0"/>
              <w:jc w:val="center"/>
              <w:rPr>
                <w:sz w:val="18"/>
                <w:szCs w:val="18"/>
              </w:rPr>
            </w:pPr>
          </w:p>
        </w:tc>
        <w:tc>
          <w:tcPr>
            <w:tcW w:w="1791" w:type="dxa"/>
          </w:tcPr>
          <w:p w:rsidR="00460963" w:rsidRDefault="00460963" w:rsidP="009B2A14">
            <w:pPr>
              <w:spacing w:after="0"/>
              <w:jc w:val="center"/>
              <w:rPr>
                <w:sz w:val="18"/>
                <w:szCs w:val="18"/>
              </w:rPr>
            </w:pPr>
            <w:r>
              <w:rPr>
                <w:sz w:val="18"/>
                <w:szCs w:val="18"/>
              </w:rPr>
              <w:t>Li T 2020</w:t>
            </w:r>
          </w:p>
        </w:tc>
      </w:tr>
      <w:tr w:rsidR="00460963" w:rsidTr="00B00CA2">
        <w:trPr>
          <w:jc w:val="center"/>
        </w:trPr>
        <w:tc>
          <w:tcPr>
            <w:tcW w:w="886" w:type="dxa"/>
          </w:tcPr>
          <w:p w:rsidR="00460963" w:rsidRDefault="00460963" w:rsidP="009B2A14">
            <w:pPr>
              <w:spacing w:after="0"/>
              <w:jc w:val="center"/>
              <w:rPr>
                <w:sz w:val="18"/>
                <w:szCs w:val="18"/>
              </w:rPr>
            </w:pPr>
            <w:r>
              <w:rPr>
                <w:sz w:val="18"/>
                <w:szCs w:val="18"/>
              </w:rPr>
              <w:t>1283</w:t>
            </w:r>
          </w:p>
        </w:tc>
        <w:tc>
          <w:tcPr>
            <w:tcW w:w="2136" w:type="dxa"/>
          </w:tcPr>
          <w:p w:rsidR="00460963" w:rsidRDefault="00460963" w:rsidP="009B2A14">
            <w:pPr>
              <w:spacing w:after="0"/>
              <w:jc w:val="center"/>
              <w:rPr>
                <w:sz w:val="18"/>
                <w:szCs w:val="18"/>
              </w:rPr>
            </w:pPr>
            <w:r>
              <w:rPr>
                <w:sz w:val="18"/>
                <w:szCs w:val="18"/>
              </w:rPr>
              <w:t>MPB (whole blood)</w:t>
            </w:r>
          </w:p>
        </w:tc>
        <w:tc>
          <w:tcPr>
            <w:tcW w:w="2859" w:type="dxa"/>
          </w:tcPr>
          <w:p w:rsidR="00460963" w:rsidRDefault="00460963" w:rsidP="009B2A14">
            <w:pPr>
              <w:spacing w:after="0"/>
              <w:jc w:val="center"/>
              <w:rPr>
                <w:sz w:val="18"/>
                <w:szCs w:val="18"/>
              </w:rPr>
            </w:pPr>
            <w:r>
              <w:rPr>
                <w:sz w:val="18"/>
                <w:szCs w:val="18"/>
              </w:rPr>
              <w:t>No difference in sEOPE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{"citationItems":[{"id":"ITEM-1","itemData":{"DOI":"10.1038/s41598-020-73783-w","ISSN":"20452322","PMID":"33093531","abstract":"Preeclampsia is a pregnancy complication associated with angiogenic dysbalance, maternal endothelial dysfunction and end-organ injury. A predictive test to identify those who will develop preeclampsia could substantially decrease morbidity and mortality. MicroRNAs (miRs) are small RNA molecules involved in post-transcriptional gene regulation. We screened for circulating miRs differentially expressed at 36 weeks’ gestation in pregnancies before the development of preeclampsia. We used a case–control group (198 controls, 34 pre-preeclampsia diagnosis) selected from a prospective cohort (n = 2015) and performed a PCR-based microarray to measure the expression of 41 miRs. We found six circulating miRs (miRs 363, 149, 18a, 1283, 16, 424) at 36 weeks' had significantly reduced expression (p &lt; 0.0001–0.04). miR363 was significantly downregulated at 28 weeks’ gestation, 10–12 weeks before the onset of clinical disease. In the circulation of another cohort of 34 participants with established preterm preeclampsia (vs 23 controls), we found miRs363, 18a, 149 and 16 were significantly down regulated (p &lt; 0.0001–0.04). Combined expression of miRs149 and 363 in the circulation at 36 weeks’ gestation provides a test with 45% sensitivity (at a specificity of 90%) which suggests measuring both miRs may have promise as part of a multi-marker test to predict preeclampsia.","author":[{"dropping-particle":"","family":"Whigham","given":"Carole Anne","non-dropping-particle":"","parse-names":false,"suffix":""},{"dropping-particle":"","family":"MacDonald","given":"Teresa M.","non-dropping-particle":"","parse-names":false,"suffix":""},{"dropping-particle":"","family":"Walker","given":"Susan P.","non-dropping-particle":"","parse-names":false,"suffix":""},{"dropping-particle":"","family":"Hiscock","given":"Richard","non-dropping-particle":"","parse-names":false,"suffix":""},{"dropping-particle":"","family":"Hannan","given":"Natalie J.","non-dropping-particle":"","parse-names":false,"suffix":""},{"dropping-particle":"","family":"Pritchard","given":"Natasha","non-dropping-particle":"","parse-names":false,"suffix":""},{"dropping-particle":"","family":"Cannon","given":"Ping","non-dropping-particle":"","parse-names":false,"suffix":""},{"dropping-particle":"","family":"Nguyen","given":"Tuong Vi","non-dropping-particle":"","parse-names":false,"suffix":""},{"dropping-particle":"","family":"Miranda","given":"Manisha","non-dropping-particle":"","parse-names":false,"suffix":""},{"dropping-particle":"","family":"Tong","given":"Stephen","non-dropping-particle":"","parse-names":false,"suffix":""},{"dropping-particle":"","family":"Kaitu’u-Lino","given":"Tu’uhevaha J.","non-dropping-particle":"","parse-names":false,"suffix":""}],"container-title":"Scientific Reports","id":"ITEM-1","issue":"1","issued":{"date-parts":[["2020","12","1"]]},"page":"18077","publisher":"Nature Research","title":"MicroRNAs 363 and 149 are differentially expressed in the maternal circulation preceding a diagnosis of preeclampsia","type":"article-journal","volume":"10"},"uris":["http://www.mendeley.com/documents/?uuid=168474e8-6878-3384-830b-0d80f3999b8b"]}],"mendeley":{"formattedCitation":"(Whigham et al., 2020)","plainTextFormattedCitation":"(Whigham et al., 2020)","previouslyFormattedCitation":"(Whigham et al., 2020)"},"properties":{"noteIndex":0},"schema":"https://github.com/citation-style-language/schema/raw/master/csl-citation.json"}</w:instrText>
            </w:r>
            <w:r>
              <w:rPr>
                <w:sz w:val="18"/>
                <w:szCs w:val="18"/>
              </w:rPr>
              <w:fldChar w:fldCharType="separate"/>
            </w:r>
            <w:r w:rsidR="00894231" w:rsidRPr="0004386C">
              <w:rPr>
                <w:noProof/>
                <w:sz w:val="18"/>
                <w:szCs w:val="18"/>
              </w:rPr>
              <w:t>(Whigham et al., 2020)</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Whigham 2020</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200a</w:t>
            </w:r>
          </w:p>
        </w:tc>
        <w:tc>
          <w:tcPr>
            <w:tcW w:w="2136" w:type="dxa"/>
          </w:tcPr>
          <w:p w:rsidR="00460963" w:rsidRDefault="00460963" w:rsidP="009B2A14">
            <w:pPr>
              <w:spacing w:after="0"/>
              <w:jc w:val="center"/>
              <w:rPr>
                <w:sz w:val="18"/>
                <w:szCs w:val="18"/>
              </w:rPr>
            </w:pPr>
            <w:r>
              <w:rPr>
                <w:sz w:val="18"/>
                <w:szCs w:val="18"/>
              </w:rPr>
              <w:t>Placenta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460963" w:rsidP="009B2A14">
            <w:pPr>
              <w:spacing w:after="0"/>
              <w:jc w:val="center"/>
              <w:rPr>
                <w:sz w:val="18"/>
                <w:szCs w:val="18"/>
              </w:rPr>
            </w:pPr>
          </w:p>
        </w:tc>
        <w:tc>
          <w:tcPr>
            <w:tcW w:w="1791" w:type="dxa"/>
          </w:tcPr>
          <w:p w:rsidR="00460963" w:rsidRDefault="00460963" w:rsidP="009B2A14">
            <w:pPr>
              <w:spacing w:after="0"/>
              <w:jc w:val="center"/>
              <w:rPr>
                <w:sz w:val="18"/>
                <w:szCs w:val="18"/>
              </w:rPr>
            </w:pPr>
            <w:r>
              <w:rPr>
                <w:sz w:val="18"/>
                <w:szCs w:val="18"/>
              </w:rPr>
              <w:t>Wu G, 2020</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320a</w:t>
            </w:r>
          </w:p>
        </w:tc>
        <w:tc>
          <w:tcPr>
            <w:tcW w:w="2136" w:type="dxa"/>
          </w:tcPr>
          <w:p w:rsidR="00460963" w:rsidRDefault="00460963" w:rsidP="009B2A14">
            <w:pPr>
              <w:spacing w:after="0"/>
              <w:jc w:val="center"/>
              <w:rPr>
                <w:sz w:val="18"/>
                <w:szCs w:val="18"/>
              </w:rPr>
            </w:pPr>
            <w:r>
              <w:rPr>
                <w:sz w:val="18"/>
                <w:szCs w:val="18"/>
              </w:rPr>
              <w:t>MPB (serum)</w:t>
            </w:r>
          </w:p>
          <w:p w:rsidR="00460963" w:rsidRDefault="00460963" w:rsidP="009B2A14">
            <w:pPr>
              <w:spacing w:after="0"/>
              <w:jc w:val="center"/>
              <w:rPr>
                <w:sz w:val="18"/>
                <w:szCs w:val="18"/>
              </w:rPr>
            </w:pPr>
            <w:r>
              <w:rPr>
                <w:sz w:val="18"/>
                <w:szCs w:val="18"/>
              </w:rPr>
              <w:t>MPB (serum)</w:t>
            </w:r>
          </w:p>
          <w:p w:rsidR="00460963" w:rsidRDefault="00460963" w:rsidP="009B2A14">
            <w:pPr>
              <w:spacing w:after="0"/>
              <w:jc w:val="center"/>
              <w:rPr>
                <w:sz w:val="18"/>
                <w:szCs w:val="18"/>
              </w:rPr>
            </w:pPr>
            <w:r>
              <w:rPr>
                <w:sz w:val="18"/>
                <w:szCs w:val="18"/>
              </w:rPr>
              <w:t>MPB (serum)</w:t>
            </w:r>
          </w:p>
        </w:tc>
        <w:tc>
          <w:tcPr>
            <w:tcW w:w="2859" w:type="dxa"/>
          </w:tcPr>
          <w:p w:rsidR="00460963" w:rsidRDefault="00460963" w:rsidP="009B2A14">
            <w:pPr>
              <w:spacing w:after="0"/>
              <w:jc w:val="center"/>
              <w:rPr>
                <w:sz w:val="18"/>
                <w:szCs w:val="18"/>
              </w:rPr>
            </w:pPr>
            <w:r>
              <w:rPr>
                <w:sz w:val="18"/>
                <w:szCs w:val="18"/>
              </w:rPr>
              <w:t>Up in EOPE</w:t>
            </w:r>
          </w:p>
          <w:p w:rsidR="00460963" w:rsidRDefault="00460963" w:rsidP="009B2A14">
            <w:pPr>
              <w:spacing w:after="0"/>
              <w:jc w:val="center"/>
              <w:rPr>
                <w:sz w:val="18"/>
                <w:szCs w:val="18"/>
              </w:rPr>
            </w:pPr>
            <w:r>
              <w:rPr>
                <w:sz w:val="18"/>
                <w:szCs w:val="18"/>
              </w:rPr>
              <w:t>Up in mEOPE</w:t>
            </w:r>
          </w:p>
          <w:p w:rsidR="00460963" w:rsidRDefault="00460963" w:rsidP="009B2A14">
            <w:pPr>
              <w:spacing w:after="0"/>
              <w:jc w:val="center"/>
              <w:rPr>
                <w:sz w:val="18"/>
                <w:szCs w:val="18"/>
              </w:rPr>
            </w:pPr>
            <w:r>
              <w:rPr>
                <w:sz w:val="18"/>
                <w:szCs w:val="18"/>
              </w:rPr>
              <w:t>Up in sEOPE</w:t>
            </w:r>
          </w:p>
        </w:tc>
        <w:tc>
          <w:tcPr>
            <w:tcW w:w="1173" w:type="dxa"/>
          </w:tcPr>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p w:rsidR="00460963" w:rsidRDefault="00460963" w:rsidP="009B2A14">
            <w:pPr>
              <w:spacing w:after="0"/>
              <w:jc w:val="center"/>
              <w:rPr>
                <w:sz w:val="18"/>
                <w:szCs w:val="18"/>
              </w:rPr>
            </w:pPr>
            <w:r>
              <w:rPr>
                <w:sz w:val="18"/>
                <w:szCs w:val="18"/>
              </w:rPr>
              <w:t>Yes</w:t>
            </w:r>
          </w:p>
        </w:tc>
        <w:tc>
          <w:tcPr>
            <w:tcW w:w="2977" w:type="dxa"/>
          </w:tcPr>
          <w:p w:rsidR="00460963" w:rsidRDefault="00460963" w:rsidP="009B2A14">
            <w:pPr>
              <w:spacing w:after="0"/>
              <w:jc w:val="center"/>
              <w:rPr>
                <w:sz w:val="18"/>
                <w:szCs w:val="18"/>
              </w:rPr>
            </w:pPr>
          </w:p>
        </w:tc>
        <w:tc>
          <w:tcPr>
            <w:tcW w:w="1791" w:type="dxa"/>
          </w:tcPr>
          <w:p w:rsidR="00460963" w:rsidRDefault="00460963" w:rsidP="009B2A14">
            <w:pPr>
              <w:spacing w:after="0"/>
              <w:jc w:val="center"/>
              <w:rPr>
                <w:sz w:val="18"/>
                <w:szCs w:val="18"/>
              </w:rPr>
            </w:pPr>
            <w:r>
              <w:rPr>
                <w:sz w:val="18"/>
                <w:szCs w:val="18"/>
              </w:rPr>
              <w:t>Liao, 2021</w:t>
            </w:r>
          </w:p>
          <w:p w:rsidR="00460963" w:rsidRDefault="00460963" w:rsidP="009B2A14">
            <w:pPr>
              <w:spacing w:after="0"/>
              <w:jc w:val="center"/>
              <w:rPr>
                <w:sz w:val="18"/>
                <w:szCs w:val="18"/>
              </w:rPr>
            </w:pPr>
            <w:r>
              <w:rPr>
                <w:sz w:val="18"/>
                <w:szCs w:val="18"/>
              </w:rPr>
              <w:t>Liao 2021</w:t>
            </w:r>
          </w:p>
          <w:p w:rsidR="00460963" w:rsidRDefault="00460963" w:rsidP="009B2A14">
            <w:pPr>
              <w:spacing w:after="0"/>
              <w:jc w:val="center"/>
              <w:rPr>
                <w:sz w:val="18"/>
                <w:szCs w:val="18"/>
              </w:rPr>
            </w:pPr>
            <w:r>
              <w:rPr>
                <w:sz w:val="18"/>
                <w:szCs w:val="18"/>
              </w:rPr>
              <w:t>Liao 2021</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106b-5p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894231"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15a-5p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894231"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128-3p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894231"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200b-3p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894231"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34a-5p</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sPE</w:t>
            </w:r>
          </w:p>
        </w:tc>
        <w:tc>
          <w:tcPr>
            <w:tcW w:w="1173" w:type="dxa"/>
          </w:tcPr>
          <w:p w:rsidR="00460963" w:rsidRDefault="00460963" w:rsidP="009B2A14">
            <w:pPr>
              <w:spacing w:after="0"/>
              <w:jc w:val="center"/>
              <w:rPr>
                <w:sz w:val="18"/>
                <w:szCs w:val="18"/>
              </w:rPr>
            </w:pPr>
            <w:r>
              <w:rPr>
                <w:sz w:val="18"/>
                <w:szCs w:val="18"/>
              </w:rPr>
              <w:t>No</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{"citationItems":[{"id":"ITEM-1","itemData":{"DOI":"10.3389/fphys.2021.678184","ISSN":"1664042X","abstract":"MicroRNAs (miRNAs) play an important role in the pathophysiology of preeclampsia (PE). However, the expression of circulating miRNAs was not analyzed in the second trimester of pregnancy, a period of major relevance to identify predictive biomarkers for PE. Therefore, we examined the expression profiles of 84 circulating miRNAs using a PCR array in plasma collected between 20 and 25 weeks of gestation from pregnant women, who subsequently developed PE and those who remained healthy during pregnancy, randomly selected from a prospective cohort. Overall, 23 miRNAs had a fold change &gt; 2.0 and were considered to be upregulated in plasma from pregnant women who subsequently developed PE, even before the onset of clinical symptoms of PE. However, only miR-204-5p was statistically significant (P = 0.0082). Experimentally validated interactions for the target genes of miR-204-5p extracted from miRTarBase were used in the gene set functional enrichment analysis to identify Reactome pathways. The network connecting the 37 target genes for miR-204-5p revealed pathways of known pathophysiological relevance during the early development of PE and included key genes related to PE, such as BDNF, MMP-9, MALAT1, TGFBR2, and SIRT1. We further depicted downstream targets of SIRT1 that are related to the vascular endothelial function or implicated in the pathophysiology of PE, namely, FOXO1, NFκB, HIF-1α, NOS3, and PPAR-γ. Our novel findings provide for circulating miRNAs upregulated in the second trimester on plasma from pregnant women who subsequently developed PE that is potentially related to the early development of PE, which may guide further studies focused on the validation of potential predictive biomarkers in PE.","author":[{"dropping-particle":"","family":"Luizon","given":"Marcelo R.","non-dropping-particle":"","parse-names":false,"suffix":""},{"dropping-particle":"","family":"Conceição","given":"Izabela M.C.A.","non-dropping-particle":"","parse-names":false,"suffix":""},{"dropping-particle":"","family":"Viana-Mattioli","given":"Sarah","non-dropping-particle":"","parse-names":false,"suffix":""},{"dropping-particle":"","family":"Caldeira-Dias","given":"Mayara","non-dropping-particle":"","parse-names":false,"suffix":""},{"dropping-particle":"","family":"Cavalli","given":"Ricardo C.","non-dropping-particle":"","parse-names":false,"suffix":""},{"dropping-particle":"","family":"Sandrim","given":"Valeria C.","non-dropping-particle":"","parse-names":false,"suffix":""}],"container-title":"Frontiers in Physiology","id":"ITEM-1","issued":{"date-parts":[["2021","9","22"]]},"page":"678184","publisher":"Frontiers Media S.A.","title":"Circulating MicroRNAs in the Second Trimester From Pregnant Women Who Subsequently Developed Preeclampsia: Potential Candidates as Predictive Biomarkers and Pathway Analysis for Target Genes of miR-204-5p","type":"article-journal","volume":"12"},"uris":["http://www.mendeley.com/documents/?uuid=e475ec3b-456a-3003-9fef-02749a84011e"]}],"mendeley":{"formattedCitation":"(Luizon et al., 2021)","plainTextFormattedCitation":"(Luizon et al., 2021)","previouslyFormattedCitation":"(Luizon et al., 2021)"},"properties":{"noteIndex":0},"schema":"https://github.com/citation-style-language/schema/raw/master/csl-citation.json"}</w:instrText>
            </w:r>
            <w:r>
              <w:rPr>
                <w:sz w:val="18"/>
                <w:szCs w:val="18"/>
              </w:rPr>
              <w:fldChar w:fldCharType="separate"/>
            </w:r>
            <w:r w:rsidR="00894231" w:rsidRPr="00FF4CEA">
              <w:rPr>
                <w:noProof/>
                <w:sz w:val="18"/>
                <w:szCs w:val="18"/>
              </w:rPr>
              <w:t>(Luizon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Luizon 2021</w:t>
            </w:r>
          </w:p>
        </w:tc>
      </w:tr>
      <w:tr w:rsidR="00460963" w:rsidTr="00B00CA2">
        <w:trPr>
          <w:jc w:val="center"/>
        </w:trPr>
        <w:tc>
          <w:tcPr>
            <w:tcW w:w="886" w:type="dxa"/>
          </w:tcPr>
          <w:p w:rsidR="00460963" w:rsidRDefault="00460963" w:rsidP="00920D3A">
            <w:pPr>
              <w:spacing w:after="0"/>
              <w:jc w:val="center"/>
              <w:rPr>
                <w:sz w:val="18"/>
                <w:szCs w:val="18"/>
              </w:rPr>
            </w:pPr>
            <w:r>
              <w:rPr>
                <w:sz w:val="18"/>
                <w:szCs w:val="18"/>
              </w:rPr>
              <w:t>200c</w:t>
            </w:r>
          </w:p>
        </w:tc>
        <w:tc>
          <w:tcPr>
            <w:tcW w:w="2136" w:type="dxa"/>
          </w:tcPr>
          <w:p w:rsidR="00460963" w:rsidRDefault="00460963" w:rsidP="009B2A14">
            <w:pPr>
              <w:spacing w:after="0"/>
              <w:jc w:val="center"/>
              <w:rPr>
                <w:sz w:val="18"/>
                <w:szCs w:val="18"/>
              </w:rPr>
            </w:pPr>
            <w:r>
              <w:rPr>
                <w:sz w:val="18"/>
                <w:szCs w:val="18"/>
              </w:rPr>
              <w:t>MPB (plasma)</w:t>
            </w:r>
          </w:p>
        </w:tc>
        <w:tc>
          <w:tcPr>
            <w:tcW w:w="2859" w:type="dxa"/>
          </w:tcPr>
          <w:p w:rsidR="00460963" w:rsidRDefault="00460963" w:rsidP="009B2A14">
            <w:pPr>
              <w:spacing w:after="0"/>
              <w:jc w:val="center"/>
              <w:rPr>
                <w:sz w:val="18"/>
                <w:szCs w:val="18"/>
              </w:rPr>
            </w:pPr>
            <w:r>
              <w:rPr>
                <w:sz w:val="18"/>
                <w:szCs w:val="18"/>
              </w:rPr>
              <w:t>Up in EOPE</w:t>
            </w:r>
          </w:p>
        </w:tc>
        <w:tc>
          <w:tcPr>
            <w:tcW w:w="1173" w:type="dxa"/>
          </w:tcPr>
          <w:p w:rsidR="00460963" w:rsidRDefault="00460963" w:rsidP="009B2A14">
            <w:pPr>
              <w:spacing w:after="0"/>
              <w:jc w:val="center"/>
              <w:rPr>
                <w:sz w:val="18"/>
                <w:szCs w:val="18"/>
              </w:rPr>
            </w:pPr>
            <w:r>
              <w:rPr>
                <w:sz w:val="18"/>
                <w:szCs w:val="18"/>
              </w:rPr>
              <w:t>Yes</w:t>
            </w:r>
          </w:p>
        </w:tc>
        <w:tc>
          <w:tcPr>
            <w:tcW w:w="2977" w:type="dxa"/>
          </w:tcPr>
          <w:p w:rsidR="00460963" w:rsidRDefault="00E33D6E" w:rsidP="009B2A14">
            <w:pPr>
              <w:spacing w:after="0"/>
              <w:jc w:val="center"/>
              <w:rPr>
                <w:sz w:val="18"/>
                <w:szCs w:val="18"/>
              </w:rPr>
            </w:pPr>
            <w:r>
              <w:rPr>
                <w:sz w:val="18"/>
                <w:szCs w:val="18"/>
              </w:rPr>
              <w:fldChar w:fldCharType="begin" w:fldLock="1"/>
            </w:r>
            <w:r w:rsidR="00894231">
              <w:rPr>
                <w:sz w:val="18"/>
                <w:szCs w:val="18"/>
              </w:rPr>
              <w:instrText>ADDIN CSL_CITATION {"citationItems":[{"id":"ITEM-1","itemData":{"DOI":"10.1042/BSR20210874","ISSN":"15734935","PMID":"34318873","abstract":"In preeclampsia (PE), pre-existent maternal endothelial dysfunction leads to impaired placentation and vascular maladaptation. The vascular endothelial growth factor (VEGF) pathway is essential in the placentation process and VEGF expression is regulated through post-transcriptional modification by microRNAs (miRNAs). We investigated the expression of VEGF-related circulating miR-16, miR-29b, miR-126, miR-155 and miR-200c in PE vs healthy pregnancies (HPs), and their relation with vascular function, oxidative stress (OS) and systemic inflammation. In this case-control study, 24 women with early PE (&lt;34 weeks) were compared with 30 women with HP. Circulating microRNA levels (RT-qPCR), OS and systemic inflammation were assessed in plasma samples (PE 29.5 vs HP 25.8 weeks) and related to extensive in vivo vascular function (flow-mediated dilatation (FMD), modified FMD (mFMD), carotid-femoral pulse wave velocity (CF-PWV), heart rate corrected augmentation index (AIx75) and reactive hyperemia index (RHI)). FMD, CF-PWV, AIx75 and RHI were all significantly impaired in PE (P&lt;0.05). PE patients had reduced levels of miR-16 (5.53 +− 0.36 vs 5.84 +− 0.61) and increased levels of miR-200c (1.34 +− 0.57 vs 0.97 +− 0.68) (P&lt;0.05). Independent of age and parity, miR-16 was related to impaired FMD (β 2.771, 95% C.I.: 0.023-5.519, P=0.048) and mFMD (β 3.401, 95% C.I.: 0.201-6.602, P=0.038). Likewise, miR-200c was independently associated with CF-PWV (β 0.513, 95% C.I.: 0.034-0.992, P=0.036). In conclusion, circulating levels of miR-16 were lower in PE, which correlated with impaired endothelial function. Circulating miR-200c was increased in PE and correlated with higher arterial stiffness. These findings suggest a post-transcriptional dysregulation of the VEGF pathway in PE and identify miR-16 and miR-200c as possible diagnostic biomarkers for PE.","author":[{"dropping-particle":"","family":"Witvrouwen","given":"Isabel","non-dropping-particle":"","parse-names":false,"suffix":""},{"dropping-particle":"","family":"Mannaerts","given":"Dominique","non-dropping-particle":"","parse-names":false,"suffix":""},{"dropping-particle":"","family":"Ratajczak","given":"Jessica","non-dropping-particle":"","parse-names":false,"suffix":""},{"dropping-particle":"","family":"Boeren","given":"Evi","non-dropping-particle":"","parse-names":false,"suffix":""},{"dropping-particle":"","family":"Faes","given":"Ellen","non-dropping-particle":"","parse-names":false,"suffix":""},{"dropping-particle":"","family":"Craenenbroeck","given":"Amaryllis H.","non-dropping-particle":"van","parse-names":false,"suffix":""},{"dropping-particle":"","family":"Jacquemyn","given":"Yves","non-dropping-particle":"","parse-names":false,"suffix":""},{"dropping-particle":"","family":"Craenenbroeck","given":"Emeline M.","non-dropping-particle":"van","parse-names":false,"suffix":""}],"container-title":"Bioscience Reports","id":"ITEM-1","issue":"8","issued":{"date-parts":[["2021","8","1"]]},"page":"BSR20210874","publisher":"Portland Press Ltd","title":"MicroRNAs targeting VEGF are related to vascular dysfunction in preeclampsia","type":"article-journal","volume":"41"},"uris":["http://www.mendeley.com/documents/?uuid=5f138707-1204-3809-a0e3-46422e1b0d59"]}],"mendeley":{"formattedCitation":"(Witvrouwen et al., 2021)","plainTextFormattedCitation":"(Witvrouwen et al., 2021)","previouslyFormattedCitation":"(Witvrouwen et al., 2021)"},"properties":{"noteIndex":0},"schema":"https://github.com/citation-style-language/schema/raw/master/csl-citation.json"}</w:instrText>
            </w:r>
            <w:r>
              <w:rPr>
                <w:sz w:val="18"/>
                <w:szCs w:val="18"/>
              </w:rPr>
              <w:fldChar w:fldCharType="separate"/>
            </w:r>
            <w:r w:rsidR="00894231" w:rsidRPr="00324B9B">
              <w:rPr>
                <w:noProof/>
                <w:sz w:val="18"/>
                <w:szCs w:val="18"/>
              </w:rPr>
              <w:t>(Witvrouwen et al., 2021)</w:t>
            </w:r>
            <w:r>
              <w:rPr>
                <w:sz w:val="18"/>
                <w:szCs w:val="18"/>
              </w:rPr>
              <w:fldChar w:fldCharType="end"/>
            </w:r>
          </w:p>
        </w:tc>
        <w:tc>
          <w:tcPr>
            <w:tcW w:w="1791" w:type="dxa"/>
          </w:tcPr>
          <w:p w:rsidR="00460963" w:rsidRDefault="00460963" w:rsidP="009B2A14">
            <w:pPr>
              <w:spacing w:after="0"/>
              <w:jc w:val="center"/>
              <w:rPr>
                <w:sz w:val="18"/>
                <w:szCs w:val="18"/>
              </w:rPr>
            </w:pPr>
            <w:r>
              <w:rPr>
                <w:sz w:val="18"/>
                <w:szCs w:val="18"/>
              </w:rPr>
              <w:t>Witvrouwen 2021</w:t>
            </w:r>
          </w:p>
        </w:tc>
      </w:tr>
    </w:tbl>
    <w:p w:rsidR="009B2A14" w:rsidRDefault="009B2A14" w:rsidP="006D38DA">
      <w:pPr>
        <w:rPr>
          <w:szCs w:val="24"/>
        </w:rPr>
      </w:pPr>
    </w:p>
    <w:p w:rsidR="009B2A14" w:rsidRDefault="009B2A14">
      <w:pPr>
        <w:spacing w:before="0" w:after="200" w:line="276" w:lineRule="auto"/>
        <w:rPr>
          <w:szCs w:val="24"/>
        </w:rPr>
      </w:pPr>
      <w:r>
        <w:rPr>
          <w:szCs w:val="24"/>
        </w:rPr>
        <w:br w:type="page"/>
      </w:r>
    </w:p>
    <w:p w:rsidR="006D38DA" w:rsidRDefault="006D38DA" w:rsidP="006D38DA">
      <w:pPr>
        <w:rPr>
          <w:szCs w:val="24"/>
        </w:rPr>
      </w:pPr>
      <w:r>
        <w:rPr>
          <w:szCs w:val="24"/>
        </w:rPr>
        <w:lastRenderedPageBreak/>
        <w:t xml:space="preserve">Table </w:t>
      </w:r>
      <w:r w:rsidR="003F696B">
        <w:rPr>
          <w:szCs w:val="24"/>
        </w:rPr>
        <w:t>S</w:t>
      </w:r>
      <w:r>
        <w:rPr>
          <w:szCs w:val="24"/>
        </w:rPr>
        <w:t>6. Major findings for less severe 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461"/>
        <w:gridCol w:w="3290"/>
        <w:gridCol w:w="502"/>
        <w:gridCol w:w="1331"/>
      </w:tblGrid>
      <w:tr w:rsidR="009B2A14" w:rsidRPr="004041DD" w:rsidTr="009B2A14">
        <w:trPr>
          <w:jc w:val="center"/>
        </w:trPr>
        <w:tc>
          <w:tcPr>
            <w:tcW w:w="0" w:type="auto"/>
            <w:vAlign w:val="center"/>
          </w:tcPr>
          <w:p w:rsidR="009B2A14" w:rsidRPr="004041DD" w:rsidRDefault="009B2A14" w:rsidP="009B2A14">
            <w:pPr>
              <w:spacing w:after="0"/>
              <w:jc w:val="center"/>
              <w:rPr>
                <w:b/>
                <w:sz w:val="18"/>
                <w:szCs w:val="18"/>
              </w:rPr>
            </w:pPr>
            <w:r w:rsidRPr="004041DD">
              <w:rPr>
                <w:b/>
                <w:sz w:val="18"/>
                <w:szCs w:val="18"/>
              </w:rPr>
              <w:t>miRNK</w:t>
            </w:r>
          </w:p>
        </w:tc>
        <w:tc>
          <w:tcPr>
            <w:tcW w:w="0" w:type="auto"/>
            <w:vAlign w:val="center"/>
          </w:tcPr>
          <w:p w:rsidR="009B2A14" w:rsidRPr="004041DD" w:rsidRDefault="009B2A14" w:rsidP="009B2A14">
            <w:pPr>
              <w:spacing w:after="0"/>
              <w:jc w:val="center"/>
              <w:rPr>
                <w:b/>
                <w:sz w:val="18"/>
                <w:szCs w:val="18"/>
              </w:rPr>
            </w:pPr>
            <w:r w:rsidRPr="004041DD">
              <w:rPr>
                <w:b/>
                <w:sz w:val="18"/>
                <w:szCs w:val="18"/>
              </w:rPr>
              <w:t>tissue</w:t>
            </w:r>
          </w:p>
        </w:tc>
        <w:tc>
          <w:tcPr>
            <w:tcW w:w="0" w:type="auto"/>
            <w:vAlign w:val="center"/>
          </w:tcPr>
          <w:p w:rsidR="009B2A14" w:rsidRPr="004041DD" w:rsidRDefault="009B2A14" w:rsidP="009B2A14">
            <w:pPr>
              <w:spacing w:after="0"/>
              <w:jc w:val="center"/>
              <w:rPr>
                <w:b/>
                <w:sz w:val="18"/>
                <w:szCs w:val="18"/>
              </w:rPr>
            </w:pPr>
            <w:r w:rsidRPr="004041DD">
              <w:rPr>
                <w:b/>
                <w:sz w:val="18"/>
                <w:szCs w:val="18"/>
              </w:rPr>
              <w:t>Up/Down</w:t>
            </w:r>
          </w:p>
        </w:tc>
        <w:tc>
          <w:tcPr>
            <w:tcW w:w="0" w:type="auto"/>
            <w:vAlign w:val="center"/>
          </w:tcPr>
          <w:p w:rsidR="009B2A14" w:rsidRPr="004041DD" w:rsidRDefault="009B2A14" w:rsidP="009B2A14">
            <w:pPr>
              <w:spacing w:after="0"/>
              <w:jc w:val="center"/>
              <w:rPr>
                <w:b/>
                <w:sz w:val="18"/>
                <w:szCs w:val="18"/>
              </w:rPr>
            </w:pPr>
            <w:r w:rsidRPr="004041DD">
              <w:rPr>
                <w:b/>
                <w:sz w:val="18"/>
                <w:szCs w:val="18"/>
              </w:rPr>
              <w:t>Sig.</w:t>
            </w:r>
          </w:p>
        </w:tc>
        <w:tc>
          <w:tcPr>
            <w:tcW w:w="0" w:type="auto"/>
            <w:vAlign w:val="center"/>
          </w:tcPr>
          <w:p w:rsidR="009B2A14" w:rsidRPr="004041DD" w:rsidRDefault="009B2A14" w:rsidP="009B2A14">
            <w:pPr>
              <w:spacing w:after="0"/>
              <w:jc w:val="center"/>
              <w:rPr>
                <w:b/>
                <w:sz w:val="18"/>
                <w:szCs w:val="18"/>
              </w:rPr>
            </w:pPr>
            <w:r w:rsidRPr="004041DD">
              <w:rPr>
                <w:b/>
                <w:sz w:val="18"/>
                <w:szCs w:val="18"/>
              </w:rPr>
              <w:t>Ref.</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210</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Placenta (villi)</w:t>
            </w:r>
          </w:p>
          <w:p w:rsidR="009B2A14" w:rsidRPr="004041DD" w:rsidRDefault="009B2A14" w:rsidP="009B2A14">
            <w:pPr>
              <w:spacing w:after="0"/>
              <w:jc w:val="center"/>
              <w:rPr>
                <w:rFonts w:eastAsia="Times New Roman"/>
                <w:sz w:val="18"/>
                <w:szCs w:val="18"/>
              </w:rPr>
            </w:pPr>
            <w:r w:rsidRPr="004041DD">
              <w:rPr>
                <w:rFonts w:eastAsia="Times New Roman"/>
                <w:sz w:val="18"/>
                <w:szCs w:val="18"/>
              </w:rPr>
              <w:t>MPB (plasma)</w:t>
            </w:r>
          </w:p>
          <w:p w:rsidR="009B2A14" w:rsidRPr="004041DD" w:rsidRDefault="009B2A14" w:rsidP="009B2A14">
            <w:pPr>
              <w:spacing w:after="0"/>
              <w:jc w:val="center"/>
              <w:rPr>
                <w:rFonts w:eastAsia="Times New Roman"/>
                <w:sz w:val="18"/>
                <w:szCs w:val="18"/>
              </w:rPr>
            </w:pPr>
            <w:r w:rsidRPr="004041DD">
              <w:rPr>
                <w:rFonts w:eastAsia="Times New Roman"/>
                <w:sz w:val="18"/>
                <w:szCs w:val="18"/>
              </w:rPr>
              <w:t>MPB</w:t>
            </w:r>
          </w:p>
          <w:p w:rsidR="003327C2" w:rsidRPr="004041DD" w:rsidRDefault="009B2A14" w:rsidP="003327C2">
            <w:pPr>
              <w:spacing w:after="0"/>
              <w:jc w:val="center"/>
              <w:rPr>
                <w:rFonts w:eastAsia="Times New Roman"/>
                <w:sz w:val="18"/>
                <w:szCs w:val="18"/>
              </w:rPr>
            </w:pPr>
            <w:r w:rsidRPr="004041DD">
              <w:rPr>
                <w:rFonts w:eastAsia="Times New Roman"/>
                <w:sz w:val="18"/>
                <w:szCs w:val="18"/>
              </w:rPr>
              <w:t>Placenta (villi)</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p w:rsidR="009B2A14" w:rsidRPr="004041DD" w:rsidRDefault="009B2A14" w:rsidP="009B2A14">
            <w:pPr>
              <w:spacing w:after="0"/>
              <w:jc w:val="center"/>
              <w:rPr>
                <w:sz w:val="18"/>
                <w:szCs w:val="18"/>
              </w:rPr>
            </w:pPr>
            <w:r w:rsidRPr="004041DD">
              <w:rPr>
                <w:sz w:val="18"/>
                <w:szCs w:val="18"/>
              </w:rPr>
              <w:t>Up in mPE</w:t>
            </w:r>
          </w:p>
          <w:p w:rsidR="009B2A14" w:rsidRPr="004041DD" w:rsidRDefault="009B2A14" w:rsidP="009B2A14">
            <w:pPr>
              <w:spacing w:after="0"/>
              <w:jc w:val="center"/>
              <w:rPr>
                <w:sz w:val="18"/>
                <w:szCs w:val="18"/>
              </w:rPr>
            </w:pPr>
            <w:r w:rsidRPr="004041DD">
              <w:rPr>
                <w:sz w:val="18"/>
                <w:szCs w:val="18"/>
              </w:rPr>
              <w:t>NR</w:t>
            </w:r>
          </w:p>
          <w:p w:rsidR="003327C2" w:rsidRPr="004041DD" w:rsidRDefault="009B2A14" w:rsidP="00A74031">
            <w:pPr>
              <w:spacing w:after="0"/>
              <w:jc w:val="center"/>
              <w:rPr>
                <w:sz w:val="18"/>
                <w:szCs w:val="18"/>
              </w:rPr>
            </w:pPr>
            <w:r w:rsidRPr="004041DD">
              <w:rPr>
                <w:sz w:val="18"/>
                <w:szCs w:val="18"/>
              </w:rPr>
              <w:t>Up in mPE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150689"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3</w:t>
            </w:r>
          </w:p>
          <w:p w:rsidR="009B2A14" w:rsidRPr="004041DD" w:rsidRDefault="009B2A14" w:rsidP="009B2A14">
            <w:pPr>
              <w:spacing w:after="0"/>
              <w:jc w:val="center"/>
              <w:rPr>
                <w:sz w:val="18"/>
                <w:szCs w:val="18"/>
              </w:rPr>
            </w:pPr>
            <w:r w:rsidRPr="004041DD">
              <w:rPr>
                <w:sz w:val="18"/>
                <w:szCs w:val="18"/>
              </w:rPr>
              <w:t>21</w:t>
            </w:r>
          </w:p>
          <w:p w:rsidR="009B2A14" w:rsidRPr="004041DD" w:rsidRDefault="009B2A14" w:rsidP="009B2A14">
            <w:pPr>
              <w:spacing w:after="0"/>
              <w:jc w:val="center"/>
              <w:rPr>
                <w:sz w:val="18"/>
                <w:szCs w:val="18"/>
              </w:rPr>
            </w:pPr>
            <w:r w:rsidRPr="004041DD">
              <w:rPr>
                <w:sz w:val="18"/>
                <w:szCs w:val="18"/>
              </w:rPr>
              <w:t>44</w:t>
            </w:r>
          </w:p>
          <w:p w:rsidR="009B2A14" w:rsidRPr="004041DD" w:rsidRDefault="009B2A14" w:rsidP="009B2A14">
            <w:pPr>
              <w:spacing w:after="0"/>
              <w:jc w:val="center"/>
              <w:rPr>
                <w:sz w:val="18"/>
                <w:szCs w:val="18"/>
              </w:rPr>
            </w:pPr>
            <w:r w:rsidRPr="004041DD">
              <w:rPr>
                <w:sz w:val="18"/>
                <w:szCs w:val="18"/>
              </w:rPr>
              <w:t>82</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210-3p</w:t>
            </w:r>
          </w:p>
        </w:tc>
        <w:tc>
          <w:tcPr>
            <w:tcW w:w="0" w:type="auto"/>
            <w:vAlign w:val="center"/>
          </w:tcPr>
          <w:p w:rsidR="009B2A14" w:rsidRPr="004041DD" w:rsidRDefault="009B2A14" w:rsidP="00A74031">
            <w:pPr>
              <w:spacing w:after="0"/>
              <w:jc w:val="center"/>
              <w:rPr>
                <w:rFonts w:eastAsia="Times New Roman"/>
                <w:color w:val="000000"/>
                <w:sz w:val="18"/>
                <w:szCs w:val="18"/>
              </w:rPr>
            </w:pPr>
            <w:r w:rsidRPr="004041DD">
              <w:rPr>
                <w:rFonts w:eastAsia="Times New Roman"/>
                <w:color w:val="000000"/>
                <w:sz w:val="18"/>
                <w:szCs w:val="18"/>
              </w:rPr>
              <w:t>MPB (plasma)</w:t>
            </w:r>
          </w:p>
          <w:p w:rsidR="009B2A14" w:rsidRDefault="009B2A14" w:rsidP="00A74031">
            <w:pPr>
              <w:spacing w:after="0"/>
              <w:jc w:val="center"/>
              <w:rPr>
                <w:rFonts w:eastAsia="Times New Roman"/>
                <w:color w:val="000000"/>
                <w:sz w:val="18"/>
                <w:szCs w:val="18"/>
              </w:rPr>
            </w:pPr>
            <w:r w:rsidRPr="004041DD">
              <w:rPr>
                <w:rFonts w:eastAsia="Times New Roman"/>
                <w:color w:val="000000"/>
                <w:sz w:val="18"/>
                <w:szCs w:val="18"/>
              </w:rPr>
              <w:t>MPB (plasma)</w:t>
            </w:r>
          </w:p>
          <w:p w:rsidR="003327C2" w:rsidRDefault="003327C2" w:rsidP="00A74031">
            <w:pPr>
              <w:spacing w:after="0"/>
              <w:jc w:val="center"/>
              <w:rPr>
                <w:rFonts w:eastAsia="Times New Roman"/>
                <w:color w:val="000000"/>
                <w:sz w:val="18"/>
                <w:szCs w:val="18"/>
              </w:rPr>
            </w:pPr>
            <w:r>
              <w:rPr>
                <w:rFonts w:eastAsia="Times New Roman"/>
                <w:color w:val="000000"/>
                <w:sz w:val="18"/>
                <w:szCs w:val="18"/>
              </w:rPr>
              <w:t>MPB (plasma)</w:t>
            </w:r>
          </w:p>
          <w:p w:rsidR="00A74031" w:rsidRDefault="00A74031" w:rsidP="00A74031">
            <w:pPr>
              <w:spacing w:after="0"/>
              <w:jc w:val="center"/>
              <w:rPr>
                <w:rFonts w:eastAsia="Times New Roman"/>
                <w:color w:val="000000"/>
                <w:sz w:val="18"/>
                <w:szCs w:val="18"/>
              </w:rPr>
            </w:pPr>
            <w:r>
              <w:rPr>
                <w:rFonts w:eastAsia="Times New Roman"/>
                <w:color w:val="000000"/>
                <w:sz w:val="18"/>
                <w:szCs w:val="18"/>
              </w:rPr>
              <w:t>MPB (plasma)</w:t>
            </w:r>
          </w:p>
          <w:p w:rsidR="008D5D55" w:rsidRPr="004041DD" w:rsidRDefault="008D5D55" w:rsidP="00A74031">
            <w:pPr>
              <w:spacing w:after="0"/>
              <w:jc w:val="center"/>
              <w:rPr>
                <w:rFonts w:eastAsia="Times New Roman"/>
                <w:color w:val="000000"/>
                <w:sz w:val="18"/>
                <w:szCs w:val="18"/>
              </w:rPr>
            </w:pPr>
            <w:r>
              <w:rPr>
                <w:rFonts w:eastAsia="Times New Roman"/>
                <w:color w:val="000000"/>
                <w:sz w:val="18"/>
                <w:szCs w:val="18"/>
              </w:rPr>
              <w:t>Placenta</w:t>
            </w:r>
          </w:p>
        </w:tc>
        <w:tc>
          <w:tcPr>
            <w:tcW w:w="0" w:type="auto"/>
            <w:vAlign w:val="center"/>
          </w:tcPr>
          <w:p w:rsidR="009B2A14" w:rsidRDefault="009B2A14" w:rsidP="00A74031">
            <w:pPr>
              <w:spacing w:after="0"/>
              <w:jc w:val="center"/>
              <w:rPr>
                <w:rFonts w:eastAsia="Times New Roman"/>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p w:rsidR="003327C2" w:rsidRDefault="003327C2" w:rsidP="00A74031">
            <w:pPr>
              <w:spacing w:after="0"/>
              <w:jc w:val="center"/>
              <w:rPr>
                <w:rFonts w:eastAsia="Times New Roman"/>
                <w:sz w:val="18"/>
                <w:szCs w:val="18"/>
              </w:rPr>
            </w:pPr>
            <w:r>
              <w:rPr>
                <w:rFonts w:eastAsia="Times New Roman"/>
                <w:sz w:val="18"/>
                <w:szCs w:val="18"/>
              </w:rPr>
              <w:t>No difference</w:t>
            </w:r>
            <w:r w:rsidR="00A74031">
              <w:rPr>
                <w:rFonts w:eastAsia="Times New Roman"/>
                <w:sz w:val="18"/>
                <w:szCs w:val="18"/>
              </w:rPr>
              <w:t xml:space="preserve"> in mPE</w:t>
            </w:r>
          </w:p>
          <w:p w:rsidR="00A74031" w:rsidRDefault="00A74031" w:rsidP="00A74031">
            <w:pPr>
              <w:spacing w:after="0"/>
              <w:jc w:val="center"/>
              <w:rPr>
                <w:rFonts w:eastAsia="Times New Roman"/>
                <w:sz w:val="18"/>
                <w:szCs w:val="18"/>
              </w:rPr>
            </w:pPr>
            <w:r>
              <w:rPr>
                <w:rFonts w:eastAsia="Times New Roman"/>
                <w:sz w:val="18"/>
                <w:szCs w:val="18"/>
              </w:rPr>
              <w:t>No difference in LOPE</w:t>
            </w:r>
          </w:p>
          <w:p w:rsidR="008D5D55" w:rsidRPr="004041DD" w:rsidRDefault="008D5D55" w:rsidP="00A74031">
            <w:pPr>
              <w:spacing w:after="0"/>
              <w:jc w:val="center"/>
              <w:rPr>
                <w:rFonts w:eastAsia="Times New Roman"/>
                <w:color w:val="000000"/>
                <w:sz w:val="18"/>
                <w:szCs w:val="18"/>
              </w:rPr>
            </w:pPr>
            <w:r>
              <w:rPr>
                <w:rFonts w:eastAsia="Times New Roman"/>
                <w:sz w:val="18"/>
                <w:szCs w:val="18"/>
              </w:rPr>
              <w:t>Up in term-PE</w:t>
            </w:r>
          </w:p>
        </w:tc>
        <w:tc>
          <w:tcPr>
            <w:tcW w:w="0" w:type="auto"/>
            <w:vAlign w:val="center"/>
          </w:tcPr>
          <w:p w:rsidR="009B2A14" w:rsidRPr="004041DD" w:rsidRDefault="009B2A14" w:rsidP="00A74031">
            <w:pPr>
              <w:spacing w:after="0"/>
              <w:jc w:val="center"/>
              <w:rPr>
                <w:rFonts w:eastAsia="Times New Roman"/>
                <w:color w:val="000000"/>
                <w:sz w:val="18"/>
                <w:szCs w:val="18"/>
              </w:rPr>
            </w:pPr>
            <w:r w:rsidRPr="004041DD">
              <w:rPr>
                <w:rFonts w:eastAsia="Times New Roman"/>
                <w:color w:val="000000"/>
                <w:sz w:val="18"/>
                <w:szCs w:val="18"/>
              </w:rPr>
              <w:t>No</w:t>
            </w:r>
          </w:p>
          <w:p w:rsidR="009B2A14" w:rsidRDefault="009B2A14" w:rsidP="00A74031">
            <w:pPr>
              <w:spacing w:after="0"/>
              <w:jc w:val="center"/>
              <w:rPr>
                <w:rFonts w:eastAsia="Times New Roman"/>
                <w:color w:val="000000"/>
                <w:sz w:val="18"/>
                <w:szCs w:val="18"/>
              </w:rPr>
            </w:pPr>
            <w:r w:rsidRPr="004041DD">
              <w:rPr>
                <w:rFonts w:eastAsia="Times New Roman"/>
                <w:color w:val="000000"/>
                <w:sz w:val="18"/>
                <w:szCs w:val="18"/>
              </w:rPr>
              <w:t>No</w:t>
            </w:r>
          </w:p>
          <w:p w:rsidR="003327C2" w:rsidRDefault="003327C2" w:rsidP="00A74031">
            <w:pPr>
              <w:spacing w:after="0"/>
              <w:jc w:val="center"/>
              <w:rPr>
                <w:rFonts w:eastAsia="Times New Roman"/>
                <w:color w:val="000000"/>
                <w:sz w:val="18"/>
                <w:szCs w:val="18"/>
              </w:rPr>
            </w:pPr>
            <w:r>
              <w:rPr>
                <w:rFonts w:eastAsia="Times New Roman"/>
                <w:color w:val="000000"/>
                <w:sz w:val="18"/>
                <w:szCs w:val="18"/>
              </w:rPr>
              <w:t>No</w:t>
            </w:r>
          </w:p>
          <w:p w:rsidR="00BB420F" w:rsidRDefault="00A74031">
            <w:pPr>
              <w:spacing w:after="0"/>
              <w:jc w:val="center"/>
              <w:rPr>
                <w:rFonts w:eastAsia="Times New Roman"/>
                <w:color w:val="000000"/>
                <w:sz w:val="18"/>
                <w:szCs w:val="18"/>
              </w:rPr>
            </w:pPr>
            <w:r>
              <w:rPr>
                <w:rFonts w:eastAsia="Times New Roman"/>
                <w:color w:val="000000"/>
                <w:sz w:val="18"/>
                <w:szCs w:val="18"/>
              </w:rPr>
              <w:t>No</w:t>
            </w:r>
          </w:p>
          <w:p w:rsidR="008D5D55" w:rsidRDefault="008D5D55">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BB420F" w:rsidRDefault="009B2A14">
            <w:pPr>
              <w:spacing w:after="0"/>
              <w:jc w:val="center"/>
              <w:rPr>
                <w:sz w:val="18"/>
                <w:szCs w:val="18"/>
              </w:rPr>
            </w:pPr>
            <w:r w:rsidRPr="004041DD">
              <w:rPr>
                <w:sz w:val="18"/>
                <w:szCs w:val="18"/>
              </w:rPr>
              <w:t>60</w:t>
            </w:r>
          </w:p>
          <w:p w:rsidR="00BB420F" w:rsidRDefault="009B2A14">
            <w:pPr>
              <w:spacing w:after="0"/>
              <w:jc w:val="center"/>
              <w:rPr>
                <w:sz w:val="18"/>
                <w:szCs w:val="18"/>
              </w:rPr>
            </w:pPr>
            <w:r w:rsidRPr="004041DD">
              <w:rPr>
                <w:sz w:val="18"/>
                <w:szCs w:val="18"/>
              </w:rPr>
              <w:t>60</w:t>
            </w:r>
          </w:p>
          <w:p w:rsidR="00BB420F" w:rsidRDefault="003327C2">
            <w:pPr>
              <w:spacing w:after="0"/>
              <w:jc w:val="center"/>
              <w:rPr>
                <w:sz w:val="18"/>
                <w:szCs w:val="18"/>
              </w:rPr>
            </w:pPr>
            <w:r>
              <w:rPr>
                <w:sz w:val="18"/>
                <w:szCs w:val="18"/>
              </w:rPr>
              <w:t>Jelena 2020</w:t>
            </w:r>
          </w:p>
          <w:p w:rsidR="00BB420F" w:rsidRDefault="00A74031">
            <w:pPr>
              <w:spacing w:after="0"/>
              <w:jc w:val="center"/>
              <w:rPr>
                <w:sz w:val="18"/>
                <w:szCs w:val="18"/>
              </w:rPr>
            </w:pPr>
            <w:r>
              <w:rPr>
                <w:sz w:val="18"/>
                <w:szCs w:val="18"/>
              </w:rPr>
              <w:t>Jelena 2020</w:t>
            </w:r>
          </w:p>
          <w:p w:rsidR="008D5D55" w:rsidRDefault="008D5D55">
            <w:pPr>
              <w:spacing w:after="0"/>
              <w:jc w:val="center"/>
              <w:rPr>
                <w:sz w:val="18"/>
                <w:szCs w:val="18"/>
              </w:rPr>
            </w:pPr>
            <w:r>
              <w:rPr>
                <w:sz w:val="18"/>
                <w:szCs w:val="18"/>
              </w:rPr>
              <w:t>Hayder 2021</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152</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Placenta (villi)</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3</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411</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Placenta (villi)</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3</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377</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Placenta (villi)</w:t>
            </w:r>
          </w:p>
          <w:p w:rsidR="009B2A14" w:rsidRPr="004041DD" w:rsidRDefault="009B2A14" w:rsidP="009B2A14">
            <w:pPr>
              <w:spacing w:after="0"/>
              <w:jc w:val="center"/>
              <w:rPr>
                <w:rFonts w:eastAsia="Times New Roman"/>
                <w:sz w:val="18"/>
                <w:szCs w:val="18"/>
              </w:rPr>
            </w:pPr>
            <w:r w:rsidRPr="004041DD">
              <w:rPr>
                <w:rFonts w:eastAsia="Times New Roman"/>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p w:rsidR="009B2A14" w:rsidRPr="004041DD" w:rsidRDefault="009B2A14" w:rsidP="009B2A14">
            <w:pPr>
              <w:spacing w:after="0"/>
              <w:jc w:val="center"/>
              <w:rPr>
                <w:sz w:val="18"/>
                <w:szCs w:val="18"/>
              </w:rPr>
            </w:pPr>
            <w:r w:rsidRPr="004041DD">
              <w:rPr>
                <w:sz w:val="18"/>
                <w:szCs w:val="18"/>
              </w:rPr>
              <w:t>No difference in term 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sz w:val="18"/>
                <w:szCs w:val="18"/>
              </w:rPr>
            </w:pPr>
            <w:r w:rsidRPr="004041DD">
              <w:rPr>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3</w:t>
            </w:r>
          </w:p>
          <w:p w:rsidR="009B2A14" w:rsidRPr="004041DD" w:rsidRDefault="009B2A14" w:rsidP="009B2A14">
            <w:pPr>
              <w:spacing w:after="0"/>
              <w:jc w:val="center"/>
              <w:rPr>
                <w:sz w:val="18"/>
                <w:szCs w:val="18"/>
              </w:rPr>
            </w:pPr>
            <w:r w:rsidRPr="004041DD">
              <w:rPr>
                <w:sz w:val="18"/>
                <w:szCs w:val="18"/>
              </w:rPr>
              <w:t>186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519b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Placenta (villi)</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18a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Placenta (villi)</w:t>
            </w:r>
          </w:p>
          <w:p w:rsidR="009B2A14" w:rsidRPr="004041DD" w:rsidRDefault="009B2A14" w:rsidP="009B2A14">
            <w:pPr>
              <w:spacing w:after="0"/>
              <w:jc w:val="center"/>
              <w:rPr>
                <w:rFonts w:eastAsia="Times New Roman"/>
                <w:sz w:val="18"/>
                <w:szCs w:val="18"/>
              </w:rPr>
            </w:pPr>
            <w:r w:rsidRPr="004041DD">
              <w:rPr>
                <w:rFonts w:eastAsia="Times New Roman"/>
                <w:sz w:val="18"/>
                <w:szCs w:val="18"/>
              </w:rPr>
              <w:t>MPB (plasma)</w:t>
            </w:r>
          </w:p>
          <w:p w:rsidR="009B2A14" w:rsidRDefault="009B2A14" w:rsidP="009B2A14">
            <w:pPr>
              <w:spacing w:after="0"/>
              <w:jc w:val="center"/>
              <w:rPr>
                <w:rFonts w:eastAsia="Times New Roman"/>
                <w:sz w:val="18"/>
                <w:szCs w:val="18"/>
              </w:rPr>
            </w:pPr>
            <w:r w:rsidRPr="004041DD">
              <w:rPr>
                <w:rFonts w:eastAsia="Times New Roman"/>
                <w:sz w:val="18"/>
                <w:szCs w:val="18"/>
              </w:rPr>
              <w:t>Placenta</w:t>
            </w:r>
          </w:p>
          <w:p w:rsidR="00E025BD" w:rsidRDefault="00E025BD" w:rsidP="009B2A14">
            <w:pPr>
              <w:spacing w:after="0"/>
              <w:jc w:val="center"/>
              <w:rPr>
                <w:rFonts w:eastAsia="Times New Roman"/>
                <w:sz w:val="18"/>
                <w:szCs w:val="18"/>
              </w:rPr>
            </w:pPr>
            <w:r>
              <w:rPr>
                <w:rFonts w:eastAsia="Times New Roman"/>
                <w:sz w:val="18"/>
                <w:szCs w:val="18"/>
              </w:rPr>
              <w:t>MPB (whole blood)</w:t>
            </w:r>
          </w:p>
          <w:p w:rsidR="00701357" w:rsidRPr="004041DD" w:rsidRDefault="00AF31E1" w:rsidP="009B2A14">
            <w:pPr>
              <w:spacing w:after="0"/>
              <w:jc w:val="center"/>
              <w:rPr>
                <w:rFonts w:eastAsia="Times New Roman"/>
                <w:sz w:val="18"/>
                <w:szCs w:val="18"/>
              </w:rPr>
            </w:pPr>
            <w:r>
              <w:rPr>
                <w:rFonts w:eastAsia="Times New Roman"/>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p w:rsidR="009B2A14" w:rsidRPr="004041DD" w:rsidRDefault="009B2A14" w:rsidP="009B2A14">
            <w:pPr>
              <w:spacing w:after="0"/>
              <w:jc w:val="center"/>
              <w:rPr>
                <w:sz w:val="18"/>
                <w:szCs w:val="18"/>
              </w:rPr>
            </w:pPr>
            <w:r w:rsidRPr="004041DD">
              <w:rPr>
                <w:sz w:val="18"/>
                <w:szCs w:val="18"/>
              </w:rPr>
              <w:t>Up in mPE</w:t>
            </w:r>
          </w:p>
          <w:p w:rsidR="009B2A14" w:rsidRDefault="009B2A14" w:rsidP="009B2A14">
            <w:pPr>
              <w:spacing w:after="0"/>
              <w:jc w:val="center"/>
              <w:rPr>
                <w:sz w:val="18"/>
                <w:szCs w:val="18"/>
              </w:rPr>
            </w:pPr>
            <w:r w:rsidRPr="004041DD">
              <w:rPr>
                <w:sz w:val="18"/>
                <w:szCs w:val="18"/>
              </w:rPr>
              <w:t>Up in mPE</w:t>
            </w:r>
          </w:p>
          <w:p w:rsidR="00E025BD" w:rsidRDefault="00E025BD" w:rsidP="009B2A14">
            <w:pPr>
              <w:spacing w:after="0"/>
              <w:jc w:val="center"/>
              <w:rPr>
                <w:sz w:val="18"/>
                <w:szCs w:val="18"/>
              </w:rPr>
            </w:pPr>
            <w:r>
              <w:rPr>
                <w:sz w:val="18"/>
                <w:szCs w:val="18"/>
              </w:rPr>
              <w:t>Down in PE 36GW</w:t>
            </w:r>
          </w:p>
          <w:p w:rsidR="00701357" w:rsidRPr="004041DD" w:rsidRDefault="00701357" w:rsidP="009B2A14">
            <w:pPr>
              <w:spacing w:after="0"/>
              <w:jc w:val="center"/>
              <w:rPr>
                <w:sz w:val="18"/>
                <w:szCs w:val="18"/>
              </w:rPr>
            </w:pPr>
            <w:r>
              <w:rPr>
                <w:sz w:val="18"/>
                <w:szCs w:val="18"/>
              </w:rPr>
              <w:t>No difference term 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sz w:val="18"/>
                <w:szCs w:val="18"/>
              </w:rPr>
            </w:pPr>
            <w:r w:rsidRPr="004041DD">
              <w:rPr>
                <w:sz w:val="18"/>
                <w:szCs w:val="18"/>
              </w:rPr>
              <w:t>NR</w:t>
            </w:r>
          </w:p>
          <w:p w:rsidR="009B2A14" w:rsidRDefault="009B2A14" w:rsidP="009B2A14">
            <w:pPr>
              <w:spacing w:after="0"/>
              <w:jc w:val="center"/>
              <w:rPr>
                <w:sz w:val="18"/>
                <w:szCs w:val="18"/>
              </w:rPr>
            </w:pPr>
            <w:r w:rsidRPr="004041DD">
              <w:rPr>
                <w:sz w:val="18"/>
                <w:szCs w:val="18"/>
              </w:rPr>
              <w:t>NR</w:t>
            </w:r>
          </w:p>
          <w:p w:rsidR="00E025BD" w:rsidRDefault="00E025BD" w:rsidP="009B2A14">
            <w:pPr>
              <w:spacing w:after="0"/>
              <w:jc w:val="center"/>
              <w:rPr>
                <w:sz w:val="18"/>
                <w:szCs w:val="18"/>
              </w:rPr>
            </w:pPr>
            <w:r>
              <w:rPr>
                <w:sz w:val="18"/>
                <w:szCs w:val="18"/>
              </w:rPr>
              <w:t>Yes</w:t>
            </w:r>
          </w:p>
          <w:p w:rsidR="00701357" w:rsidRPr="004041DD" w:rsidRDefault="00701357" w:rsidP="009B2A14">
            <w:pPr>
              <w:spacing w:after="0"/>
              <w:jc w:val="center"/>
              <w:rPr>
                <w:sz w:val="18"/>
                <w:szCs w:val="18"/>
              </w:rPr>
            </w:pPr>
            <w:r>
              <w:rPr>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3</w:t>
            </w:r>
          </w:p>
          <w:p w:rsidR="009B2A14" w:rsidRPr="004041DD" w:rsidRDefault="009B2A14" w:rsidP="009B2A14">
            <w:pPr>
              <w:spacing w:after="0"/>
              <w:jc w:val="center"/>
              <w:rPr>
                <w:sz w:val="18"/>
                <w:szCs w:val="18"/>
              </w:rPr>
            </w:pPr>
            <w:r w:rsidRPr="004041DD">
              <w:rPr>
                <w:sz w:val="18"/>
                <w:szCs w:val="18"/>
              </w:rPr>
              <w:t>64</w:t>
            </w:r>
          </w:p>
          <w:p w:rsidR="009B2A14" w:rsidRDefault="009B2A14" w:rsidP="009B2A14">
            <w:pPr>
              <w:spacing w:after="0"/>
              <w:jc w:val="center"/>
              <w:rPr>
                <w:sz w:val="18"/>
                <w:szCs w:val="18"/>
              </w:rPr>
            </w:pPr>
            <w:r w:rsidRPr="004041DD">
              <w:rPr>
                <w:sz w:val="18"/>
                <w:szCs w:val="18"/>
              </w:rPr>
              <w:t>64</w:t>
            </w:r>
          </w:p>
          <w:p w:rsidR="00E025BD" w:rsidRDefault="00E025BD" w:rsidP="009B2A14">
            <w:pPr>
              <w:spacing w:after="0"/>
              <w:jc w:val="center"/>
              <w:rPr>
                <w:sz w:val="18"/>
                <w:szCs w:val="18"/>
              </w:rPr>
            </w:pPr>
            <w:r>
              <w:rPr>
                <w:sz w:val="18"/>
                <w:szCs w:val="18"/>
              </w:rPr>
              <w:t>Whigham 2020</w:t>
            </w:r>
          </w:p>
          <w:p w:rsidR="00701357" w:rsidRPr="004041DD" w:rsidRDefault="00701357" w:rsidP="009B2A14">
            <w:pPr>
              <w:spacing w:after="0"/>
              <w:jc w:val="center"/>
              <w:rPr>
                <w:sz w:val="18"/>
                <w:szCs w:val="18"/>
              </w:rPr>
            </w:pPr>
            <w:r>
              <w:rPr>
                <w:sz w:val="18"/>
                <w:szCs w:val="18"/>
              </w:rPr>
              <w:t>Whigham 2020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18b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Up in mPE</w:t>
            </w:r>
          </w:p>
          <w:p w:rsidR="009B2A14" w:rsidRPr="004041DD" w:rsidRDefault="009B2A14" w:rsidP="009B2A14">
            <w:pPr>
              <w:spacing w:after="0"/>
              <w:jc w:val="center"/>
              <w:rPr>
                <w:rFonts w:eastAsia="Times New Roman"/>
                <w:sz w:val="18"/>
                <w:szCs w:val="18"/>
              </w:rPr>
            </w:pPr>
            <w:r w:rsidRPr="004041DD">
              <w:rPr>
                <w:sz w:val="18"/>
                <w:szCs w:val="18"/>
              </w:rPr>
              <w:t>Up in mPE</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rFonts w:eastAsia="Times New Roman"/>
                <w:color w:val="000000"/>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18a-5p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363</w:t>
            </w:r>
          </w:p>
        </w:tc>
        <w:tc>
          <w:tcPr>
            <w:tcW w:w="0" w:type="auto"/>
            <w:vAlign w:val="center"/>
          </w:tcPr>
          <w:p w:rsidR="009B2A14" w:rsidRDefault="009B2A14" w:rsidP="009B2A14">
            <w:pPr>
              <w:spacing w:after="0"/>
              <w:jc w:val="center"/>
              <w:rPr>
                <w:rFonts w:eastAsia="Times New Roman"/>
                <w:sz w:val="18"/>
                <w:szCs w:val="18"/>
              </w:rPr>
            </w:pPr>
            <w:r w:rsidRPr="004041DD">
              <w:rPr>
                <w:rFonts w:eastAsia="Times New Roman"/>
                <w:sz w:val="18"/>
                <w:szCs w:val="18"/>
              </w:rPr>
              <w:t>Placenta (villi)</w:t>
            </w:r>
          </w:p>
          <w:p w:rsidR="00E025BD" w:rsidRDefault="00E025BD" w:rsidP="009B2A14">
            <w:pPr>
              <w:spacing w:after="0"/>
              <w:jc w:val="center"/>
              <w:rPr>
                <w:rFonts w:eastAsia="Times New Roman"/>
                <w:sz w:val="18"/>
                <w:szCs w:val="18"/>
              </w:rPr>
            </w:pPr>
            <w:r>
              <w:rPr>
                <w:rFonts w:eastAsia="Times New Roman"/>
                <w:sz w:val="18"/>
                <w:szCs w:val="18"/>
              </w:rPr>
              <w:t>MPB (whole blood)</w:t>
            </w:r>
          </w:p>
          <w:p w:rsidR="00445A6E" w:rsidRPr="004041DD" w:rsidRDefault="00445A6E" w:rsidP="009B2A14">
            <w:pPr>
              <w:spacing w:after="0"/>
              <w:jc w:val="center"/>
              <w:rPr>
                <w:rFonts w:eastAsia="Times New Roman"/>
                <w:sz w:val="18"/>
                <w:szCs w:val="18"/>
              </w:rPr>
            </w:pPr>
            <w:r>
              <w:rPr>
                <w:rFonts w:eastAsia="Times New Roman"/>
                <w:sz w:val="18"/>
                <w:szCs w:val="18"/>
              </w:rPr>
              <w:t>Placenta</w:t>
            </w:r>
          </w:p>
        </w:tc>
        <w:tc>
          <w:tcPr>
            <w:tcW w:w="0" w:type="auto"/>
            <w:vAlign w:val="center"/>
          </w:tcPr>
          <w:p w:rsidR="009B2A14" w:rsidRDefault="009B2A14" w:rsidP="009B2A14">
            <w:pPr>
              <w:spacing w:after="0"/>
              <w:jc w:val="center"/>
              <w:rPr>
                <w:sz w:val="18"/>
                <w:szCs w:val="18"/>
              </w:rPr>
            </w:pPr>
            <w:r w:rsidRPr="004041DD">
              <w:rPr>
                <w:sz w:val="18"/>
                <w:szCs w:val="18"/>
              </w:rPr>
              <w:t>Down in mPE</w:t>
            </w:r>
          </w:p>
          <w:p w:rsidR="00E025BD" w:rsidRDefault="00E025BD" w:rsidP="009B2A14">
            <w:pPr>
              <w:spacing w:after="0"/>
              <w:jc w:val="center"/>
              <w:rPr>
                <w:sz w:val="18"/>
                <w:szCs w:val="18"/>
              </w:rPr>
            </w:pPr>
            <w:r>
              <w:rPr>
                <w:sz w:val="18"/>
                <w:szCs w:val="18"/>
              </w:rPr>
              <w:t>Down in PE 36GW</w:t>
            </w:r>
          </w:p>
          <w:p w:rsidR="00445A6E" w:rsidRPr="004041DD" w:rsidRDefault="00445A6E" w:rsidP="009B2A14">
            <w:pPr>
              <w:spacing w:after="0"/>
              <w:jc w:val="center"/>
              <w:rPr>
                <w:sz w:val="18"/>
                <w:szCs w:val="18"/>
              </w:rPr>
            </w:pPr>
            <w:r>
              <w:rPr>
                <w:sz w:val="18"/>
                <w:szCs w:val="18"/>
              </w:rPr>
              <w:t>Down in term PE</w:t>
            </w:r>
          </w:p>
        </w:tc>
        <w:tc>
          <w:tcPr>
            <w:tcW w:w="0" w:type="auto"/>
            <w:vAlign w:val="center"/>
          </w:tcPr>
          <w:p w:rsidR="009B2A14" w:rsidRDefault="009B2A14" w:rsidP="009B2A14">
            <w:pPr>
              <w:spacing w:after="0"/>
              <w:jc w:val="center"/>
              <w:rPr>
                <w:sz w:val="18"/>
                <w:szCs w:val="18"/>
              </w:rPr>
            </w:pPr>
            <w:r w:rsidRPr="004041DD">
              <w:rPr>
                <w:sz w:val="18"/>
                <w:szCs w:val="18"/>
              </w:rPr>
              <w:t>Yes</w:t>
            </w:r>
          </w:p>
          <w:p w:rsidR="00E025BD" w:rsidRDefault="00E025BD" w:rsidP="009B2A14">
            <w:pPr>
              <w:spacing w:after="0"/>
              <w:jc w:val="center"/>
              <w:rPr>
                <w:sz w:val="18"/>
                <w:szCs w:val="18"/>
              </w:rPr>
            </w:pPr>
            <w:r>
              <w:rPr>
                <w:sz w:val="18"/>
                <w:szCs w:val="18"/>
              </w:rPr>
              <w:t>Yes</w:t>
            </w:r>
          </w:p>
          <w:p w:rsidR="00445A6E" w:rsidRPr="004041DD" w:rsidRDefault="00445A6E" w:rsidP="009B2A14">
            <w:pPr>
              <w:spacing w:after="0"/>
              <w:jc w:val="center"/>
              <w:rPr>
                <w:sz w:val="18"/>
                <w:szCs w:val="18"/>
              </w:rPr>
            </w:pPr>
            <w:r>
              <w:rPr>
                <w:sz w:val="18"/>
                <w:szCs w:val="18"/>
              </w:rPr>
              <w:t>Yes</w:t>
            </w:r>
          </w:p>
        </w:tc>
        <w:tc>
          <w:tcPr>
            <w:tcW w:w="0" w:type="auto"/>
            <w:vAlign w:val="center"/>
          </w:tcPr>
          <w:p w:rsidR="009B2A14" w:rsidRDefault="009B2A14" w:rsidP="009B2A14">
            <w:pPr>
              <w:spacing w:after="0"/>
              <w:jc w:val="center"/>
              <w:rPr>
                <w:sz w:val="18"/>
                <w:szCs w:val="18"/>
              </w:rPr>
            </w:pPr>
            <w:r w:rsidRPr="004041DD">
              <w:rPr>
                <w:sz w:val="18"/>
                <w:szCs w:val="18"/>
              </w:rPr>
              <w:t>3</w:t>
            </w:r>
          </w:p>
          <w:p w:rsidR="00E025BD" w:rsidRDefault="00E025BD" w:rsidP="009B2A14">
            <w:pPr>
              <w:spacing w:after="0"/>
              <w:jc w:val="center"/>
              <w:rPr>
                <w:sz w:val="18"/>
                <w:szCs w:val="18"/>
              </w:rPr>
            </w:pPr>
            <w:r>
              <w:rPr>
                <w:sz w:val="18"/>
                <w:szCs w:val="18"/>
              </w:rPr>
              <w:t>Whigham 2020</w:t>
            </w:r>
          </w:p>
          <w:p w:rsidR="00445A6E" w:rsidRPr="004041DD" w:rsidRDefault="00445A6E" w:rsidP="009B2A14">
            <w:pPr>
              <w:spacing w:after="0"/>
              <w:jc w:val="center"/>
              <w:rPr>
                <w:sz w:val="18"/>
                <w:szCs w:val="18"/>
              </w:rPr>
            </w:pPr>
            <w:r>
              <w:rPr>
                <w:sz w:val="18"/>
                <w:szCs w:val="18"/>
              </w:rPr>
              <w:t>Whigham 2020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542-3p</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Placenta (villi)</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3</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24</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517a</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517-5p</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p w:rsidR="009B2A14" w:rsidRPr="004041DD" w:rsidRDefault="009B2A14" w:rsidP="009B2A14">
            <w:pPr>
              <w:spacing w:after="0"/>
              <w:jc w:val="center"/>
              <w:rPr>
                <w:sz w:val="18"/>
                <w:szCs w:val="18"/>
              </w:rPr>
            </w:pPr>
            <w:r w:rsidRPr="004041DD">
              <w:rPr>
                <w:sz w:val="18"/>
                <w:szCs w:val="18"/>
              </w:rPr>
              <w:t>Down in LOPE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53</w:t>
            </w:r>
          </w:p>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519a</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sz w:val="18"/>
                <w:szCs w:val="18"/>
              </w:rPr>
            </w:pPr>
            <w:r w:rsidRPr="004041DD">
              <w:rPr>
                <w:sz w:val="18"/>
                <w:szCs w:val="18"/>
              </w:rPr>
              <w:t>Down in LOPE</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trHeight w:val="838"/>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519d</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p w:rsidR="009B2A14" w:rsidRPr="004041DD" w:rsidRDefault="009B2A14" w:rsidP="009B2A14">
            <w:pPr>
              <w:spacing w:after="0"/>
              <w:jc w:val="center"/>
              <w:rPr>
                <w:sz w:val="18"/>
                <w:szCs w:val="18"/>
              </w:rPr>
            </w:pPr>
            <w:r w:rsidRPr="004041DD">
              <w:rPr>
                <w:sz w:val="18"/>
                <w:szCs w:val="18"/>
              </w:rPr>
              <w:t>Placenta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sz w:val="18"/>
                <w:szCs w:val="18"/>
              </w:rPr>
            </w:pPr>
            <w:r w:rsidRPr="004041DD">
              <w:rPr>
                <w:sz w:val="18"/>
                <w:szCs w:val="18"/>
              </w:rPr>
              <w:t>Down in LOPE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p w:rsidR="009B2A14" w:rsidRPr="004041DD" w:rsidRDefault="009B2A14" w:rsidP="009B2A14">
            <w:pPr>
              <w:spacing w:after="0"/>
              <w:jc w:val="center"/>
              <w:rPr>
                <w:sz w:val="18"/>
                <w:szCs w:val="18"/>
              </w:rPr>
            </w:pPr>
            <w:r w:rsidRPr="004041DD">
              <w:rPr>
                <w:sz w:val="18"/>
                <w:szCs w:val="18"/>
              </w:rPr>
              <w:t>53</w:t>
            </w:r>
          </w:p>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517c</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p w:rsidR="009B2A14" w:rsidRPr="004041DD" w:rsidRDefault="009B2A14" w:rsidP="009B2A14">
            <w:pPr>
              <w:tabs>
                <w:tab w:val="center" w:pos="1313"/>
                <w:tab w:val="right" w:pos="2627"/>
              </w:tabs>
              <w:spacing w:after="0"/>
              <w:jc w:val="center"/>
              <w:rPr>
                <w:sz w:val="18"/>
                <w:szCs w:val="18"/>
              </w:rPr>
            </w:pPr>
            <w:r w:rsidRPr="004041DD">
              <w:rPr>
                <w:sz w:val="18"/>
                <w:szCs w:val="18"/>
              </w:rPr>
              <w:t>Placenta</w:t>
            </w:r>
          </w:p>
          <w:p w:rsidR="009B2A14" w:rsidRPr="004041DD" w:rsidRDefault="009B2A14" w:rsidP="009B2A14">
            <w:pPr>
              <w:tabs>
                <w:tab w:val="center" w:pos="1313"/>
                <w:tab w:val="right" w:pos="2627"/>
              </w:tabs>
              <w:spacing w:after="0"/>
              <w:jc w:val="center"/>
              <w:rPr>
                <w:sz w:val="18"/>
                <w:szCs w:val="18"/>
              </w:rPr>
            </w:pPr>
            <w:r w:rsidRPr="004041DD">
              <w:rPr>
                <w:sz w:val="18"/>
                <w:szCs w:val="18"/>
              </w:rPr>
              <w:t>MPB (plasma)</w:t>
            </w:r>
          </w:p>
          <w:p w:rsidR="009B2A14" w:rsidRPr="004041DD" w:rsidRDefault="009B2A14" w:rsidP="009B2A14">
            <w:pPr>
              <w:tabs>
                <w:tab w:val="center" w:pos="1313"/>
                <w:tab w:val="right" w:pos="2627"/>
              </w:tabs>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sz w:val="18"/>
                <w:szCs w:val="18"/>
              </w:rPr>
            </w:pPr>
            <w:r w:rsidRPr="004041DD">
              <w:rPr>
                <w:sz w:val="18"/>
                <w:szCs w:val="18"/>
              </w:rPr>
              <w:t>No difference in term PE</w:t>
            </w:r>
          </w:p>
          <w:p w:rsidR="009B2A14" w:rsidRPr="004041DD" w:rsidRDefault="009B2A14" w:rsidP="009B2A14">
            <w:pPr>
              <w:spacing w:after="0"/>
              <w:jc w:val="center"/>
              <w:rPr>
                <w:sz w:val="18"/>
                <w:szCs w:val="18"/>
              </w:rPr>
            </w:pPr>
            <w:r w:rsidRPr="004041DD">
              <w:rPr>
                <w:sz w:val="18"/>
                <w:szCs w:val="18"/>
              </w:rPr>
              <w:t>Up in mPE</w:t>
            </w:r>
          </w:p>
          <w:p w:rsidR="009B2A14" w:rsidRPr="004041DD" w:rsidRDefault="009B2A14" w:rsidP="009B2A14">
            <w:pPr>
              <w:spacing w:after="0"/>
              <w:jc w:val="center"/>
              <w:rPr>
                <w:sz w:val="18"/>
                <w:szCs w:val="18"/>
              </w:rPr>
            </w:pPr>
            <w:r w:rsidRPr="004041DD">
              <w:rPr>
                <w:sz w:val="18"/>
                <w:szCs w:val="18"/>
              </w:rPr>
              <w:t>Up in mPE</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sz w:val="18"/>
                <w:szCs w:val="18"/>
              </w:rPr>
            </w:pPr>
            <w:r w:rsidRPr="004041DD">
              <w:rPr>
                <w:sz w:val="18"/>
                <w:szCs w:val="18"/>
              </w:rPr>
              <w:t>No</w:t>
            </w:r>
          </w:p>
          <w:p w:rsidR="009B2A14" w:rsidRPr="004041DD" w:rsidRDefault="009B2A14" w:rsidP="009B2A14">
            <w:pPr>
              <w:spacing w:after="0"/>
              <w:jc w:val="center"/>
              <w:rPr>
                <w:sz w:val="18"/>
                <w:szCs w:val="18"/>
              </w:rPr>
            </w:pPr>
            <w:r w:rsidRPr="004041DD">
              <w:rPr>
                <w:sz w:val="18"/>
                <w:szCs w:val="18"/>
              </w:rPr>
              <w:t>NR</w:t>
            </w:r>
          </w:p>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p w:rsidR="009B2A14" w:rsidRPr="004041DD" w:rsidRDefault="009B2A14" w:rsidP="009B2A14">
            <w:pPr>
              <w:spacing w:after="0"/>
              <w:jc w:val="center"/>
              <w:rPr>
                <w:sz w:val="18"/>
                <w:szCs w:val="18"/>
              </w:rPr>
            </w:pPr>
            <w:r w:rsidRPr="004041DD">
              <w:rPr>
                <w:sz w:val="18"/>
                <w:szCs w:val="18"/>
              </w:rPr>
              <w:t>49</w:t>
            </w:r>
          </w:p>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517c-3p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517a/b</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Up in term 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49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521</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23a</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tc>
      </w:tr>
      <w:tr w:rsidR="009B2A14" w:rsidRPr="004041DD" w:rsidTr="009B2A14">
        <w:trPr>
          <w:jc w:val="center"/>
        </w:trPr>
        <w:tc>
          <w:tcPr>
            <w:tcW w:w="0" w:type="auto"/>
            <w:vAlign w:val="center"/>
          </w:tcPr>
          <w:p w:rsidR="009B2A14" w:rsidRPr="004041DD" w:rsidRDefault="009B2A14" w:rsidP="009B2A14">
            <w:pPr>
              <w:spacing w:after="0"/>
              <w:jc w:val="center"/>
              <w:rPr>
                <w:sz w:val="18"/>
                <w:szCs w:val="18"/>
              </w:rPr>
            </w:pPr>
            <w:r w:rsidRPr="004041DD">
              <w:rPr>
                <w:sz w:val="18"/>
                <w:szCs w:val="18"/>
              </w:rPr>
              <w:t>103</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520g</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520a-5p</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p w:rsidR="009B2A14" w:rsidRPr="004041DD" w:rsidRDefault="009B2A14" w:rsidP="009B2A14">
            <w:pPr>
              <w:spacing w:after="0"/>
              <w:jc w:val="center"/>
              <w:rPr>
                <w:sz w:val="18"/>
                <w:szCs w:val="18"/>
              </w:rPr>
            </w:pPr>
            <w:r w:rsidRPr="004041DD">
              <w:rPr>
                <w:sz w:val="18"/>
                <w:szCs w:val="18"/>
              </w:rPr>
              <w:t>Down in LOPE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53</w:t>
            </w:r>
          </w:p>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520h</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Down in mPE</w:t>
            </w:r>
          </w:p>
          <w:p w:rsidR="009B2A14" w:rsidRPr="004041DD" w:rsidRDefault="009B2A14" w:rsidP="009B2A14">
            <w:pPr>
              <w:spacing w:after="0"/>
              <w:jc w:val="center"/>
              <w:rPr>
                <w:sz w:val="18"/>
                <w:szCs w:val="18"/>
              </w:rPr>
            </w:pPr>
            <w:r w:rsidRPr="004041DD">
              <w:rPr>
                <w:sz w:val="18"/>
                <w:szCs w:val="18"/>
              </w:rPr>
              <w:t>Down in LOPE</w:t>
            </w:r>
          </w:p>
        </w:tc>
        <w:tc>
          <w:tcPr>
            <w:tcW w:w="0" w:type="auto"/>
            <w:vAlign w:val="center"/>
          </w:tcPr>
          <w:p w:rsidR="009B2A14" w:rsidRPr="004041DD" w:rsidRDefault="009B2A14" w:rsidP="009B2A14">
            <w:pPr>
              <w:spacing w:after="0"/>
              <w:jc w:val="center"/>
              <w:rPr>
                <w:sz w:val="18"/>
                <w:szCs w:val="18"/>
              </w:rPr>
            </w:pPr>
            <w:r w:rsidRPr="004041DD">
              <w:rPr>
                <w:sz w:val="18"/>
                <w:szCs w:val="18"/>
              </w:rPr>
              <w:t>Yes</w:t>
            </w:r>
          </w:p>
          <w:p w:rsidR="009B2A14" w:rsidRPr="004041DD" w:rsidRDefault="009B2A14" w:rsidP="009B2A14">
            <w:pPr>
              <w:spacing w:after="0"/>
              <w:jc w:val="center"/>
              <w:rPr>
                <w:sz w:val="18"/>
                <w:szCs w:val="18"/>
              </w:rPr>
            </w:pPr>
            <w:r w:rsidRPr="004041DD">
              <w:rPr>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53</w:t>
            </w:r>
          </w:p>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451</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451a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let-7d</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(serum)</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11</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let-7f</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(serum)</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11</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let-7f-5p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 at delivery</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223</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(serum)</w:t>
            </w:r>
          </w:p>
          <w:p w:rsidR="009B2A14" w:rsidRPr="004041DD" w:rsidRDefault="009B2A14" w:rsidP="009B2A14">
            <w:pPr>
              <w:spacing w:after="0"/>
              <w:jc w:val="center"/>
              <w:rPr>
                <w:rFonts w:eastAsia="Times New Roman"/>
                <w:color w:val="000000"/>
                <w:sz w:val="18"/>
                <w:szCs w:val="18"/>
              </w:rPr>
            </w:pPr>
            <w:r>
              <w:rPr>
                <w:rFonts w:eastAsia="Times New Roman"/>
                <w:color w:val="000000"/>
                <w:sz w:val="18"/>
                <w:szCs w:val="18"/>
              </w:rPr>
              <w:t>MPB</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p w:rsidR="009B2A14" w:rsidRPr="004041DD" w:rsidRDefault="009B2A14" w:rsidP="009B2A14">
            <w:pPr>
              <w:spacing w:after="0"/>
              <w:jc w:val="center"/>
              <w:rPr>
                <w:rFonts w:eastAsia="Times New Roman"/>
                <w:color w:val="000000"/>
                <w:sz w:val="18"/>
                <w:szCs w:val="18"/>
              </w:rPr>
            </w:pPr>
            <w:r>
              <w:rPr>
                <w:rFonts w:eastAsia="Times New Roman"/>
                <w:color w:val="000000"/>
                <w:sz w:val="18"/>
                <w:szCs w:val="18"/>
              </w:rPr>
              <w:t>NR</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Pr>
                <w:rFonts w:eastAsia="Times New Roman"/>
                <w:color w:val="000000"/>
                <w:sz w:val="18"/>
                <w:szCs w:val="18"/>
              </w:rPr>
              <w:t>NR</w:t>
            </w:r>
          </w:p>
        </w:tc>
        <w:tc>
          <w:tcPr>
            <w:tcW w:w="0" w:type="auto"/>
            <w:vAlign w:val="center"/>
          </w:tcPr>
          <w:p w:rsidR="009B2A14" w:rsidRDefault="009B2A14" w:rsidP="009B2A14">
            <w:pPr>
              <w:spacing w:after="0"/>
              <w:jc w:val="center"/>
              <w:rPr>
                <w:sz w:val="18"/>
                <w:szCs w:val="18"/>
              </w:rPr>
            </w:pPr>
            <w:r w:rsidRPr="004041DD">
              <w:rPr>
                <w:sz w:val="18"/>
                <w:szCs w:val="18"/>
              </w:rPr>
              <w:t>11</w:t>
            </w:r>
          </w:p>
          <w:p w:rsidR="009B2A14" w:rsidRPr="004041DD" w:rsidRDefault="009B2A14" w:rsidP="009B2A14">
            <w:pPr>
              <w:spacing w:after="0"/>
              <w:jc w:val="center"/>
              <w:rPr>
                <w:sz w:val="18"/>
                <w:szCs w:val="18"/>
              </w:rPr>
            </w:pPr>
            <w:r>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141</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29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144</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29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144-3p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221</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29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221-3p</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 at delivery</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 1 year after delivery</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p>
          <w:p w:rsidR="009B2A14"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p>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92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221-5p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29a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29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29a-3p</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rPr>
                <w:rFonts w:eastAsia="Times New Roman"/>
                <w:color w:val="000000"/>
                <w:sz w:val="18"/>
                <w:szCs w:val="18"/>
              </w:rPr>
            </w:pP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MPB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lastRenderedPageBreak/>
              <w:t>No difference in mPE at delivery</w:t>
            </w:r>
            <w:r w:rsidRPr="004041DD">
              <w:rPr>
                <w:rFonts w:eastAsia="Times New Roman"/>
                <w:sz w:val="18"/>
                <w:szCs w:val="18"/>
              </w:rPr>
              <w:br/>
              <w:t>No difference in mPE 1 year after delivery</w:t>
            </w:r>
          </w:p>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No</w:t>
            </w:r>
          </w:p>
        </w:tc>
        <w:tc>
          <w:tcPr>
            <w:tcW w:w="0" w:type="auto"/>
            <w:vAlign w:val="center"/>
          </w:tcPr>
          <w:p w:rsidR="009B2A14" w:rsidRDefault="009B2A14" w:rsidP="009B2A14">
            <w:pPr>
              <w:spacing w:after="0"/>
              <w:jc w:val="center"/>
              <w:rPr>
                <w:sz w:val="18"/>
                <w:szCs w:val="18"/>
              </w:rPr>
            </w:pPr>
            <w:r w:rsidRPr="004041DD">
              <w:rPr>
                <w:sz w:val="18"/>
                <w:szCs w:val="18"/>
              </w:rPr>
              <w:lastRenderedPageBreak/>
              <w:t>60</w:t>
            </w:r>
          </w:p>
          <w:p w:rsidR="009B2A14" w:rsidRPr="004041DD" w:rsidRDefault="009B2A14" w:rsidP="009B2A14">
            <w:pPr>
              <w:spacing w:after="0"/>
              <w:jc w:val="center"/>
              <w:rPr>
                <w:sz w:val="18"/>
                <w:szCs w:val="18"/>
              </w:rPr>
            </w:pPr>
          </w:p>
          <w:p w:rsidR="009B2A14"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p>
          <w:p w:rsidR="009B2A14" w:rsidRPr="004041DD" w:rsidRDefault="009B2A14" w:rsidP="009B2A14">
            <w:pPr>
              <w:spacing w:after="0"/>
              <w:jc w:val="center"/>
              <w:rPr>
                <w:sz w:val="18"/>
                <w:szCs w:val="18"/>
              </w:rPr>
            </w:pPr>
            <w:r w:rsidRPr="004041DD">
              <w:rPr>
                <w:sz w:val="18"/>
                <w:szCs w:val="18"/>
              </w:rPr>
              <w:lastRenderedPageBreak/>
              <w:t>158</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223-3p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43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224-5p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43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224</w:t>
            </w:r>
          </w:p>
        </w:tc>
        <w:tc>
          <w:tcPr>
            <w:tcW w:w="0" w:type="auto"/>
            <w:vAlign w:val="center"/>
          </w:tcPr>
          <w:p w:rsidR="009B2A14" w:rsidRPr="004041DD" w:rsidRDefault="009B2A14" w:rsidP="009B2A14">
            <w:pPr>
              <w:spacing w:after="0"/>
              <w:jc w:val="center"/>
              <w:rPr>
                <w:sz w:val="18"/>
                <w:szCs w:val="18"/>
              </w:rPr>
            </w:pPr>
            <w:r w:rsidRPr="004041DD">
              <w:rPr>
                <w:sz w:val="18"/>
                <w:szCs w:val="18"/>
              </w:rPr>
              <w:t>MPB (plasma)</w:t>
            </w:r>
          </w:p>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1301</w:t>
            </w:r>
          </w:p>
        </w:tc>
        <w:tc>
          <w:tcPr>
            <w:tcW w:w="0" w:type="auto"/>
            <w:vAlign w:val="center"/>
          </w:tcPr>
          <w:p w:rsidR="009B2A14" w:rsidRPr="004041DD" w:rsidRDefault="009B2A14" w:rsidP="009B2A14">
            <w:pPr>
              <w:spacing w:after="0"/>
              <w:jc w:val="center"/>
              <w:rPr>
                <w:sz w:val="18"/>
                <w:szCs w:val="18"/>
              </w:rPr>
            </w:pPr>
            <w:r w:rsidRPr="004041DD">
              <w:rPr>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43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340-5p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AD3D8E" w:rsidRPr="004041DD" w:rsidTr="009B2A14">
        <w:trPr>
          <w:jc w:val="center"/>
        </w:trPr>
        <w:tc>
          <w:tcPr>
            <w:tcW w:w="0" w:type="auto"/>
            <w:vAlign w:val="center"/>
          </w:tcPr>
          <w:p w:rsidR="00AD3D8E" w:rsidRPr="004041DD" w:rsidRDefault="00AD3D8E" w:rsidP="009B2A14">
            <w:pPr>
              <w:spacing w:after="0"/>
              <w:jc w:val="center"/>
              <w:rPr>
                <w:rFonts w:eastAsia="Times New Roman"/>
                <w:color w:val="000000"/>
                <w:sz w:val="18"/>
                <w:szCs w:val="18"/>
              </w:rPr>
            </w:pPr>
            <w:r>
              <w:rPr>
                <w:rFonts w:eastAsia="Times New Roman"/>
                <w:color w:val="000000"/>
                <w:sz w:val="18"/>
                <w:szCs w:val="18"/>
              </w:rPr>
              <w:t>424</w:t>
            </w:r>
          </w:p>
        </w:tc>
        <w:tc>
          <w:tcPr>
            <w:tcW w:w="0" w:type="auto"/>
            <w:vAlign w:val="center"/>
          </w:tcPr>
          <w:p w:rsidR="00AD3D8E" w:rsidRPr="004041DD" w:rsidRDefault="00AD3D8E" w:rsidP="009B2A14">
            <w:pPr>
              <w:spacing w:after="0"/>
              <w:jc w:val="center"/>
              <w:rPr>
                <w:rFonts w:eastAsia="Times New Roman"/>
                <w:color w:val="000000"/>
                <w:sz w:val="18"/>
                <w:szCs w:val="18"/>
              </w:rPr>
            </w:pPr>
            <w:r>
              <w:rPr>
                <w:rFonts w:eastAsia="Times New Roman"/>
                <w:color w:val="000000"/>
                <w:sz w:val="18"/>
                <w:szCs w:val="18"/>
              </w:rPr>
              <w:t>Placenta</w:t>
            </w:r>
          </w:p>
        </w:tc>
        <w:tc>
          <w:tcPr>
            <w:tcW w:w="0" w:type="auto"/>
            <w:vAlign w:val="center"/>
          </w:tcPr>
          <w:p w:rsidR="00AD3D8E" w:rsidRPr="004041DD" w:rsidRDefault="00AD3D8E" w:rsidP="009B2A14">
            <w:pPr>
              <w:spacing w:after="0"/>
              <w:jc w:val="center"/>
              <w:rPr>
                <w:rFonts w:eastAsia="Times New Roman"/>
                <w:color w:val="000000"/>
                <w:sz w:val="18"/>
                <w:szCs w:val="18"/>
              </w:rPr>
            </w:pPr>
            <w:r>
              <w:rPr>
                <w:rFonts w:eastAsia="Times New Roman"/>
                <w:color w:val="000000"/>
                <w:sz w:val="18"/>
                <w:szCs w:val="18"/>
              </w:rPr>
              <w:t>No difference in term PE</w:t>
            </w:r>
          </w:p>
        </w:tc>
        <w:tc>
          <w:tcPr>
            <w:tcW w:w="0" w:type="auto"/>
            <w:vAlign w:val="center"/>
          </w:tcPr>
          <w:p w:rsidR="00AD3D8E" w:rsidRPr="004041DD" w:rsidRDefault="00AD3D8E" w:rsidP="009B2A14">
            <w:pPr>
              <w:spacing w:after="0"/>
              <w:jc w:val="center"/>
              <w:rPr>
                <w:rFonts w:eastAsia="Times New Roman"/>
                <w:color w:val="000000"/>
                <w:sz w:val="18"/>
                <w:szCs w:val="18"/>
              </w:rPr>
            </w:pPr>
            <w:r>
              <w:rPr>
                <w:rFonts w:eastAsia="Times New Roman"/>
                <w:color w:val="000000"/>
                <w:sz w:val="18"/>
                <w:szCs w:val="18"/>
              </w:rPr>
              <w:t>No</w:t>
            </w:r>
          </w:p>
        </w:tc>
        <w:tc>
          <w:tcPr>
            <w:tcW w:w="0" w:type="auto"/>
            <w:vAlign w:val="center"/>
          </w:tcPr>
          <w:p w:rsidR="00AD3D8E" w:rsidRPr="004041DD" w:rsidRDefault="00AD3D8E" w:rsidP="009B2A14">
            <w:pPr>
              <w:spacing w:after="0"/>
              <w:jc w:val="center"/>
              <w:rPr>
                <w:sz w:val="18"/>
                <w:szCs w:val="18"/>
              </w:rPr>
            </w:pPr>
            <w:r>
              <w:rPr>
                <w:sz w:val="18"/>
                <w:szCs w:val="18"/>
              </w:rPr>
              <w:t>Whigham 2020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424-5p</w:t>
            </w:r>
          </w:p>
        </w:tc>
        <w:tc>
          <w:tcPr>
            <w:tcW w:w="0" w:type="auto"/>
            <w:vAlign w:val="center"/>
          </w:tcPr>
          <w:p w:rsidR="009B2A14" w:rsidRPr="004041DD" w:rsidRDefault="009B2A14" w:rsidP="009B2A14">
            <w:pPr>
              <w:spacing w:after="0"/>
              <w:jc w:val="center"/>
              <w:rPr>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33a-5p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7-5p</w:t>
            </w:r>
          </w:p>
        </w:tc>
        <w:tc>
          <w:tcPr>
            <w:tcW w:w="0" w:type="auto"/>
            <w:vAlign w:val="center"/>
          </w:tcPr>
          <w:p w:rsidR="009B2A14" w:rsidRPr="004041DD" w:rsidRDefault="009B2A14" w:rsidP="009B2A14">
            <w:pPr>
              <w:spacing w:after="0"/>
              <w:jc w:val="center"/>
              <w:rPr>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1229</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1267</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671-3p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w:t>
            </w:r>
          </w:p>
        </w:tc>
        <w:tc>
          <w:tcPr>
            <w:tcW w:w="0" w:type="auto"/>
            <w:vAlign w:val="center"/>
          </w:tcPr>
          <w:p w:rsidR="009B2A14" w:rsidRPr="004041DD" w:rsidRDefault="009B2A14" w:rsidP="009B2A14">
            <w:pPr>
              <w:spacing w:after="0"/>
              <w:jc w:val="center"/>
              <w:rPr>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133b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582-5p</w:t>
            </w:r>
          </w:p>
        </w:tc>
        <w:tc>
          <w:tcPr>
            <w:tcW w:w="0" w:type="auto"/>
            <w:vAlign w:val="center"/>
          </w:tcPr>
          <w:p w:rsidR="009B2A14" w:rsidRPr="004041DD" w:rsidRDefault="009B2A14" w:rsidP="009B2A14">
            <w:pPr>
              <w:spacing w:after="0"/>
              <w:jc w:val="center"/>
              <w:rPr>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30e-3p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199a-5p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92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199b-5p</w:t>
            </w:r>
          </w:p>
        </w:tc>
        <w:tc>
          <w:tcPr>
            <w:tcW w:w="0" w:type="auto"/>
            <w:vAlign w:val="center"/>
          </w:tcPr>
          <w:p w:rsidR="009B2A14" w:rsidRPr="004041DD" w:rsidRDefault="009B2A14" w:rsidP="009B2A14">
            <w:pPr>
              <w:spacing w:after="0"/>
              <w:jc w:val="center"/>
              <w:rPr>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575</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301a-3p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148a-3p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193a-3p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219-5p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132</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513a-5p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1244</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16</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8505CA" w:rsidRDefault="008505CA" w:rsidP="009B2A14">
            <w:pPr>
              <w:spacing w:after="0"/>
              <w:jc w:val="center"/>
              <w:rPr>
                <w:rFonts w:eastAsia="Times New Roman"/>
                <w:color w:val="000000"/>
                <w:sz w:val="18"/>
                <w:szCs w:val="18"/>
              </w:rPr>
            </w:pPr>
            <w:r>
              <w:rPr>
                <w:rFonts w:eastAsia="Times New Roman"/>
                <w:color w:val="000000"/>
                <w:sz w:val="18"/>
                <w:szCs w:val="18"/>
              </w:rPr>
              <w:t>MPB (plasma)</w:t>
            </w:r>
          </w:p>
          <w:p w:rsidR="00B934B1" w:rsidRDefault="00B934B1" w:rsidP="009B2A14">
            <w:pPr>
              <w:spacing w:after="0"/>
              <w:jc w:val="center"/>
              <w:rPr>
                <w:rFonts w:eastAsia="Times New Roman"/>
                <w:color w:val="000000"/>
                <w:sz w:val="18"/>
                <w:szCs w:val="18"/>
              </w:rPr>
            </w:pPr>
            <w:r>
              <w:rPr>
                <w:rFonts w:eastAsia="Times New Roman"/>
                <w:color w:val="000000"/>
                <w:sz w:val="18"/>
                <w:szCs w:val="18"/>
              </w:rPr>
              <w:t>Placenta</w:t>
            </w:r>
          </w:p>
          <w:p w:rsidR="00F20F2C" w:rsidRPr="004041DD" w:rsidRDefault="00F20F2C" w:rsidP="009B2A14">
            <w:pPr>
              <w:spacing w:after="0"/>
              <w:jc w:val="center"/>
              <w:rPr>
                <w:rFonts w:eastAsia="Times New Roman"/>
                <w:color w:val="000000"/>
                <w:sz w:val="18"/>
                <w:szCs w:val="18"/>
              </w:rPr>
            </w:pPr>
            <w:r>
              <w:rPr>
                <w:rFonts w:eastAsia="Times New Roman"/>
                <w:color w:val="000000"/>
                <w:sz w:val="18"/>
                <w:szCs w:val="18"/>
              </w:rPr>
              <w:t>MPB (serum)</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8505CA" w:rsidRDefault="008505CA" w:rsidP="009B2A14">
            <w:pPr>
              <w:spacing w:after="0"/>
              <w:jc w:val="center"/>
              <w:rPr>
                <w:rFonts w:eastAsia="Times New Roman"/>
                <w:color w:val="000000"/>
                <w:sz w:val="18"/>
                <w:szCs w:val="18"/>
              </w:rPr>
            </w:pPr>
            <w:r>
              <w:rPr>
                <w:rFonts w:eastAsia="Times New Roman"/>
                <w:color w:val="000000"/>
                <w:sz w:val="18"/>
                <w:szCs w:val="18"/>
              </w:rPr>
              <w:t>No difference in LOPE</w:t>
            </w:r>
          </w:p>
          <w:p w:rsidR="00B934B1" w:rsidRDefault="00B934B1" w:rsidP="009B2A14">
            <w:pPr>
              <w:spacing w:after="0"/>
              <w:jc w:val="center"/>
              <w:rPr>
                <w:rFonts w:eastAsia="Times New Roman"/>
                <w:color w:val="000000"/>
                <w:sz w:val="18"/>
                <w:szCs w:val="18"/>
              </w:rPr>
            </w:pPr>
            <w:r>
              <w:rPr>
                <w:rFonts w:eastAsia="Times New Roman"/>
                <w:color w:val="000000"/>
                <w:sz w:val="18"/>
                <w:szCs w:val="18"/>
              </w:rPr>
              <w:t>No difference in term PE</w:t>
            </w:r>
          </w:p>
          <w:p w:rsidR="00F20F2C" w:rsidRPr="004041DD" w:rsidRDefault="00F20F2C" w:rsidP="009B2A14">
            <w:pPr>
              <w:spacing w:after="0"/>
              <w:jc w:val="center"/>
              <w:rPr>
                <w:rFonts w:eastAsia="Times New Roman"/>
                <w:color w:val="000000"/>
                <w:sz w:val="18"/>
                <w:szCs w:val="18"/>
              </w:rPr>
            </w:pPr>
            <w:r>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8505CA" w:rsidRDefault="008505CA" w:rsidP="009B2A14">
            <w:pPr>
              <w:spacing w:after="0"/>
              <w:jc w:val="center"/>
              <w:rPr>
                <w:rFonts w:eastAsia="Times New Roman"/>
                <w:color w:val="000000"/>
                <w:sz w:val="18"/>
                <w:szCs w:val="18"/>
              </w:rPr>
            </w:pPr>
            <w:r>
              <w:rPr>
                <w:rFonts w:eastAsia="Times New Roman"/>
                <w:color w:val="000000"/>
                <w:sz w:val="18"/>
                <w:szCs w:val="18"/>
              </w:rPr>
              <w:t>No</w:t>
            </w:r>
          </w:p>
          <w:p w:rsidR="00B934B1" w:rsidRDefault="00B934B1" w:rsidP="009B2A14">
            <w:pPr>
              <w:spacing w:after="0"/>
              <w:jc w:val="center"/>
              <w:rPr>
                <w:rFonts w:eastAsia="Times New Roman"/>
                <w:color w:val="000000"/>
                <w:sz w:val="18"/>
                <w:szCs w:val="18"/>
              </w:rPr>
            </w:pPr>
            <w:r>
              <w:rPr>
                <w:rFonts w:eastAsia="Times New Roman"/>
                <w:color w:val="000000"/>
                <w:sz w:val="18"/>
                <w:szCs w:val="18"/>
              </w:rPr>
              <w:t>No</w:t>
            </w:r>
          </w:p>
          <w:p w:rsidR="00F20F2C" w:rsidRPr="004041DD" w:rsidRDefault="00F20F2C" w:rsidP="009B2A14">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p w:rsidR="009B2A14" w:rsidRDefault="009B2A14" w:rsidP="009B2A14">
            <w:pPr>
              <w:spacing w:after="0"/>
              <w:jc w:val="center"/>
              <w:rPr>
                <w:sz w:val="18"/>
                <w:szCs w:val="18"/>
              </w:rPr>
            </w:pPr>
            <w:r w:rsidRPr="004041DD">
              <w:rPr>
                <w:sz w:val="18"/>
                <w:szCs w:val="18"/>
              </w:rPr>
              <w:t>154</w:t>
            </w:r>
          </w:p>
          <w:p w:rsidR="008505CA" w:rsidRDefault="008505CA" w:rsidP="009B2A14">
            <w:pPr>
              <w:spacing w:after="0"/>
              <w:jc w:val="center"/>
              <w:rPr>
                <w:sz w:val="18"/>
                <w:szCs w:val="18"/>
              </w:rPr>
            </w:pPr>
            <w:r>
              <w:rPr>
                <w:sz w:val="18"/>
                <w:szCs w:val="18"/>
              </w:rPr>
              <w:t>Dong 2019</w:t>
            </w:r>
          </w:p>
          <w:p w:rsidR="00B934B1" w:rsidRDefault="00B934B1" w:rsidP="009B2A14">
            <w:pPr>
              <w:spacing w:after="0"/>
              <w:jc w:val="center"/>
              <w:rPr>
                <w:sz w:val="18"/>
                <w:szCs w:val="18"/>
              </w:rPr>
            </w:pPr>
            <w:r>
              <w:rPr>
                <w:sz w:val="18"/>
                <w:szCs w:val="18"/>
              </w:rPr>
              <w:t>Whigham 2020</w:t>
            </w:r>
          </w:p>
          <w:p w:rsidR="00F20F2C" w:rsidRPr="004041DD" w:rsidRDefault="00F20F2C" w:rsidP="009B2A14">
            <w:pPr>
              <w:spacing w:after="0"/>
              <w:jc w:val="center"/>
              <w:rPr>
                <w:sz w:val="18"/>
                <w:szCs w:val="18"/>
              </w:rPr>
            </w:pPr>
            <w:r>
              <w:rPr>
                <w:sz w:val="18"/>
                <w:szCs w:val="18"/>
              </w:rPr>
              <w:t>Ali 2021</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16-5p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r>
            <w:r w:rsidRPr="004041DD">
              <w:rPr>
                <w:rFonts w:eastAsia="Times New Roman"/>
                <w:sz w:val="18"/>
                <w:szCs w:val="18"/>
              </w:rPr>
              <w:lastRenderedPageBreak/>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No</w:t>
            </w:r>
          </w:p>
        </w:tc>
        <w:tc>
          <w:tcPr>
            <w:tcW w:w="0" w:type="auto"/>
            <w:vAlign w:val="center"/>
          </w:tcPr>
          <w:p w:rsidR="009B2A14" w:rsidRPr="004041DD" w:rsidRDefault="009B2A14" w:rsidP="009B2A14">
            <w:pPr>
              <w:spacing w:after="0"/>
              <w:jc w:val="center"/>
              <w:rPr>
                <w:sz w:val="18"/>
                <w:szCs w:val="18"/>
              </w:rPr>
            </w:pPr>
            <w:r w:rsidRPr="004041DD">
              <w:rPr>
                <w:sz w:val="18"/>
                <w:szCs w:val="18"/>
              </w:rPr>
              <w:lastRenderedPageBreak/>
              <w:t>60</w:t>
            </w:r>
          </w:p>
          <w:p w:rsidR="009B2A14" w:rsidRPr="004041DD" w:rsidRDefault="009B2A14" w:rsidP="009B2A14">
            <w:pPr>
              <w:spacing w:after="0"/>
              <w:jc w:val="center"/>
              <w:rPr>
                <w:sz w:val="18"/>
                <w:szCs w:val="18"/>
              </w:rPr>
            </w:pPr>
            <w:r w:rsidRPr="004041DD">
              <w:rPr>
                <w:sz w:val="18"/>
                <w:szCs w:val="18"/>
              </w:rPr>
              <w:lastRenderedPageBreak/>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146a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 (syncytiotrophoblast)</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 (syncytial knots)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p w:rsidR="009B2A14" w:rsidRPr="004041DD" w:rsidRDefault="009B2A14" w:rsidP="009B2A14">
            <w:pPr>
              <w:spacing w:after="0"/>
              <w:jc w:val="center"/>
              <w:rPr>
                <w:sz w:val="18"/>
                <w:szCs w:val="18"/>
              </w:rPr>
            </w:pPr>
            <w:r w:rsidRPr="004041DD">
              <w:rPr>
                <w:sz w:val="18"/>
                <w:szCs w:val="18"/>
              </w:rPr>
              <w:t>106</w:t>
            </w:r>
          </w:p>
          <w:p w:rsidR="009B2A14" w:rsidRPr="004041DD" w:rsidRDefault="009B2A14" w:rsidP="009B2A14">
            <w:pPr>
              <w:spacing w:after="0"/>
              <w:jc w:val="center"/>
              <w:rPr>
                <w:sz w:val="18"/>
                <w:szCs w:val="18"/>
              </w:rPr>
            </w:pPr>
            <w:r w:rsidRPr="004041DD">
              <w:rPr>
                <w:sz w:val="18"/>
                <w:szCs w:val="18"/>
              </w:rPr>
              <w:t>106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146a-5p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66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155</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 (syncytiotrophoblast)</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p w:rsidR="009B2A14" w:rsidRPr="004041DD" w:rsidRDefault="009B2A14" w:rsidP="009B2A14">
            <w:pPr>
              <w:spacing w:after="0"/>
              <w:jc w:val="center"/>
              <w:rPr>
                <w:sz w:val="18"/>
                <w:szCs w:val="18"/>
              </w:rPr>
            </w:pPr>
            <w:r w:rsidRPr="004041DD">
              <w:rPr>
                <w:sz w:val="18"/>
                <w:szCs w:val="18"/>
              </w:rPr>
              <w:t>106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155-5p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181a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181a-5p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196a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44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26a-5p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52</w:t>
            </w:r>
          </w:p>
          <w:p w:rsidR="009B2A14" w:rsidRPr="004041DD" w:rsidRDefault="009B2A14" w:rsidP="009B2A14">
            <w:pPr>
              <w:spacing w:after="0"/>
              <w:jc w:val="center"/>
              <w:rPr>
                <w:sz w:val="18"/>
                <w:szCs w:val="18"/>
              </w:rPr>
            </w:pPr>
            <w:r w:rsidRPr="004041DD">
              <w:rPr>
                <w:sz w:val="18"/>
                <w:szCs w:val="18"/>
              </w:rPr>
              <w:t>92</w:t>
            </w:r>
          </w:p>
          <w:p w:rsidR="009B2A14" w:rsidRPr="004041DD" w:rsidRDefault="009B2A14" w:rsidP="009B2A14">
            <w:pPr>
              <w:spacing w:after="0"/>
              <w:jc w:val="center"/>
              <w:rPr>
                <w:sz w:val="18"/>
                <w:szCs w:val="18"/>
              </w:rPr>
            </w:pPr>
            <w:r w:rsidRPr="004041DD">
              <w:rPr>
                <w:sz w:val="18"/>
                <w:szCs w:val="18"/>
              </w:rPr>
              <w:t>92</w:t>
            </w:r>
          </w:p>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103a-3p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52</w:t>
            </w:r>
          </w:p>
          <w:p w:rsidR="009B2A14" w:rsidRPr="004041DD" w:rsidRDefault="009B2A14" w:rsidP="009B2A14">
            <w:pPr>
              <w:spacing w:after="0"/>
              <w:jc w:val="center"/>
              <w:rPr>
                <w:sz w:val="18"/>
                <w:szCs w:val="18"/>
              </w:rPr>
            </w:pPr>
            <w:r w:rsidRPr="004041DD">
              <w:rPr>
                <w:sz w:val="18"/>
                <w:szCs w:val="18"/>
              </w:rPr>
              <w:t>66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145-5p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52</w:t>
            </w:r>
          </w:p>
          <w:p w:rsidR="009B2A14" w:rsidRPr="004041DD" w:rsidRDefault="009B2A14" w:rsidP="009B2A14">
            <w:pPr>
              <w:spacing w:after="0"/>
              <w:jc w:val="center"/>
              <w:rPr>
                <w:sz w:val="18"/>
                <w:szCs w:val="18"/>
              </w:rPr>
            </w:pPr>
            <w:r w:rsidRPr="004041DD">
              <w:rPr>
                <w:sz w:val="18"/>
                <w:szCs w:val="18"/>
              </w:rPr>
              <w:t>92</w:t>
            </w:r>
          </w:p>
          <w:p w:rsidR="009B2A14" w:rsidRPr="004041DD" w:rsidRDefault="009B2A14" w:rsidP="009B2A14">
            <w:pPr>
              <w:spacing w:after="0"/>
              <w:jc w:val="center"/>
              <w:rPr>
                <w:sz w:val="18"/>
                <w:szCs w:val="18"/>
              </w:rPr>
            </w:pPr>
            <w:r w:rsidRPr="004041DD">
              <w:rPr>
                <w:sz w:val="18"/>
                <w:szCs w:val="18"/>
              </w:rPr>
              <w:t>92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499-5p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52</w:t>
            </w:r>
          </w:p>
          <w:p w:rsidR="009B2A14" w:rsidRPr="004041DD" w:rsidRDefault="009B2A14" w:rsidP="009B2A14">
            <w:pPr>
              <w:spacing w:after="0"/>
              <w:jc w:val="center"/>
              <w:rPr>
                <w:sz w:val="18"/>
                <w:szCs w:val="18"/>
              </w:rPr>
            </w:pPr>
            <w:r w:rsidRPr="004041DD">
              <w:rPr>
                <w:sz w:val="18"/>
                <w:szCs w:val="18"/>
              </w:rPr>
              <w:t>52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499a-5p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515-5p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518-5p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135</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518b</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FF1D45" w:rsidRDefault="00FF1D45" w:rsidP="009B2A14">
            <w:pPr>
              <w:spacing w:after="0"/>
              <w:jc w:val="center"/>
              <w:rPr>
                <w:rFonts w:eastAsia="Times New Roman"/>
                <w:color w:val="000000"/>
                <w:sz w:val="18"/>
                <w:szCs w:val="18"/>
              </w:rPr>
            </w:pPr>
            <w:r>
              <w:rPr>
                <w:rFonts w:eastAsia="Times New Roman"/>
                <w:color w:val="000000"/>
                <w:sz w:val="18"/>
                <w:szCs w:val="18"/>
              </w:rPr>
              <w:t>MPB (plasma)</w:t>
            </w:r>
          </w:p>
          <w:p w:rsidR="004D2B86" w:rsidRPr="004041DD" w:rsidRDefault="004D2B86" w:rsidP="009B2A14">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p w:rsidR="00FF1D45" w:rsidRDefault="00FF1D45" w:rsidP="009B2A14">
            <w:pPr>
              <w:spacing w:after="0"/>
              <w:jc w:val="center"/>
              <w:rPr>
                <w:rFonts w:eastAsia="Times New Roman"/>
                <w:color w:val="000000"/>
                <w:sz w:val="18"/>
                <w:szCs w:val="18"/>
              </w:rPr>
            </w:pPr>
            <w:r>
              <w:rPr>
                <w:rFonts w:eastAsia="Times New Roman"/>
                <w:color w:val="000000"/>
                <w:sz w:val="18"/>
                <w:szCs w:val="18"/>
              </w:rPr>
              <w:t xml:space="preserve">Up in </w:t>
            </w:r>
            <w:r w:rsidR="004D2B86">
              <w:rPr>
                <w:rFonts w:eastAsia="Times New Roman"/>
                <w:color w:val="000000"/>
                <w:sz w:val="18"/>
                <w:szCs w:val="18"/>
              </w:rPr>
              <w:t>m</w:t>
            </w:r>
            <w:r>
              <w:rPr>
                <w:rFonts w:eastAsia="Times New Roman"/>
                <w:color w:val="000000"/>
                <w:sz w:val="18"/>
                <w:szCs w:val="18"/>
              </w:rPr>
              <w:t>PE</w:t>
            </w:r>
          </w:p>
          <w:p w:rsidR="004D2B86" w:rsidRPr="004041DD" w:rsidRDefault="004D2B86" w:rsidP="009B2A14">
            <w:pPr>
              <w:spacing w:after="0"/>
              <w:jc w:val="center"/>
              <w:rPr>
                <w:rFonts w:eastAsia="Times New Roman"/>
                <w:color w:val="000000"/>
                <w:sz w:val="18"/>
                <w:szCs w:val="18"/>
              </w:rPr>
            </w:pPr>
            <w:r>
              <w:rPr>
                <w:rFonts w:eastAsia="Times New Roman"/>
                <w:color w:val="000000"/>
                <w:sz w:val="18"/>
                <w:szCs w:val="18"/>
              </w:rPr>
              <w:t>No difference in LOPE</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FF1D45" w:rsidRDefault="00FF1D45" w:rsidP="009B2A14">
            <w:pPr>
              <w:spacing w:after="0"/>
              <w:jc w:val="center"/>
              <w:rPr>
                <w:rFonts w:eastAsia="Times New Roman"/>
                <w:color w:val="000000"/>
                <w:sz w:val="18"/>
                <w:szCs w:val="18"/>
              </w:rPr>
            </w:pPr>
            <w:r>
              <w:rPr>
                <w:rFonts w:eastAsia="Times New Roman"/>
                <w:color w:val="000000"/>
                <w:sz w:val="18"/>
                <w:szCs w:val="18"/>
              </w:rPr>
              <w:t>Yes</w:t>
            </w:r>
          </w:p>
          <w:p w:rsidR="004D2B86" w:rsidRPr="004041DD" w:rsidRDefault="004D2B86" w:rsidP="009B2A14">
            <w:pPr>
              <w:spacing w:after="0"/>
              <w:jc w:val="center"/>
              <w:rPr>
                <w:rFonts w:eastAsia="Times New Roman"/>
                <w:color w:val="000000"/>
                <w:sz w:val="18"/>
                <w:szCs w:val="18"/>
              </w:rPr>
            </w:pPr>
            <w:r>
              <w:rPr>
                <w:rFonts w:eastAsia="Times New Roman"/>
                <w:color w:val="000000"/>
                <w:sz w:val="18"/>
                <w:szCs w:val="18"/>
              </w:rPr>
              <w:t>No</w:t>
            </w:r>
          </w:p>
        </w:tc>
        <w:tc>
          <w:tcPr>
            <w:tcW w:w="0" w:type="auto"/>
            <w:vAlign w:val="center"/>
          </w:tcPr>
          <w:p w:rsidR="009B2A14" w:rsidRDefault="009B2A14" w:rsidP="009B2A14">
            <w:pPr>
              <w:spacing w:after="0"/>
              <w:jc w:val="center"/>
              <w:rPr>
                <w:sz w:val="18"/>
                <w:szCs w:val="18"/>
              </w:rPr>
            </w:pPr>
            <w:r w:rsidRPr="004041DD">
              <w:rPr>
                <w:sz w:val="18"/>
                <w:szCs w:val="18"/>
              </w:rPr>
              <w:t>53</w:t>
            </w:r>
          </w:p>
          <w:p w:rsidR="00FF1D45" w:rsidRDefault="00FF1D45" w:rsidP="009B2A14">
            <w:pPr>
              <w:spacing w:after="0"/>
              <w:jc w:val="center"/>
              <w:rPr>
                <w:sz w:val="18"/>
                <w:szCs w:val="18"/>
              </w:rPr>
            </w:pPr>
            <w:r>
              <w:rPr>
                <w:sz w:val="18"/>
                <w:szCs w:val="18"/>
              </w:rPr>
              <w:t>Jelena 2020</w:t>
            </w:r>
          </w:p>
          <w:p w:rsidR="004D2B86" w:rsidRPr="004041DD" w:rsidRDefault="004D2B86" w:rsidP="009B2A14">
            <w:pPr>
              <w:spacing w:after="0"/>
              <w:jc w:val="center"/>
              <w:rPr>
                <w:sz w:val="18"/>
                <w:szCs w:val="18"/>
              </w:rPr>
            </w:pPr>
            <w:r>
              <w:rPr>
                <w:sz w:val="18"/>
                <w:szCs w:val="18"/>
              </w:rPr>
              <w:t>Jelena 2020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518f-5p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518f</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(serum)</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 (20gw)</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136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524-5p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53</w:t>
            </w:r>
          </w:p>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525</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53</w:t>
            </w:r>
          </w:p>
          <w:p w:rsidR="009B2A14" w:rsidRPr="004041DD" w:rsidRDefault="009B2A14" w:rsidP="009B2A14">
            <w:pPr>
              <w:spacing w:after="0"/>
              <w:jc w:val="center"/>
              <w:rPr>
                <w:sz w:val="18"/>
                <w:szCs w:val="18"/>
              </w:rPr>
            </w:pPr>
            <w:r w:rsidRPr="004041DD">
              <w:rPr>
                <w:sz w:val="18"/>
                <w:szCs w:val="18"/>
              </w:rPr>
              <w:t>53</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98-5p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222-3p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126</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126*</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126-3p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158</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130a-3p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130a</w:t>
            </w:r>
          </w:p>
        </w:tc>
        <w:tc>
          <w:tcPr>
            <w:tcW w:w="0" w:type="auto"/>
            <w:vAlign w:val="center"/>
          </w:tcPr>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MPB (plasma)</w:t>
            </w:r>
          </w:p>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Placenta</w:t>
            </w:r>
          </w:p>
        </w:tc>
        <w:tc>
          <w:tcPr>
            <w:tcW w:w="0" w:type="auto"/>
            <w:vAlign w:val="center"/>
          </w:tcPr>
          <w:p w:rsidR="009B2A14" w:rsidRPr="001C1A17" w:rsidRDefault="009B2A14" w:rsidP="009B2A14">
            <w:pPr>
              <w:spacing w:after="0"/>
              <w:jc w:val="center"/>
              <w:rPr>
                <w:rFonts w:eastAsia="Times New Roman"/>
                <w:sz w:val="18"/>
                <w:szCs w:val="18"/>
              </w:rPr>
            </w:pPr>
            <w:r w:rsidRPr="001C1A17">
              <w:rPr>
                <w:rFonts w:eastAsia="Times New Roman"/>
                <w:sz w:val="18"/>
                <w:szCs w:val="18"/>
              </w:rPr>
              <w:t>Up in mPE</w:t>
            </w:r>
          </w:p>
          <w:p w:rsidR="009B2A14" w:rsidRPr="001C1A17" w:rsidRDefault="009B2A14" w:rsidP="009B2A14">
            <w:pPr>
              <w:spacing w:after="0"/>
              <w:jc w:val="center"/>
              <w:rPr>
                <w:rFonts w:eastAsia="Times New Roman"/>
                <w:sz w:val="18"/>
                <w:szCs w:val="18"/>
              </w:rPr>
            </w:pPr>
            <w:r w:rsidRPr="001C1A17">
              <w:rPr>
                <w:rFonts w:eastAsia="Times New Roman"/>
                <w:sz w:val="18"/>
                <w:szCs w:val="18"/>
              </w:rPr>
              <w:t>Up in mPE</w:t>
            </w:r>
          </w:p>
        </w:tc>
        <w:tc>
          <w:tcPr>
            <w:tcW w:w="0" w:type="auto"/>
            <w:vAlign w:val="center"/>
          </w:tcPr>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NR</w:t>
            </w:r>
          </w:p>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NR</w:t>
            </w:r>
          </w:p>
        </w:tc>
        <w:tc>
          <w:tcPr>
            <w:tcW w:w="0" w:type="auto"/>
            <w:vAlign w:val="center"/>
          </w:tcPr>
          <w:p w:rsidR="009B2A14" w:rsidRPr="001C1A17" w:rsidRDefault="009B2A14" w:rsidP="009B2A14">
            <w:pPr>
              <w:spacing w:after="0"/>
              <w:jc w:val="center"/>
              <w:rPr>
                <w:sz w:val="18"/>
                <w:szCs w:val="18"/>
              </w:rPr>
            </w:pPr>
            <w:r w:rsidRPr="001C1A17">
              <w:rPr>
                <w:sz w:val="18"/>
                <w:szCs w:val="18"/>
              </w:rPr>
              <w:t>64</w:t>
            </w:r>
          </w:p>
          <w:p w:rsidR="009B2A14" w:rsidRPr="001C1A17" w:rsidRDefault="009B2A14" w:rsidP="009B2A14">
            <w:pPr>
              <w:spacing w:after="0"/>
              <w:jc w:val="center"/>
              <w:rPr>
                <w:sz w:val="18"/>
                <w:szCs w:val="18"/>
              </w:rPr>
            </w:pPr>
            <w:r w:rsidRPr="001C1A17">
              <w:rPr>
                <w:sz w:val="18"/>
                <w:szCs w:val="18"/>
              </w:rPr>
              <w:t>64</w:t>
            </w:r>
          </w:p>
        </w:tc>
      </w:tr>
      <w:tr w:rsidR="009B2A14" w:rsidRPr="004041DD" w:rsidTr="009B2A14">
        <w:trPr>
          <w:jc w:val="center"/>
        </w:trPr>
        <w:tc>
          <w:tcPr>
            <w:tcW w:w="0" w:type="auto"/>
            <w:vAlign w:val="center"/>
          </w:tcPr>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17</w:t>
            </w:r>
          </w:p>
        </w:tc>
        <w:tc>
          <w:tcPr>
            <w:tcW w:w="0" w:type="auto"/>
            <w:vAlign w:val="center"/>
          </w:tcPr>
          <w:p w:rsidR="009B2A14" w:rsidRPr="001C1A17" w:rsidRDefault="009B2A14" w:rsidP="009B2A14">
            <w:pPr>
              <w:spacing w:after="0"/>
              <w:jc w:val="center"/>
              <w:rPr>
                <w:color w:val="000000"/>
                <w:sz w:val="18"/>
                <w:szCs w:val="18"/>
              </w:rPr>
            </w:pPr>
            <w:r w:rsidRPr="001C1A17">
              <w:rPr>
                <w:color w:val="000000"/>
                <w:sz w:val="18"/>
                <w:szCs w:val="18"/>
              </w:rPr>
              <w:t>Placenta (sincytiothrophoblast)</w:t>
            </w:r>
            <w:r w:rsidRPr="001C1A17">
              <w:rPr>
                <w:color w:val="000000"/>
                <w:sz w:val="18"/>
                <w:szCs w:val="18"/>
              </w:rPr>
              <w:br/>
              <w:t>Endothelium</w:t>
            </w:r>
          </w:p>
        </w:tc>
        <w:tc>
          <w:tcPr>
            <w:tcW w:w="0" w:type="auto"/>
            <w:vAlign w:val="center"/>
          </w:tcPr>
          <w:p w:rsidR="009B2A14" w:rsidRPr="001C1A17" w:rsidRDefault="009B2A14" w:rsidP="009B2A14">
            <w:pPr>
              <w:spacing w:after="0"/>
              <w:jc w:val="center"/>
              <w:rPr>
                <w:rFonts w:eastAsia="Times New Roman"/>
                <w:sz w:val="18"/>
                <w:szCs w:val="18"/>
              </w:rPr>
            </w:pPr>
            <w:r w:rsidRPr="001C1A17">
              <w:rPr>
                <w:rFonts w:eastAsia="Times New Roman"/>
                <w:sz w:val="18"/>
                <w:szCs w:val="18"/>
              </w:rPr>
              <w:t>NR</w:t>
            </w:r>
          </w:p>
          <w:p w:rsidR="009B2A14" w:rsidRPr="001C1A17" w:rsidRDefault="009B2A14" w:rsidP="009B2A14">
            <w:pPr>
              <w:spacing w:after="0"/>
              <w:jc w:val="center"/>
              <w:rPr>
                <w:rFonts w:eastAsia="Times New Roman"/>
                <w:sz w:val="18"/>
                <w:szCs w:val="18"/>
              </w:rPr>
            </w:pPr>
            <w:r w:rsidRPr="001C1A17">
              <w:rPr>
                <w:rFonts w:eastAsia="Times New Roman"/>
                <w:sz w:val="18"/>
                <w:szCs w:val="18"/>
              </w:rPr>
              <w:t>NR</w:t>
            </w:r>
          </w:p>
        </w:tc>
        <w:tc>
          <w:tcPr>
            <w:tcW w:w="0" w:type="auto"/>
            <w:vAlign w:val="center"/>
          </w:tcPr>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NR</w:t>
            </w:r>
          </w:p>
          <w:p w:rsidR="009B2A14" w:rsidRPr="001C1A17" w:rsidRDefault="009B2A14" w:rsidP="009B2A14">
            <w:pPr>
              <w:spacing w:after="0"/>
              <w:jc w:val="center"/>
              <w:rPr>
                <w:rFonts w:eastAsia="Times New Roman"/>
                <w:color w:val="000000"/>
                <w:sz w:val="18"/>
                <w:szCs w:val="18"/>
              </w:rPr>
            </w:pPr>
            <w:r w:rsidRPr="001C1A17">
              <w:rPr>
                <w:rFonts w:eastAsia="Times New Roman"/>
                <w:color w:val="000000"/>
                <w:sz w:val="18"/>
                <w:szCs w:val="18"/>
              </w:rPr>
              <w:t>NR</w:t>
            </w:r>
          </w:p>
        </w:tc>
        <w:tc>
          <w:tcPr>
            <w:tcW w:w="0" w:type="auto"/>
            <w:vAlign w:val="center"/>
          </w:tcPr>
          <w:p w:rsidR="009B2A14" w:rsidRPr="001C1A17" w:rsidRDefault="009B2A14" w:rsidP="009B2A14">
            <w:pPr>
              <w:spacing w:after="0"/>
              <w:jc w:val="center"/>
              <w:rPr>
                <w:sz w:val="18"/>
                <w:szCs w:val="18"/>
              </w:rPr>
            </w:pPr>
            <w:r w:rsidRPr="001C1A17">
              <w:rPr>
                <w:sz w:val="18"/>
                <w:szCs w:val="18"/>
              </w:rPr>
              <w:t>139</w:t>
            </w:r>
          </w:p>
          <w:p w:rsidR="009B2A14" w:rsidRPr="001C1A17" w:rsidRDefault="009B2A14" w:rsidP="009B2A14">
            <w:pPr>
              <w:spacing w:after="0"/>
              <w:jc w:val="center"/>
              <w:rPr>
                <w:sz w:val="18"/>
                <w:szCs w:val="18"/>
              </w:rPr>
            </w:pPr>
            <w:r w:rsidRPr="001C1A17">
              <w:rPr>
                <w:sz w:val="18"/>
                <w:szCs w:val="18"/>
              </w:rPr>
              <w:t>139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17-5p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p w:rsidR="009B2A14" w:rsidRPr="004041DD" w:rsidRDefault="009B2A14" w:rsidP="009B2A14">
            <w:pPr>
              <w:spacing w:after="0"/>
              <w:jc w:val="center"/>
              <w:rPr>
                <w:rFonts w:eastAsia="Times New Roman"/>
                <w:sz w:val="18"/>
                <w:szCs w:val="18"/>
              </w:rPr>
            </w:pPr>
            <w:r w:rsidRPr="004041DD">
              <w:rPr>
                <w:rFonts w:eastAsia="Times New Roman"/>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413048" w:rsidP="009B2A14">
            <w:pPr>
              <w:spacing w:after="0"/>
              <w:jc w:val="center"/>
              <w:rPr>
                <w:rFonts w:eastAsia="Times New Roman"/>
                <w:color w:val="000000"/>
                <w:sz w:val="18"/>
                <w:szCs w:val="18"/>
              </w:rPr>
            </w:pPr>
            <w:r w:rsidRPr="004041DD">
              <w:rPr>
                <w:rFonts w:eastAsia="Times New Roman"/>
                <w:color w:val="000000"/>
                <w:sz w:val="18"/>
                <w:szCs w:val="18"/>
              </w:rPr>
              <w:t>N</w:t>
            </w:r>
            <w:r w:rsidR="009B2A14" w:rsidRPr="004041DD">
              <w:rPr>
                <w:rFonts w:eastAsia="Times New Roman"/>
                <w:color w:val="000000"/>
                <w:sz w:val="18"/>
                <w:szCs w:val="18"/>
              </w:rPr>
              <w:t>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158</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19a-3p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19a-3p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29a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92a-3p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92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20a-5p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20b-5p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158</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15b-5p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296-3p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195-5p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UCB</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lastRenderedPageBreak/>
              <w:t>No difference in mPE at delivery</w:t>
            </w:r>
            <w:r w:rsidRPr="004041DD">
              <w:rPr>
                <w:rFonts w:eastAsia="Times New Roman"/>
                <w:sz w:val="18"/>
                <w:szCs w:val="18"/>
              </w:rPr>
              <w:br/>
              <w:t>No difference in mPE 1 year after delivery</w:t>
            </w:r>
          </w:p>
          <w:p w:rsidR="009B2A14" w:rsidRPr="004041DD" w:rsidRDefault="009B2A14" w:rsidP="009B2A14">
            <w:pPr>
              <w:spacing w:after="0"/>
              <w:jc w:val="center"/>
              <w:rPr>
                <w:rFonts w:eastAsia="Times New Roman"/>
                <w:sz w:val="18"/>
                <w:szCs w:val="18"/>
              </w:rPr>
            </w:pPr>
            <w:r w:rsidRPr="004041DD">
              <w:rPr>
                <w:rFonts w:eastAsia="Times New Roman"/>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lastRenderedPageBreak/>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No</w:t>
            </w:r>
          </w:p>
        </w:tc>
        <w:tc>
          <w:tcPr>
            <w:tcW w:w="0" w:type="auto"/>
            <w:vAlign w:val="center"/>
          </w:tcPr>
          <w:p w:rsidR="009B2A14" w:rsidRPr="004041DD" w:rsidRDefault="009B2A14" w:rsidP="009B2A14">
            <w:pPr>
              <w:spacing w:after="0"/>
              <w:jc w:val="center"/>
              <w:rPr>
                <w:sz w:val="18"/>
                <w:szCs w:val="18"/>
              </w:rPr>
            </w:pPr>
            <w:r w:rsidRPr="004041DD">
              <w:rPr>
                <w:sz w:val="18"/>
                <w:szCs w:val="18"/>
              </w:rPr>
              <w:lastRenderedPageBreak/>
              <w:t>60</w:t>
            </w:r>
          </w:p>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lastRenderedPageBreak/>
              <w:t>92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29b-3p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sz w:val="18"/>
                <w:szCs w:val="18"/>
              </w:rPr>
              <w:t>No difference in mPE at delivery</w:t>
            </w:r>
            <w:r w:rsidRPr="004041DD">
              <w:rPr>
                <w:rFonts w:eastAsia="Times New Roman"/>
                <w:sz w:val="18"/>
                <w:szCs w:val="18"/>
              </w:rPr>
              <w:br/>
              <w:t>No difference in mPE 1 year after delivery</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60</w:t>
            </w:r>
          </w:p>
          <w:p w:rsidR="009B2A14" w:rsidRPr="004041DD" w:rsidRDefault="009B2A14" w:rsidP="009B2A14">
            <w:pPr>
              <w:spacing w:after="0"/>
              <w:jc w:val="center"/>
              <w:rPr>
                <w:sz w:val="18"/>
                <w:szCs w:val="18"/>
              </w:rPr>
            </w:pPr>
            <w:r w:rsidRPr="004041DD">
              <w:rPr>
                <w:sz w:val="18"/>
                <w:szCs w:val="18"/>
              </w:rPr>
              <w:t>60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130a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135b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142-3p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149</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A667E2" w:rsidRPr="004041DD" w:rsidRDefault="00A667E2" w:rsidP="009B2A14">
            <w:pPr>
              <w:spacing w:after="0"/>
              <w:jc w:val="center"/>
              <w:rPr>
                <w:rFonts w:eastAsia="Times New Roman"/>
                <w:color w:val="000000"/>
                <w:sz w:val="18"/>
                <w:szCs w:val="18"/>
              </w:rPr>
            </w:pPr>
            <w:r>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Default="009B2A14" w:rsidP="009B2A14">
            <w:pPr>
              <w:spacing w:after="0"/>
              <w:jc w:val="center"/>
              <w:rPr>
                <w:rFonts w:eastAsia="Times New Roman"/>
                <w:sz w:val="18"/>
                <w:szCs w:val="18"/>
              </w:rPr>
            </w:pPr>
            <w:r w:rsidRPr="004041DD">
              <w:rPr>
                <w:rFonts w:eastAsia="Times New Roman"/>
                <w:sz w:val="18"/>
                <w:szCs w:val="18"/>
              </w:rPr>
              <w:t>Up in mPE</w:t>
            </w:r>
          </w:p>
          <w:p w:rsidR="00A667E2" w:rsidRPr="004041DD" w:rsidRDefault="00A667E2" w:rsidP="009B2A14">
            <w:pPr>
              <w:spacing w:after="0"/>
              <w:jc w:val="center"/>
              <w:rPr>
                <w:rFonts w:eastAsia="Times New Roman"/>
                <w:sz w:val="18"/>
                <w:szCs w:val="18"/>
              </w:rPr>
            </w:pPr>
            <w:r>
              <w:rPr>
                <w:rFonts w:eastAsia="Times New Roman"/>
                <w:sz w:val="18"/>
                <w:szCs w:val="18"/>
              </w:rPr>
              <w:t>Down in term 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A667E2" w:rsidRPr="004041DD" w:rsidRDefault="00A667E2" w:rsidP="009B2A14">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Default="009B2A14" w:rsidP="009B2A14">
            <w:pPr>
              <w:spacing w:after="0"/>
              <w:jc w:val="center"/>
              <w:rPr>
                <w:sz w:val="18"/>
                <w:szCs w:val="18"/>
              </w:rPr>
            </w:pPr>
            <w:r w:rsidRPr="004041DD">
              <w:rPr>
                <w:sz w:val="18"/>
                <w:szCs w:val="18"/>
              </w:rPr>
              <w:t>64</w:t>
            </w:r>
          </w:p>
          <w:p w:rsidR="00A667E2" w:rsidRPr="004041DD" w:rsidRDefault="00A667E2" w:rsidP="009B2A14">
            <w:pPr>
              <w:spacing w:after="0"/>
              <w:jc w:val="center"/>
              <w:rPr>
                <w:sz w:val="18"/>
                <w:szCs w:val="18"/>
              </w:rPr>
            </w:pPr>
            <w:r>
              <w:rPr>
                <w:sz w:val="18"/>
                <w:szCs w:val="18"/>
              </w:rPr>
              <w:t>Whigham 2020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188-5p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203</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205</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224</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27a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518a-3p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518e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93</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p w:rsidR="009B2A14" w:rsidRPr="004041DD" w:rsidRDefault="009B2A14" w:rsidP="009B2A14">
            <w:pPr>
              <w:spacing w:after="0"/>
              <w:jc w:val="center"/>
              <w:rPr>
                <w:rFonts w:eastAsia="Times New Roman"/>
                <w:sz w:val="18"/>
                <w:szCs w:val="18"/>
              </w:rPr>
            </w:pPr>
            <w:r w:rsidRPr="004041DD">
              <w:rPr>
                <w:rFonts w:eastAsia="Times New Roman"/>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NR</w:t>
            </w:r>
          </w:p>
        </w:tc>
        <w:tc>
          <w:tcPr>
            <w:tcW w:w="0" w:type="auto"/>
            <w:vAlign w:val="center"/>
          </w:tcPr>
          <w:p w:rsidR="009B2A14" w:rsidRPr="004041DD" w:rsidRDefault="009B2A14" w:rsidP="009B2A14">
            <w:pPr>
              <w:spacing w:after="0"/>
              <w:jc w:val="center"/>
              <w:rPr>
                <w:sz w:val="18"/>
                <w:szCs w:val="18"/>
              </w:rPr>
            </w:pPr>
            <w:r w:rsidRPr="004041DD">
              <w:rPr>
                <w:sz w:val="18"/>
                <w:szCs w:val="18"/>
              </w:rPr>
              <w:t>64</w:t>
            </w:r>
          </w:p>
          <w:p w:rsidR="009B2A14" w:rsidRPr="004041DD" w:rsidRDefault="009B2A14" w:rsidP="009B2A14">
            <w:pPr>
              <w:spacing w:after="0"/>
              <w:jc w:val="center"/>
              <w:rPr>
                <w:sz w:val="18"/>
                <w:szCs w:val="18"/>
              </w:rPr>
            </w:pPr>
            <w:r w:rsidRPr="004041DD">
              <w:rPr>
                <w:sz w:val="18"/>
                <w:szCs w:val="18"/>
              </w:rPr>
              <w:t>64</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100-5p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66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125-5p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66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574-3p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(whole blood)</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UCB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66</w:t>
            </w:r>
          </w:p>
          <w:p w:rsidR="009B2A14" w:rsidRPr="004041DD" w:rsidRDefault="009B2A14" w:rsidP="009B2A14">
            <w:pPr>
              <w:spacing w:after="0"/>
              <w:jc w:val="center"/>
              <w:rPr>
                <w:sz w:val="18"/>
                <w:szCs w:val="18"/>
              </w:rPr>
            </w:pPr>
            <w:r w:rsidRPr="004041DD">
              <w:rPr>
                <w:sz w:val="18"/>
                <w:szCs w:val="18"/>
              </w:rPr>
              <w:t>92</w:t>
            </w:r>
          </w:p>
          <w:p w:rsidR="009B2A14" w:rsidRPr="004041DD" w:rsidRDefault="009B2A14" w:rsidP="009B2A14">
            <w:pPr>
              <w:spacing w:after="0"/>
              <w:jc w:val="center"/>
              <w:rPr>
                <w:sz w:val="18"/>
                <w:szCs w:val="18"/>
              </w:rPr>
            </w:pPr>
            <w:r w:rsidRPr="004041DD">
              <w:rPr>
                <w:sz w:val="18"/>
                <w:szCs w:val="18"/>
              </w:rPr>
              <w:t>92</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300</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 (villi)</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 (villi)</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87</w:t>
            </w:r>
          </w:p>
          <w:p w:rsidR="009B2A14" w:rsidRPr="004041DD" w:rsidRDefault="009B2A14" w:rsidP="009B2A14">
            <w:pPr>
              <w:spacing w:after="0"/>
              <w:jc w:val="center"/>
              <w:rPr>
                <w:sz w:val="18"/>
                <w:szCs w:val="18"/>
              </w:rPr>
            </w:pPr>
            <w:r w:rsidRPr="004041DD">
              <w:rPr>
                <w:sz w:val="18"/>
                <w:szCs w:val="18"/>
              </w:rPr>
              <w:t>87</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137</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101</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218-5p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 (trophoblast cells)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119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lastRenderedPageBreak/>
              <w:t>376c</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MPB (plasma)</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MPB (plasma)</w:t>
            </w:r>
          </w:p>
          <w:p w:rsidR="003561FD" w:rsidRPr="004041DD" w:rsidRDefault="003561FD" w:rsidP="009B2A14">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mPE</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mPE</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term PE</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No difference in LOPE in 1</w:t>
            </w:r>
            <w:r w:rsidR="00E33D6E" w:rsidRPr="00E33D6E">
              <w:rPr>
                <w:rFonts w:eastAsia="Times New Roman"/>
                <w:color w:val="000000"/>
                <w:sz w:val="18"/>
                <w:szCs w:val="18"/>
                <w:vertAlign w:val="superscript"/>
              </w:rPr>
              <w:t>st</w:t>
            </w:r>
            <w:r>
              <w:rPr>
                <w:rFonts w:eastAsia="Times New Roman"/>
                <w:color w:val="000000"/>
                <w:sz w:val="18"/>
                <w:szCs w:val="18"/>
              </w:rPr>
              <w:t xml:space="preserve"> trimester</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No difference in LOPE in 2</w:t>
            </w:r>
            <w:r w:rsidR="00E33D6E" w:rsidRPr="00E33D6E">
              <w:rPr>
                <w:rFonts w:eastAsia="Times New Roman"/>
                <w:color w:val="000000"/>
                <w:sz w:val="18"/>
                <w:szCs w:val="18"/>
                <w:vertAlign w:val="superscript"/>
              </w:rPr>
              <w:t>nd</w:t>
            </w:r>
            <w:r>
              <w:rPr>
                <w:rFonts w:eastAsia="Times New Roman"/>
                <w:color w:val="000000"/>
                <w:sz w:val="18"/>
                <w:szCs w:val="18"/>
              </w:rPr>
              <w:t xml:space="preserve"> trimester</w:t>
            </w:r>
          </w:p>
          <w:p w:rsidR="003561FD" w:rsidRPr="004041DD" w:rsidRDefault="003561FD" w:rsidP="009B2A14">
            <w:pPr>
              <w:spacing w:after="0"/>
              <w:jc w:val="center"/>
              <w:rPr>
                <w:rFonts w:eastAsia="Times New Roman"/>
                <w:color w:val="000000"/>
                <w:sz w:val="18"/>
                <w:szCs w:val="18"/>
              </w:rPr>
            </w:pPr>
            <w:r>
              <w:rPr>
                <w:rFonts w:eastAsia="Times New Roman"/>
                <w:color w:val="000000"/>
                <w:sz w:val="18"/>
                <w:szCs w:val="18"/>
              </w:rPr>
              <w:t>No difference in LOPE in 3</w:t>
            </w:r>
            <w:r w:rsidR="00E33D6E" w:rsidRPr="00E33D6E">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No</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No</w:t>
            </w:r>
          </w:p>
          <w:p w:rsidR="003561FD" w:rsidRPr="004041DD" w:rsidRDefault="003561FD" w:rsidP="009B2A14">
            <w:pPr>
              <w:spacing w:after="0"/>
              <w:jc w:val="center"/>
              <w:rPr>
                <w:rFonts w:eastAsia="Times New Roman"/>
                <w:color w:val="000000"/>
                <w:sz w:val="18"/>
                <w:szCs w:val="18"/>
              </w:rPr>
            </w:pPr>
            <w:r>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132</w:t>
            </w:r>
          </w:p>
          <w:p w:rsidR="009B2A14" w:rsidRPr="004041DD" w:rsidRDefault="009B2A14" w:rsidP="009B2A14">
            <w:pPr>
              <w:spacing w:after="0"/>
              <w:jc w:val="center"/>
              <w:rPr>
                <w:sz w:val="18"/>
                <w:szCs w:val="18"/>
              </w:rPr>
            </w:pPr>
            <w:r w:rsidRPr="004041DD">
              <w:rPr>
                <w:sz w:val="18"/>
                <w:szCs w:val="18"/>
              </w:rPr>
              <w:t>132</w:t>
            </w:r>
          </w:p>
          <w:p w:rsidR="009B2A14" w:rsidRDefault="009B2A14" w:rsidP="009B2A14">
            <w:pPr>
              <w:spacing w:after="0"/>
              <w:jc w:val="center"/>
              <w:rPr>
                <w:sz w:val="18"/>
                <w:szCs w:val="18"/>
              </w:rPr>
            </w:pPr>
            <w:r w:rsidRPr="004041DD">
              <w:rPr>
                <w:sz w:val="18"/>
                <w:szCs w:val="18"/>
              </w:rPr>
              <w:t>186</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Devor 2020</w:t>
            </w:r>
          </w:p>
          <w:p w:rsidR="003561FD" w:rsidRDefault="003561FD" w:rsidP="009B2A14">
            <w:pPr>
              <w:spacing w:after="0"/>
              <w:jc w:val="center"/>
              <w:rPr>
                <w:rFonts w:eastAsia="Times New Roman"/>
                <w:color w:val="000000"/>
                <w:sz w:val="18"/>
                <w:szCs w:val="18"/>
              </w:rPr>
            </w:pPr>
            <w:r>
              <w:rPr>
                <w:rFonts w:eastAsia="Times New Roman"/>
                <w:color w:val="000000"/>
                <w:sz w:val="18"/>
                <w:szCs w:val="18"/>
              </w:rPr>
              <w:t>Devor 2020</w:t>
            </w:r>
          </w:p>
          <w:p w:rsidR="003561FD" w:rsidRPr="004041DD" w:rsidRDefault="003561FD" w:rsidP="009B2A14">
            <w:pPr>
              <w:spacing w:after="0"/>
              <w:jc w:val="center"/>
              <w:rPr>
                <w:sz w:val="18"/>
                <w:szCs w:val="18"/>
              </w:rPr>
            </w:pPr>
            <w:r>
              <w:rPr>
                <w:rFonts w:eastAsia="Times New Roman"/>
                <w:color w:val="000000"/>
                <w:sz w:val="18"/>
                <w:szCs w:val="18"/>
              </w:rPr>
              <w:t>Devor 2020</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520d-3p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(serum)</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mPE (16gw and 20gw)</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136</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136</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137</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494</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137</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495</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137</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663</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Placenta</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145</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31</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8E48B6" w:rsidRPr="004041DD" w:rsidRDefault="008E48B6" w:rsidP="009B2A14">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LOPE</w:t>
            </w:r>
          </w:p>
          <w:p w:rsidR="008E48B6" w:rsidRPr="004041DD" w:rsidRDefault="008E48B6" w:rsidP="009B2A14">
            <w:pPr>
              <w:spacing w:after="0"/>
              <w:jc w:val="center"/>
              <w:rPr>
                <w:rFonts w:eastAsia="Times New Roman"/>
                <w:color w:val="000000"/>
                <w:sz w:val="18"/>
                <w:szCs w:val="18"/>
              </w:rPr>
            </w:pPr>
            <w:r>
              <w:rPr>
                <w:rFonts w:eastAsia="Times New Roman"/>
                <w:color w:val="000000"/>
                <w:sz w:val="18"/>
                <w:szCs w:val="18"/>
              </w:rPr>
              <w:t>No difference in LOPE</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p w:rsidR="008E48B6" w:rsidRPr="004041DD" w:rsidRDefault="008E48B6" w:rsidP="009B2A14">
            <w:pPr>
              <w:spacing w:after="0"/>
              <w:jc w:val="center"/>
              <w:rPr>
                <w:rFonts w:eastAsia="Times New Roman"/>
                <w:color w:val="000000"/>
                <w:sz w:val="18"/>
                <w:szCs w:val="18"/>
              </w:rPr>
            </w:pPr>
            <w:r>
              <w:rPr>
                <w:rFonts w:eastAsia="Times New Roman"/>
                <w:color w:val="000000"/>
                <w:sz w:val="18"/>
                <w:szCs w:val="18"/>
              </w:rPr>
              <w:t>No</w:t>
            </w:r>
          </w:p>
        </w:tc>
        <w:tc>
          <w:tcPr>
            <w:tcW w:w="0" w:type="auto"/>
            <w:vAlign w:val="center"/>
          </w:tcPr>
          <w:p w:rsidR="009B2A14" w:rsidRDefault="009B2A14" w:rsidP="009B2A14">
            <w:pPr>
              <w:spacing w:after="0"/>
              <w:jc w:val="center"/>
              <w:rPr>
                <w:sz w:val="18"/>
                <w:szCs w:val="18"/>
              </w:rPr>
            </w:pPr>
            <w:r w:rsidRPr="004041DD">
              <w:rPr>
                <w:sz w:val="18"/>
                <w:szCs w:val="18"/>
              </w:rPr>
              <w:t>154</w:t>
            </w:r>
          </w:p>
          <w:p w:rsidR="008E48B6" w:rsidRPr="004041DD" w:rsidRDefault="008E48B6" w:rsidP="009B2A14">
            <w:pPr>
              <w:spacing w:after="0"/>
              <w:jc w:val="center"/>
              <w:rPr>
                <w:sz w:val="18"/>
                <w:szCs w:val="18"/>
              </w:rPr>
            </w:pPr>
            <w:r>
              <w:rPr>
                <w:sz w:val="18"/>
                <w:szCs w:val="18"/>
              </w:rPr>
              <w:t>Dong 2019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21</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w:t>
            </w:r>
          </w:p>
          <w:p w:rsidR="008E48B6" w:rsidRPr="004041DD" w:rsidRDefault="008E48B6" w:rsidP="009B2A14">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p w:rsidR="008E48B6" w:rsidRPr="004041DD" w:rsidRDefault="008E48B6" w:rsidP="009B2A14">
            <w:pPr>
              <w:spacing w:after="0"/>
              <w:jc w:val="center"/>
              <w:rPr>
                <w:rFonts w:eastAsia="Times New Roman"/>
                <w:color w:val="000000"/>
                <w:sz w:val="18"/>
                <w:szCs w:val="18"/>
              </w:rPr>
            </w:pPr>
            <w:r>
              <w:rPr>
                <w:rFonts w:eastAsia="Times New Roman"/>
                <w:color w:val="000000"/>
                <w:sz w:val="18"/>
                <w:szCs w:val="18"/>
              </w:rPr>
              <w:t>Down in LOPE</w:t>
            </w:r>
          </w:p>
        </w:tc>
        <w:tc>
          <w:tcPr>
            <w:tcW w:w="0" w:type="auto"/>
            <w:vAlign w:val="center"/>
          </w:tcPr>
          <w:p w:rsidR="009B2A14"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p w:rsidR="008E48B6" w:rsidRPr="004041DD" w:rsidRDefault="008E48B6" w:rsidP="009B2A14">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9B2A14" w:rsidRDefault="009B2A14" w:rsidP="009B2A14">
            <w:pPr>
              <w:spacing w:after="0"/>
              <w:jc w:val="center"/>
              <w:rPr>
                <w:sz w:val="18"/>
                <w:szCs w:val="18"/>
              </w:rPr>
            </w:pPr>
            <w:r w:rsidRPr="004041DD">
              <w:rPr>
                <w:sz w:val="18"/>
                <w:szCs w:val="18"/>
              </w:rPr>
              <w:t>154</w:t>
            </w:r>
          </w:p>
          <w:p w:rsidR="008E48B6" w:rsidRPr="004041DD" w:rsidRDefault="008E48B6" w:rsidP="009B2A14">
            <w:pPr>
              <w:spacing w:after="0"/>
              <w:jc w:val="center"/>
              <w:rPr>
                <w:sz w:val="18"/>
                <w:szCs w:val="18"/>
              </w:rPr>
            </w:pPr>
            <w:r>
              <w:rPr>
                <w:sz w:val="18"/>
                <w:szCs w:val="18"/>
              </w:rPr>
              <w:t>Dong 2019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133-3p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158</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130b-3p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 difference in mPE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No</w:t>
            </w:r>
          </w:p>
        </w:tc>
        <w:tc>
          <w:tcPr>
            <w:tcW w:w="0" w:type="auto"/>
            <w:vAlign w:val="center"/>
          </w:tcPr>
          <w:p w:rsidR="009B2A14" w:rsidRPr="004041DD" w:rsidRDefault="009B2A14" w:rsidP="009B2A14">
            <w:pPr>
              <w:spacing w:after="0"/>
              <w:jc w:val="center"/>
              <w:rPr>
                <w:sz w:val="18"/>
                <w:szCs w:val="18"/>
              </w:rPr>
            </w:pPr>
            <w:r w:rsidRPr="004041DD">
              <w:rPr>
                <w:sz w:val="18"/>
                <w:szCs w:val="18"/>
              </w:rPr>
              <w:t>158</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202-3p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297</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375</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488-3p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504-5p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2113</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374-5p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379-5p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376b-5p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150-5p</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122</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Up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9B2A14" w:rsidRPr="004041DD" w:rsidTr="009B2A14">
        <w:trPr>
          <w:jc w:val="center"/>
        </w:trPr>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3605</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MPB (plasma exosomes)</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Down in LOPE</w:t>
            </w:r>
          </w:p>
        </w:tc>
        <w:tc>
          <w:tcPr>
            <w:tcW w:w="0" w:type="auto"/>
            <w:vAlign w:val="center"/>
          </w:tcPr>
          <w:p w:rsidR="009B2A14" w:rsidRPr="004041DD" w:rsidRDefault="009B2A14" w:rsidP="009B2A14">
            <w:pPr>
              <w:spacing w:after="0"/>
              <w:jc w:val="center"/>
              <w:rPr>
                <w:rFonts w:eastAsia="Times New Roman"/>
                <w:color w:val="000000"/>
                <w:sz w:val="18"/>
                <w:szCs w:val="18"/>
              </w:rPr>
            </w:pPr>
            <w:r w:rsidRPr="004041DD">
              <w:rPr>
                <w:rFonts w:eastAsia="Times New Roman"/>
                <w:color w:val="000000"/>
                <w:sz w:val="18"/>
                <w:szCs w:val="18"/>
              </w:rPr>
              <w:t>Yes</w:t>
            </w:r>
          </w:p>
        </w:tc>
        <w:tc>
          <w:tcPr>
            <w:tcW w:w="0" w:type="auto"/>
            <w:vAlign w:val="center"/>
          </w:tcPr>
          <w:p w:rsidR="009B2A14" w:rsidRPr="004041DD" w:rsidRDefault="009B2A14" w:rsidP="009B2A14">
            <w:pPr>
              <w:spacing w:after="0"/>
              <w:jc w:val="center"/>
              <w:rPr>
                <w:sz w:val="18"/>
                <w:szCs w:val="18"/>
              </w:rPr>
            </w:pPr>
            <w:r w:rsidRPr="004041DD">
              <w:rPr>
                <w:sz w:val="18"/>
                <w:szCs w:val="18"/>
              </w:rPr>
              <w:t>159</w:t>
            </w:r>
          </w:p>
        </w:tc>
      </w:tr>
      <w:tr w:rsidR="00A11751" w:rsidRPr="004041DD" w:rsidTr="009B2A14">
        <w:trPr>
          <w:jc w:val="center"/>
        </w:trPr>
        <w:tc>
          <w:tcPr>
            <w:tcW w:w="0" w:type="auto"/>
            <w:vAlign w:val="center"/>
          </w:tcPr>
          <w:p w:rsidR="00A11751" w:rsidRPr="004041DD" w:rsidRDefault="00A11751" w:rsidP="009B2A14">
            <w:pPr>
              <w:spacing w:after="0"/>
              <w:jc w:val="center"/>
              <w:rPr>
                <w:rFonts w:eastAsia="Times New Roman"/>
                <w:color w:val="000000"/>
                <w:sz w:val="18"/>
                <w:szCs w:val="18"/>
              </w:rPr>
            </w:pPr>
            <w:r>
              <w:rPr>
                <w:rFonts w:eastAsia="Times New Roman"/>
                <w:color w:val="000000"/>
                <w:sz w:val="18"/>
                <w:szCs w:val="18"/>
              </w:rPr>
              <w:t>134</w:t>
            </w:r>
          </w:p>
        </w:tc>
        <w:tc>
          <w:tcPr>
            <w:tcW w:w="0" w:type="auto"/>
            <w:vAlign w:val="center"/>
          </w:tcPr>
          <w:p w:rsidR="00A11751" w:rsidRDefault="00A11751" w:rsidP="009B2A14">
            <w:pPr>
              <w:spacing w:after="0"/>
              <w:jc w:val="center"/>
              <w:rPr>
                <w:rFonts w:eastAsia="Times New Roman"/>
                <w:color w:val="000000"/>
                <w:sz w:val="18"/>
                <w:szCs w:val="18"/>
              </w:rPr>
            </w:pPr>
            <w:r>
              <w:rPr>
                <w:rFonts w:eastAsia="Times New Roman"/>
                <w:color w:val="000000"/>
                <w:sz w:val="18"/>
                <w:szCs w:val="18"/>
              </w:rPr>
              <w:t>MPB (plasma)</w:t>
            </w:r>
          </w:p>
          <w:p w:rsidR="00A11751" w:rsidRDefault="00A11751" w:rsidP="009B2A14">
            <w:pPr>
              <w:spacing w:after="0"/>
              <w:jc w:val="center"/>
              <w:rPr>
                <w:rFonts w:eastAsia="Times New Roman"/>
                <w:color w:val="000000"/>
                <w:sz w:val="18"/>
                <w:szCs w:val="18"/>
              </w:rPr>
            </w:pPr>
            <w:r>
              <w:rPr>
                <w:rFonts w:eastAsia="Times New Roman"/>
                <w:color w:val="000000"/>
                <w:sz w:val="18"/>
                <w:szCs w:val="18"/>
              </w:rPr>
              <w:t>MPB (plasma)</w:t>
            </w:r>
          </w:p>
          <w:p w:rsidR="00A11751" w:rsidRPr="004041DD" w:rsidRDefault="00A11751" w:rsidP="009B2A14">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A11751" w:rsidRDefault="00A11751" w:rsidP="009B2A14">
            <w:pPr>
              <w:spacing w:after="0"/>
              <w:jc w:val="center"/>
              <w:rPr>
                <w:rFonts w:eastAsia="Times New Roman"/>
                <w:color w:val="000000"/>
                <w:sz w:val="18"/>
                <w:szCs w:val="18"/>
              </w:rPr>
            </w:pPr>
            <w:r>
              <w:rPr>
                <w:rFonts w:eastAsia="Times New Roman"/>
                <w:color w:val="000000"/>
                <w:sz w:val="18"/>
                <w:szCs w:val="18"/>
              </w:rPr>
              <w:t xml:space="preserve">Up in </w:t>
            </w:r>
            <w:r w:rsidR="007C12C1">
              <w:rPr>
                <w:rFonts w:eastAsia="Times New Roman"/>
                <w:color w:val="000000"/>
                <w:sz w:val="18"/>
                <w:szCs w:val="18"/>
              </w:rPr>
              <w:t>LO</w:t>
            </w:r>
            <w:r>
              <w:rPr>
                <w:rFonts w:eastAsia="Times New Roman"/>
                <w:color w:val="000000"/>
                <w:sz w:val="18"/>
                <w:szCs w:val="18"/>
              </w:rPr>
              <w:t>PE in 1</w:t>
            </w:r>
            <w:r w:rsidR="00E33D6E" w:rsidRPr="00E33D6E">
              <w:rPr>
                <w:rFonts w:eastAsia="Times New Roman"/>
                <w:color w:val="000000"/>
                <w:sz w:val="18"/>
                <w:szCs w:val="18"/>
                <w:vertAlign w:val="superscript"/>
              </w:rPr>
              <w:t>st</w:t>
            </w:r>
            <w:r>
              <w:rPr>
                <w:rFonts w:eastAsia="Times New Roman"/>
                <w:color w:val="000000"/>
                <w:sz w:val="18"/>
                <w:szCs w:val="18"/>
              </w:rPr>
              <w:t xml:space="preserve"> trimester</w:t>
            </w:r>
          </w:p>
          <w:p w:rsidR="00A11751" w:rsidRDefault="00A11751" w:rsidP="009B2A14">
            <w:pPr>
              <w:spacing w:after="0"/>
              <w:jc w:val="center"/>
              <w:rPr>
                <w:rFonts w:eastAsia="Times New Roman"/>
                <w:color w:val="000000"/>
                <w:sz w:val="18"/>
                <w:szCs w:val="18"/>
              </w:rPr>
            </w:pPr>
            <w:r>
              <w:rPr>
                <w:rFonts w:eastAsia="Times New Roman"/>
                <w:color w:val="000000"/>
                <w:sz w:val="18"/>
                <w:szCs w:val="18"/>
              </w:rPr>
              <w:t>No difference in</w:t>
            </w:r>
            <w:r w:rsidR="007C12C1">
              <w:rPr>
                <w:rFonts w:eastAsia="Times New Roman"/>
                <w:color w:val="000000"/>
                <w:sz w:val="18"/>
                <w:szCs w:val="18"/>
              </w:rPr>
              <w:t xml:space="preserve"> LOPE in</w:t>
            </w:r>
            <w:r>
              <w:rPr>
                <w:rFonts w:eastAsia="Times New Roman"/>
                <w:color w:val="000000"/>
                <w:sz w:val="18"/>
                <w:szCs w:val="18"/>
              </w:rPr>
              <w:t xml:space="preserve"> 2</w:t>
            </w:r>
            <w:r w:rsidR="00E33D6E" w:rsidRPr="00E33D6E">
              <w:rPr>
                <w:rFonts w:eastAsia="Times New Roman"/>
                <w:color w:val="000000"/>
                <w:sz w:val="18"/>
                <w:szCs w:val="18"/>
                <w:vertAlign w:val="superscript"/>
              </w:rPr>
              <w:t>nd</w:t>
            </w:r>
            <w:r>
              <w:rPr>
                <w:rFonts w:eastAsia="Times New Roman"/>
                <w:color w:val="000000"/>
                <w:sz w:val="18"/>
                <w:szCs w:val="18"/>
              </w:rPr>
              <w:t xml:space="preserve"> trimester</w:t>
            </w:r>
          </w:p>
          <w:p w:rsidR="00A11751" w:rsidRPr="004041DD" w:rsidRDefault="00A11751" w:rsidP="009B2A14">
            <w:pPr>
              <w:spacing w:after="0"/>
              <w:jc w:val="center"/>
              <w:rPr>
                <w:rFonts w:eastAsia="Times New Roman"/>
                <w:color w:val="000000"/>
                <w:sz w:val="18"/>
                <w:szCs w:val="18"/>
              </w:rPr>
            </w:pPr>
            <w:r>
              <w:rPr>
                <w:rFonts w:eastAsia="Times New Roman"/>
                <w:color w:val="000000"/>
                <w:sz w:val="18"/>
                <w:szCs w:val="18"/>
              </w:rPr>
              <w:t>No difference in</w:t>
            </w:r>
            <w:r w:rsidR="007C12C1">
              <w:rPr>
                <w:rFonts w:eastAsia="Times New Roman"/>
                <w:color w:val="000000"/>
                <w:sz w:val="18"/>
                <w:szCs w:val="18"/>
              </w:rPr>
              <w:t xml:space="preserve"> LOPE in</w:t>
            </w:r>
            <w:r>
              <w:rPr>
                <w:rFonts w:eastAsia="Times New Roman"/>
                <w:color w:val="000000"/>
                <w:sz w:val="18"/>
                <w:szCs w:val="18"/>
              </w:rPr>
              <w:t xml:space="preserve"> 3</w:t>
            </w:r>
            <w:r w:rsidR="00E33D6E" w:rsidRPr="00E33D6E">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A11751" w:rsidRDefault="00A11751" w:rsidP="009B2A14">
            <w:pPr>
              <w:spacing w:after="0"/>
              <w:jc w:val="center"/>
              <w:rPr>
                <w:rFonts w:eastAsia="Times New Roman"/>
                <w:color w:val="000000"/>
                <w:sz w:val="18"/>
                <w:szCs w:val="18"/>
              </w:rPr>
            </w:pPr>
            <w:r>
              <w:rPr>
                <w:rFonts w:eastAsia="Times New Roman"/>
                <w:color w:val="000000"/>
                <w:sz w:val="18"/>
                <w:szCs w:val="18"/>
              </w:rPr>
              <w:t>Yes</w:t>
            </w:r>
          </w:p>
          <w:p w:rsidR="00A11751" w:rsidRDefault="00A11751" w:rsidP="009B2A14">
            <w:pPr>
              <w:spacing w:after="0"/>
              <w:jc w:val="center"/>
              <w:rPr>
                <w:rFonts w:eastAsia="Times New Roman"/>
                <w:color w:val="000000"/>
                <w:sz w:val="18"/>
                <w:szCs w:val="18"/>
              </w:rPr>
            </w:pPr>
            <w:r>
              <w:rPr>
                <w:rFonts w:eastAsia="Times New Roman"/>
                <w:color w:val="000000"/>
                <w:sz w:val="18"/>
                <w:szCs w:val="18"/>
              </w:rPr>
              <w:t>No</w:t>
            </w:r>
          </w:p>
          <w:p w:rsidR="00A11751" w:rsidRPr="004041DD" w:rsidRDefault="00A11751" w:rsidP="009B2A14">
            <w:pPr>
              <w:spacing w:after="0"/>
              <w:jc w:val="center"/>
              <w:rPr>
                <w:rFonts w:eastAsia="Times New Roman"/>
                <w:color w:val="000000"/>
                <w:sz w:val="18"/>
                <w:szCs w:val="18"/>
              </w:rPr>
            </w:pPr>
            <w:r>
              <w:rPr>
                <w:rFonts w:eastAsia="Times New Roman"/>
                <w:color w:val="000000"/>
                <w:sz w:val="18"/>
                <w:szCs w:val="18"/>
              </w:rPr>
              <w:t>No</w:t>
            </w:r>
          </w:p>
        </w:tc>
        <w:tc>
          <w:tcPr>
            <w:tcW w:w="0" w:type="auto"/>
            <w:vAlign w:val="center"/>
          </w:tcPr>
          <w:p w:rsidR="00A11751" w:rsidRDefault="00A11751" w:rsidP="009B2A14">
            <w:pPr>
              <w:spacing w:after="0"/>
              <w:jc w:val="center"/>
              <w:rPr>
                <w:sz w:val="18"/>
                <w:szCs w:val="18"/>
              </w:rPr>
            </w:pPr>
            <w:r>
              <w:rPr>
                <w:sz w:val="18"/>
                <w:szCs w:val="18"/>
              </w:rPr>
              <w:t>Devor 2020</w:t>
            </w:r>
          </w:p>
          <w:p w:rsidR="00A11751" w:rsidRDefault="00A11751" w:rsidP="009B2A14">
            <w:pPr>
              <w:spacing w:after="0"/>
              <w:jc w:val="center"/>
              <w:rPr>
                <w:sz w:val="18"/>
                <w:szCs w:val="18"/>
              </w:rPr>
            </w:pPr>
            <w:r>
              <w:rPr>
                <w:sz w:val="18"/>
                <w:szCs w:val="18"/>
              </w:rPr>
              <w:t>Devor 2020</w:t>
            </w:r>
          </w:p>
          <w:p w:rsidR="00A11751" w:rsidRPr="004041DD" w:rsidRDefault="00A11751" w:rsidP="009B2A14">
            <w:pPr>
              <w:spacing w:after="0"/>
              <w:jc w:val="center"/>
              <w:rPr>
                <w:sz w:val="18"/>
                <w:szCs w:val="18"/>
              </w:rPr>
            </w:pPr>
            <w:r>
              <w:rPr>
                <w:sz w:val="18"/>
                <w:szCs w:val="18"/>
              </w:rPr>
              <w:t>Devor 2020</w:t>
            </w:r>
          </w:p>
        </w:tc>
      </w:tr>
      <w:tr w:rsidR="007C12C1" w:rsidRPr="004041DD" w:rsidTr="009B2A14">
        <w:trPr>
          <w:jc w:val="center"/>
        </w:trPr>
        <w:tc>
          <w:tcPr>
            <w:tcW w:w="0" w:type="auto"/>
            <w:vAlign w:val="center"/>
          </w:tcPr>
          <w:p w:rsidR="007C12C1" w:rsidRDefault="007C12C1" w:rsidP="009B2A14">
            <w:pPr>
              <w:spacing w:after="0"/>
              <w:jc w:val="center"/>
              <w:rPr>
                <w:rFonts w:eastAsia="Times New Roman"/>
                <w:color w:val="000000"/>
                <w:sz w:val="18"/>
                <w:szCs w:val="18"/>
              </w:rPr>
            </w:pPr>
            <w:r>
              <w:rPr>
                <w:rFonts w:eastAsia="Times New Roman"/>
                <w:color w:val="000000"/>
                <w:sz w:val="18"/>
                <w:szCs w:val="18"/>
              </w:rPr>
              <w:t>196b</w:t>
            </w:r>
          </w:p>
        </w:tc>
        <w:tc>
          <w:tcPr>
            <w:tcW w:w="0" w:type="auto"/>
            <w:vAlign w:val="center"/>
          </w:tcPr>
          <w:p w:rsidR="007C12C1" w:rsidRDefault="007C12C1" w:rsidP="007C12C1">
            <w:pPr>
              <w:spacing w:after="0"/>
              <w:jc w:val="center"/>
              <w:rPr>
                <w:rFonts w:eastAsia="Times New Roman"/>
                <w:color w:val="000000"/>
                <w:sz w:val="18"/>
                <w:szCs w:val="18"/>
              </w:rPr>
            </w:pPr>
            <w:r>
              <w:rPr>
                <w:rFonts w:eastAsia="Times New Roman"/>
                <w:color w:val="000000"/>
                <w:sz w:val="18"/>
                <w:szCs w:val="18"/>
              </w:rPr>
              <w:t>MPB (plasma)</w:t>
            </w:r>
          </w:p>
          <w:p w:rsidR="007C12C1" w:rsidRDefault="007C12C1" w:rsidP="007C12C1">
            <w:pPr>
              <w:spacing w:after="0"/>
              <w:jc w:val="center"/>
              <w:rPr>
                <w:rFonts w:eastAsia="Times New Roman"/>
                <w:color w:val="000000"/>
                <w:sz w:val="18"/>
                <w:szCs w:val="18"/>
              </w:rPr>
            </w:pPr>
            <w:r>
              <w:rPr>
                <w:rFonts w:eastAsia="Times New Roman"/>
                <w:color w:val="000000"/>
                <w:sz w:val="18"/>
                <w:szCs w:val="18"/>
              </w:rPr>
              <w:t>MPB (plasma)</w:t>
            </w:r>
          </w:p>
          <w:p w:rsidR="007C12C1" w:rsidRDefault="007C12C1" w:rsidP="007C12C1">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7C12C1" w:rsidRDefault="007C12C1" w:rsidP="007C12C1">
            <w:pPr>
              <w:spacing w:after="0"/>
              <w:jc w:val="center"/>
              <w:rPr>
                <w:rFonts w:eastAsia="Times New Roman"/>
                <w:color w:val="000000"/>
                <w:sz w:val="18"/>
                <w:szCs w:val="18"/>
              </w:rPr>
            </w:pPr>
            <w:r>
              <w:rPr>
                <w:rFonts w:eastAsia="Times New Roman"/>
                <w:color w:val="000000"/>
                <w:sz w:val="18"/>
                <w:szCs w:val="18"/>
              </w:rPr>
              <w:t>No difference Up in LOPE in 1</w:t>
            </w:r>
            <w:r w:rsidRPr="00A11751">
              <w:rPr>
                <w:rFonts w:eastAsia="Times New Roman"/>
                <w:color w:val="000000"/>
                <w:sz w:val="18"/>
                <w:szCs w:val="18"/>
                <w:vertAlign w:val="superscript"/>
              </w:rPr>
              <w:t>st</w:t>
            </w:r>
            <w:r>
              <w:rPr>
                <w:rFonts w:eastAsia="Times New Roman"/>
                <w:color w:val="000000"/>
                <w:sz w:val="18"/>
                <w:szCs w:val="18"/>
              </w:rPr>
              <w:t xml:space="preserve"> trimester</w:t>
            </w:r>
          </w:p>
          <w:p w:rsidR="007C12C1" w:rsidRDefault="007C12C1" w:rsidP="007C12C1">
            <w:pPr>
              <w:spacing w:after="0"/>
              <w:jc w:val="center"/>
              <w:rPr>
                <w:rFonts w:eastAsia="Times New Roman"/>
                <w:color w:val="000000"/>
                <w:sz w:val="18"/>
                <w:szCs w:val="18"/>
              </w:rPr>
            </w:pPr>
            <w:r>
              <w:rPr>
                <w:rFonts w:eastAsia="Times New Roman"/>
                <w:color w:val="000000"/>
                <w:sz w:val="18"/>
                <w:szCs w:val="18"/>
              </w:rPr>
              <w:t>No difference in LOPE in 2</w:t>
            </w:r>
            <w:r w:rsidRPr="00A11751">
              <w:rPr>
                <w:rFonts w:eastAsia="Times New Roman"/>
                <w:color w:val="000000"/>
                <w:sz w:val="18"/>
                <w:szCs w:val="18"/>
                <w:vertAlign w:val="superscript"/>
              </w:rPr>
              <w:t>nd</w:t>
            </w:r>
            <w:r>
              <w:rPr>
                <w:rFonts w:eastAsia="Times New Roman"/>
                <w:color w:val="000000"/>
                <w:sz w:val="18"/>
                <w:szCs w:val="18"/>
              </w:rPr>
              <w:t xml:space="preserve"> trimester</w:t>
            </w:r>
          </w:p>
          <w:p w:rsidR="007C12C1" w:rsidRDefault="007C12C1" w:rsidP="007C12C1">
            <w:pPr>
              <w:spacing w:after="0"/>
              <w:jc w:val="center"/>
              <w:rPr>
                <w:rFonts w:eastAsia="Times New Roman"/>
                <w:color w:val="000000"/>
                <w:sz w:val="18"/>
                <w:szCs w:val="18"/>
              </w:rPr>
            </w:pPr>
            <w:r>
              <w:rPr>
                <w:rFonts w:eastAsia="Times New Roman"/>
                <w:color w:val="000000"/>
                <w:sz w:val="18"/>
                <w:szCs w:val="18"/>
              </w:rPr>
              <w:t>Down in LOPE in 3</w:t>
            </w:r>
            <w:r w:rsidRPr="00A11751">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7C12C1" w:rsidRDefault="007C12C1" w:rsidP="009B2A14">
            <w:pPr>
              <w:spacing w:after="0"/>
              <w:jc w:val="center"/>
              <w:rPr>
                <w:rFonts w:eastAsia="Times New Roman"/>
                <w:color w:val="000000"/>
                <w:sz w:val="18"/>
                <w:szCs w:val="18"/>
              </w:rPr>
            </w:pPr>
            <w:r>
              <w:rPr>
                <w:rFonts w:eastAsia="Times New Roman"/>
                <w:color w:val="000000"/>
                <w:sz w:val="18"/>
                <w:szCs w:val="18"/>
              </w:rPr>
              <w:t>No</w:t>
            </w:r>
          </w:p>
          <w:p w:rsidR="007C12C1" w:rsidRDefault="007C12C1" w:rsidP="009B2A14">
            <w:pPr>
              <w:spacing w:after="0"/>
              <w:jc w:val="center"/>
              <w:rPr>
                <w:rFonts w:eastAsia="Times New Roman"/>
                <w:color w:val="000000"/>
                <w:sz w:val="18"/>
                <w:szCs w:val="18"/>
              </w:rPr>
            </w:pPr>
            <w:r>
              <w:rPr>
                <w:rFonts w:eastAsia="Times New Roman"/>
                <w:color w:val="000000"/>
                <w:sz w:val="18"/>
                <w:szCs w:val="18"/>
              </w:rPr>
              <w:t>No</w:t>
            </w:r>
          </w:p>
          <w:p w:rsidR="007C12C1" w:rsidRDefault="007C12C1" w:rsidP="009B2A14">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7C12C1" w:rsidRDefault="007C12C1" w:rsidP="007C12C1">
            <w:pPr>
              <w:spacing w:after="0"/>
              <w:jc w:val="center"/>
              <w:rPr>
                <w:sz w:val="18"/>
                <w:szCs w:val="18"/>
              </w:rPr>
            </w:pPr>
            <w:r>
              <w:rPr>
                <w:sz w:val="18"/>
                <w:szCs w:val="18"/>
              </w:rPr>
              <w:t>Devor 2020</w:t>
            </w:r>
          </w:p>
          <w:p w:rsidR="007C12C1" w:rsidRDefault="007C12C1" w:rsidP="007C12C1">
            <w:pPr>
              <w:spacing w:after="0"/>
              <w:jc w:val="center"/>
              <w:rPr>
                <w:sz w:val="18"/>
                <w:szCs w:val="18"/>
              </w:rPr>
            </w:pPr>
            <w:r>
              <w:rPr>
                <w:sz w:val="18"/>
                <w:szCs w:val="18"/>
              </w:rPr>
              <w:t>Devor 2020</w:t>
            </w:r>
          </w:p>
          <w:p w:rsidR="007C12C1" w:rsidRDefault="007C12C1" w:rsidP="007C12C1">
            <w:pPr>
              <w:spacing w:after="0"/>
              <w:jc w:val="center"/>
              <w:rPr>
                <w:sz w:val="18"/>
                <w:szCs w:val="18"/>
              </w:rPr>
            </w:pPr>
            <w:r>
              <w:rPr>
                <w:sz w:val="18"/>
                <w:szCs w:val="18"/>
              </w:rPr>
              <w:t>Devor 2020</w:t>
            </w:r>
          </w:p>
        </w:tc>
      </w:tr>
      <w:tr w:rsidR="00E71AE4" w:rsidRPr="004041DD" w:rsidTr="009B2A14">
        <w:trPr>
          <w:jc w:val="center"/>
        </w:trPr>
        <w:tc>
          <w:tcPr>
            <w:tcW w:w="0" w:type="auto"/>
            <w:vAlign w:val="center"/>
          </w:tcPr>
          <w:p w:rsidR="00E71AE4" w:rsidRDefault="00E71AE4" w:rsidP="009B2A14">
            <w:pPr>
              <w:spacing w:after="0"/>
              <w:jc w:val="center"/>
              <w:rPr>
                <w:rFonts w:eastAsia="Times New Roman"/>
                <w:color w:val="000000"/>
                <w:sz w:val="18"/>
                <w:szCs w:val="18"/>
              </w:rPr>
            </w:pPr>
            <w:r>
              <w:rPr>
                <w:rFonts w:eastAsia="Times New Roman"/>
                <w:color w:val="000000"/>
                <w:sz w:val="18"/>
                <w:szCs w:val="18"/>
              </w:rPr>
              <w:t>302c</w:t>
            </w:r>
          </w:p>
        </w:tc>
        <w:tc>
          <w:tcPr>
            <w:tcW w:w="0" w:type="auto"/>
            <w:vAlign w:val="center"/>
          </w:tcPr>
          <w:p w:rsidR="00E71AE4" w:rsidRDefault="00E71AE4" w:rsidP="00E71AE4">
            <w:pPr>
              <w:spacing w:after="0"/>
              <w:jc w:val="center"/>
              <w:rPr>
                <w:rFonts w:eastAsia="Times New Roman"/>
                <w:color w:val="000000"/>
                <w:sz w:val="18"/>
                <w:szCs w:val="18"/>
              </w:rPr>
            </w:pPr>
            <w:r>
              <w:rPr>
                <w:rFonts w:eastAsia="Times New Roman"/>
                <w:color w:val="000000"/>
                <w:sz w:val="18"/>
                <w:szCs w:val="18"/>
              </w:rPr>
              <w:t>MPB (plasma)</w:t>
            </w:r>
          </w:p>
          <w:p w:rsidR="00E71AE4" w:rsidRDefault="00E71AE4" w:rsidP="00E71AE4">
            <w:pPr>
              <w:spacing w:after="0"/>
              <w:jc w:val="center"/>
              <w:rPr>
                <w:rFonts w:eastAsia="Times New Roman"/>
                <w:color w:val="000000"/>
                <w:sz w:val="18"/>
                <w:szCs w:val="18"/>
              </w:rPr>
            </w:pPr>
            <w:r>
              <w:rPr>
                <w:rFonts w:eastAsia="Times New Roman"/>
                <w:color w:val="000000"/>
                <w:sz w:val="18"/>
                <w:szCs w:val="18"/>
              </w:rPr>
              <w:t>MPB (plasma)</w:t>
            </w:r>
          </w:p>
          <w:p w:rsidR="00E71AE4" w:rsidRDefault="00E71AE4" w:rsidP="00E71AE4">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E71AE4" w:rsidRDefault="00E71AE4" w:rsidP="007C12C1">
            <w:pPr>
              <w:spacing w:after="0"/>
              <w:jc w:val="center"/>
              <w:rPr>
                <w:rFonts w:eastAsia="Times New Roman"/>
                <w:color w:val="000000"/>
                <w:sz w:val="18"/>
                <w:szCs w:val="18"/>
              </w:rPr>
            </w:pPr>
            <w:r>
              <w:rPr>
                <w:rFonts w:eastAsia="Times New Roman"/>
                <w:color w:val="000000"/>
                <w:sz w:val="18"/>
                <w:szCs w:val="18"/>
              </w:rPr>
              <w:t>No difference in LOPE in 1</w:t>
            </w:r>
            <w:r w:rsidR="00E33D6E" w:rsidRPr="00E33D6E">
              <w:rPr>
                <w:rFonts w:eastAsia="Times New Roman"/>
                <w:color w:val="000000"/>
                <w:sz w:val="18"/>
                <w:szCs w:val="18"/>
                <w:vertAlign w:val="superscript"/>
              </w:rPr>
              <w:t>st</w:t>
            </w:r>
            <w:r>
              <w:rPr>
                <w:rFonts w:eastAsia="Times New Roman"/>
                <w:color w:val="000000"/>
                <w:sz w:val="18"/>
                <w:szCs w:val="18"/>
              </w:rPr>
              <w:t xml:space="preserve"> trimester</w:t>
            </w:r>
          </w:p>
          <w:p w:rsidR="00E71AE4" w:rsidRDefault="00E71AE4" w:rsidP="007C12C1">
            <w:pPr>
              <w:spacing w:after="0"/>
              <w:jc w:val="center"/>
              <w:rPr>
                <w:rFonts w:eastAsia="Times New Roman"/>
                <w:color w:val="000000"/>
                <w:sz w:val="18"/>
                <w:szCs w:val="18"/>
              </w:rPr>
            </w:pPr>
            <w:r>
              <w:rPr>
                <w:rFonts w:eastAsia="Times New Roman"/>
                <w:color w:val="000000"/>
                <w:sz w:val="18"/>
                <w:szCs w:val="18"/>
              </w:rPr>
              <w:t>No difference in LOPE in 2</w:t>
            </w:r>
            <w:r w:rsidR="00E33D6E" w:rsidRPr="00E33D6E">
              <w:rPr>
                <w:rFonts w:eastAsia="Times New Roman"/>
                <w:color w:val="000000"/>
                <w:sz w:val="18"/>
                <w:szCs w:val="18"/>
                <w:vertAlign w:val="superscript"/>
              </w:rPr>
              <w:t>nd</w:t>
            </w:r>
            <w:r>
              <w:rPr>
                <w:rFonts w:eastAsia="Times New Roman"/>
                <w:color w:val="000000"/>
                <w:sz w:val="18"/>
                <w:szCs w:val="18"/>
              </w:rPr>
              <w:t xml:space="preserve"> trimester</w:t>
            </w:r>
          </w:p>
          <w:p w:rsidR="00E71AE4" w:rsidRDefault="00E71AE4" w:rsidP="007C12C1">
            <w:pPr>
              <w:spacing w:after="0"/>
              <w:jc w:val="center"/>
              <w:rPr>
                <w:rFonts w:eastAsia="Times New Roman"/>
                <w:color w:val="000000"/>
                <w:sz w:val="18"/>
                <w:szCs w:val="18"/>
              </w:rPr>
            </w:pPr>
            <w:r>
              <w:rPr>
                <w:rFonts w:eastAsia="Times New Roman"/>
                <w:color w:val="000000"/>
                <w:sz w:val="18"/>
                <w:szCs w:val="18"/>
              </w:rPr>
              <w:t>Up in LOPE in 3</w:t>
            </w:r>
            <w:r w:rsidR="00E33D6E" w:rsidRPr="00E33D6E">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E71AE4" w:rsidRDefault="00F91A50" w:rsidP="009B2A14">
            <w:pPr>
              <w:spacing w:after="0"/>
              <w:jc w:val="center"/>
              <w:rPr>
                <w:rFonts w:eastAsia="Times New Roman"/>
                <w:color w:val="000000"/>
                <w:sz w:val="18"/>
                <w:szCs w:val="18"/>
              </w:rPr>
            </w:pPr>
            <w:r>
              <w:rPr>
                <w:rFonts w:eastAsia="Times New Roman"/>
                <w:color w:val="000000"/>
                <w:sz w:val="18"/>
                <w:szCs w:val="18"/>
              </w:rPr>
              <w:t>No</w:t>
            </w:r>
          </w:p>
          <w:p w:rsidR="00F91A50" w:rsidRDefault="00F91A50" w:rsidP="009B2A14">
            <w:pPr>
              <w:spacing w:after="0"/>
              <w:jc w:val="center"/>
              <w:rPr>
                <w:rFonts w:eastAsia="Times New Roman"/>
                <w:color w:val="000000"/>
                <w:sz w:val="18"/>
                <w:szCs w:val="18"/>
              </w:rPr>
            </w:pPr>
            <w:r>
              <w:rPr>
                <w:rFonts w:eastAsia="Times New Roman"/>
                <w:color w:val="000000"/>
                <w:sz w:val="18"/>
                <w:szCs w:val="18"/>
              </w:rPr>
              <w:t>No</w:t>
            </w:r>
          </w:p>
          <w:p w:rsidR="00F91A50" w:rsidRDefault="00F91A50" w:rsidP="009B2A14">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E71AE4" w:rsidRDefault="00E71AE4" w:rsidP="00E71AE4">
            <w:pPr>
              <w:spacing w:after="0"/>
              <w:jc w:val="center"/>
              <w:rPr>
                <w:sz w:val="18"/>
                <w:szCs w:val="18"/>
              </w:rPr>
            </w:pPr>
            <w:r>
              <w:rPr>
                <w:sz w:val="18"/>
                <w:szCs w:val="18"/>
              </w:rPr>
              <w:t>Devor 2020</w:t>
            </w:r>
          </w:p>
          <w:p w:rsidR="00E71AE4" w:rsidRDefault="00E71AE4" w:rsidP="00E71AE4">
            <w:pPr>
              <w:spacing w:after="0"/>
              <w:jc w:val="center"/>
              <w:rPr>
                <w:sz w:val="18"/>
                <w:szCs w:val="18"/>
              </w:rPr>
            </w:pPr>
            <w:r>
              <w:rPr>
                <w:sz w:val="18"/>
                <w:szCs w:val="18"/>
              </w:rPr>
              <w:t>Devor 2020</w:t>
            </w:r>
          </w:p>
          <w:p w:rsidR="00E71AE4" w:rsidRDefault="00E71AE4" w:rsidP="00E71AE4">
            <w:pPr>
              <w:spacing w:after="0"/>
              <w:jc w:val="center"/>
              <w:rPr>
                <w:sz w:val="18"/>
                <w:szCs w:val="18"/>
              </w:rPr>
            </w:pPr>
            <w:r>
              <w:rPr>
                <w:sz w:val="18"/>
                <w:szCs w:val="18"/>
              </w:rPr>
              <w:t>Devor 2020</w:t>
            </w:r>
          </w:p>
        </w:tc>
      </w:tr>
      <w:tr w:rsidR="00E71AE4" w:rsidRPr="004041DD" w:rsidTr="009B2A14">
        <w:trPr>
          <w:jc w:val="center"/>
        </w:trPr>
        <w:tc>
          <w:tcPr>
            <w:tcW w:w="0" w:type="auto"/>
            <w:vAlign w:val="center"/>
          </w:tcPr>
          <w:p w:rsidR="00E71AE4" w:rsidRDefault="00E71AE4" w:rsidP="009B2A14">
            <w:pPr>
              <w:spacing w:after="0"/>
              <w:jc w:val="center"/>
              <w:rPr>
                <w:rFonts w:eastAsia="Times New Roman"/>
                <w:color w:val="000000"/>
                <w:sz w:val="18"/>
                <w:szCs w:val="18"/>
              </w:rPr>
            </w:pPr>
            <w:r>
              <w:rPr>
                <w:rFonts w:eastAsia="Times New Roman"/>
                <w:color w:val="000000"/>
                <w:sz w:val="18"/>
                <w:szCs w:val="18"/>
              </w:rPr>
              <w:t>346</w:t>
            </w:r>
          </w:p>
        </w:tc>
        <w:tc>
          <w:tcPr>
            <w:tcW w:w="0" w:type="auto"/>
            <w:vAlign w:val="center"/>
          </w:tcPr>
          <w:p w:rsidR="00E71AE4" w:rsidRDefault="00E71AE4" w:rsidP="00E71AE4">
            <w:pPr>
              <w:spacing w:after="0"/>
              <w:jc w:val="center"/>
              <w:rPr>
                <w:rFonts w:eastAsia="Times New Roman"/>
                <w:color w:val="000000"/>
                <w:sz w:val="18"/>
                <w:szCs w:val="18"/>
              </w:rPr>
            </w:pPr>
            <w:r>
              <w:rPr>
                <w:rFonts w:eastAsia="Times New Roman"/>
                <w:color w:val="000000"/>
                <w:sz w:val="18"/>
                <w:szCs w:val="18"/>
              </w:rPr>
              <w:t>MPB (plasma)</w:t>
            </w:r>
          </w:p>
          <w:p w:rsidR="00E71AE4" w:rsidRDefault="00E71AE4" w:rsidP="00E71AE4">
            <w:pPr>
              <w:spacing w:after="0"/>
              <w:jc w:val="center"/>
              <w:rPr>
                <w:rFonts w:eastAsia="Times New Roman"/>
                <w:color w:val="000000"/>
                <w:sz w:val="18"/>
                <w:szCs w:val="18"/>
              </w:rPr>
            </w:pPr>
            <w:r>
              <w:rPr>
                <w:rFonts w:eastAsia="Times New Roman"/>
                <w:color w:val="000000"/>
                <w:sz w:val="18"/>
                <w:szCs w:val="18"/>
              </w:rPr>
              <w:t>MPB (plasma)</w:t>
            </w:r>
          </w:p>
          <w:p w:rsidR="00E71AE4" w:rsidRDefault="00E71AE4" w:rsidP="00E71AE4">
            <w:pPr>
              <w:spacing w:after="0"/>
              <w:jc w:val="center"/>
              <w:rPr>
                <w:rFonts w:eastAsia="Times New Roman"/>
                <w:color w:val="000000"/>
                <w:sz w:val="18"/>
                <w:szCs w:val="18"/>
              </w:rPr>
            </w:pPr>
            <w:r>
              <w:rPr>
                <w:rFonts w:eastAsia="Times New Roman"/>
                <w:color w:val="000000"/>
                <w:sz w:val="18"/>
                <w:szCs w:val="18"/>
              </w:rPr>
              <w:lastRenderedPageBreak/>
              <w:t>MPB (plasma)</w:t>
            </w:r>
          </w:p>
        </w:tc>
        <w:tc>
          <w:tcPr>
            <w:tcW w:w="0" w:type="auto"/>
            <w:vAlign w:val="center"/>
          </w:tcPr>
          <w:p w:rsidR="00E71AE4" w:rsidRDefault="00E71AE4" w:rsidP="00E71AE4">
            <w:pPr>
              <w:spacing w:after="0"/>
              <w:jc w:val="center"/>
              <w:rPr>
                <w:rFonts w:eastAsia="Times New Roman"/>
                <w:color w:val="000000"/>
                <w:sz w:val="18"/>
                <w:szCs w:val="18"/>
              </w:rPr>
            </w:pPr>
            <w:r>
              <w:rPr>
                <w:rFonts w:eastAsia="Times New Roman"/>
                <w:color w:val="000000"/>
                <w:sz w:val="18"/>
                <w:szCs w:val="18"/>
              </w:rPr>
              <w:lastRenderedPageBreak/>
              <w:t>No difference in LOPE in 1</w:t>
            </w:r>
            <w:r w:rsidRPr="00E71AE4">
              <w:rPr>
                <w:rFonts w:eastAsia="Times New Roman"/>
                <w:color w:val="000000"/>
                <w:sz w:val="18"/>
                <w:szCs w:val="18"/>
                <w:vertAlign w:val="superscript"/>
              </w:rPr>
              <w:t>st</w:t>
            </w:r>
            <w:r>
              <w:rPr>
                <w:rFonts w:eastAsia="Times New Roman"/>
                <w:color w:val="000000"/>
                <w:sz w:val="18"/>
                <w:szCs w:val="18"/>
              </w:rPr>
              <w:t xml:space="preserve"> trimester</w:t>
            </w:r>
          </w:p>
          <w:p w:rsidR="00E71AE4" w:rsidRDefault="00E71AE4" w:rsidP="00E71AE4">
            <w:pPr>
              <w:spacing w:after="0"/>
              <w:jc w:val="center"/>
              <w:rPr>
                <w:rFonts w:eastAsia="Times New Roman"/>
                <w:color w:val="000000"/>
                <w:sz w:val="18"/>
                <w:szCs w:val="18"/>
              </w:rPr>
            </w:pPr>
            <w:r>
              <w:rPr>
                <w:rFonts w:eastAsia="Times New Roman"/>
                <w:color w:val="000000"/>
                <w:sz w:val="18"/>
                <w:szCs w:val="18"/>
              </w:rPr>
              <w:t>No difference in LOPE in 2</w:t>
            </w:r>
            <w:r w:rsidRPr="00E71AE4">
              <w:rPr>
                <w:rFonts w:eastAsia="Times New Roman"/>
                <w:color w:val="000000"/>
                <w:sz w:val="18"/>
                <w:szCs w:val="18"/>
                <w:vertAlign w:val="superscript"/>
              </w:rPr>
              <w:t>nd</w:t>
            </w:r>
            <w:r>
              <w:rPr>
                <w:rFonts w:eastAsia="Times New Roman"/>
                <w:color w:val="000000"/>
                <w:sz w:val="18"/>
                <w:szCs w:val="18"/>
              </w:rPr>
              <w:t xml:space="preserve"> trimester</w:t>
            </w:r>
          </w:p>
          <w:p w:rsidR="00E71AE4" w:rsidRDefault="00E71AE4" w:rsidP="00E71AE4">
            <w:pPr>
              <w:spacing w:after="0"/>
              <w:jc w:val="center"/>
              <w:rPr>
                <w:rFonts w:eastAsia="Times New Roman"/>
                <w:color w:val="000000"/>
                <w:sz w:val="18"/>
                <w:szCs w:val="18"/>
              </w:rPr>
            </w:pPr>
            <w:r>
              <w:rPr>
                <w:rFonts w:eastAsia="Times New Roman"/>
                <w:color w:val="000000"/>
                <w:sz w:val="18"/>
                <w:szCs w:val="18"/>
              </w:rPr>
              <w:lastRenderedPageBreak/>
              <w:t>Up in LOPE in 3</w:t>
            </w:r>
            <w:r w:rsidRPr="00E71AE4">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F91A50" w:rsidRDefault="00F91A50" w:rsidP="00F91A50">
            <w:pPr>
              <w:spacing w:after="0"/>
              <w:jc w:val="center"/>
              <w:rPr>
                <w:rFonts w:eastAsia="Times New Roman"/>
                <w:color w:val="000000"/>
                <w:sz w:val="18"/>
                <w:szCs w:val="18"/>
              </w:rPr>
            </w:pPr>
            <w:r>
              <w:rPr>
                <w:rFonts w:eastAsia="Times New Roman"/>
                <w:color w:val="000000"/>
                <w:sz w:val="18"/>
                <w:szCs w:val="18"/>
              </w:rPr>
              <w:lastRenderedPageBreak/>
              <w:t>No</w:t>
            </w:r>
          </w:p>
          <w:p w:rsidR="00F91A50" w:rsidRDefault="00F91A50" w:rsidP="00F91A50">
            <w:pPr>
              <w:spacing w:after="0"/>
              <w:jc w:val="center"/>
              <w:rPr>
                <w:rFonts w:eastAsia="Times New Roman"/>
                <w:color w:val="000000"/>
                <w:sz w:val="18"/>
                <w:szCs w:val="18"/>
              </w:rPr>
            </w:pPr>
            <w:r>
              <w:rPr>
                <w:rFonts w:eastAsia="Times New Roman"/>
                <w:color w:val="000000"/>
                <w:sz w:val="18"/>
                <w:szCs w:val="18"/>
              </w:rPr>
              <w:t>No</w:t>
            </w:r>
          </w:p>
          <w:p w:rsidR="00E71AE4" w:rsidRDefault="00F91A50" w:rsidP="00F91A50">
            <w:pPr>
              <w:spacing w:after="0"/>
              <w:jc w:val="center"/>
              <w:rPr>
                <w:rFonts w:eastAsia="Times New Roman"/>
                <w:color w:val="000000"/>
                <w:sz w:val="18"/>
                <w:szCs w:val="18"/>
              </w:rPr>
            </w:pPr>
            <w:r>
              <w:rPr>
                <w:rFonts w:eastAsia="Times New Roman"/>
                <w:color w:val="000000"/>
                <w:sz w:val="18"/>
                <w:szCs w:val="18"/>
              </w:rPr>
              <w:lastRenderedPageBreak/>
              <w:t>Yes</w:t>
            </w:r>
          </w:p>
        </w:tc>
        <w:tc>
          <w:tcPr>
            <w:tcW w:w="0" w:type="auto"/>
            <w:vAlign w:val="center"/>
          </w:tcPr>
          <w:p w:rsidR="00E71AE4" w:rsidRDefault="00E71AE4" w:rsidP="00E71AE4">
            <w:pPr>
              <w:spacing w:after="0"/>
              <w:jc w:val="center"/>
              <w:rPr>
                <w:sz w:val="18"/>
                <w:szCs w:val="18"/>
              </w:rPr>
            </w:pPr>
            <w:r>
              <w:rPr>
                <w:sz w:val="18"/>
                <w:szCs w:val="18"/>
              </w:rPr>
              <w:lastRenderedPageBreak/>
              <w:t>Devor 2020</w:t>
            </w:r>
          </w:p>
          <w:p w:rsidR="00E71AE4" w:rsidRDefault="00E71AE4" w:rsidP="00E71AE4">
            <w:pPr>
              <w:spacing w:after="0"/>
              <w:jc w:val="center"/>
              <w:rPr>
                <w:sz w:val="18"/>
                <w:szCs w:val="18"/>
              </w:rPr>
            </w:pPr>
            <w:r>
              <w:rPr>
                <w:sz w:val="18"/>
                <w:szCs w:val="18"/>
              </w:rPr>
              <w:t>Devor 2020</w:t>
            </w:r>
          </w:p>
          <w:p w:rsidR="00E71AE4" w:rsidRDefault="00E71AE4" w:rsidP="00E71AE4">
            <w:pPr>
              <w:spacing w:after="0"/>
              <w:jc w:val="center"/>
              <w:rPr>
                <w:sz w:val="18"/>
                <w:szCs w:val="18"/>
              </w:rPr>
            </w:pPr>
            <w:r>
              <w:rPr>
                <w:sz w:val="18"/>
                <w:szCs w:val="18"/>
              </w:rPr>
              <w:lastRenderedPageBreak/>
              <w:t>Devor 2020</w:t>
            </w:r>
          </w:p>
        </w:tc>
      </w:tr>
      <w:tr w:rsidR="00A625DE" w:rsidRPr="004041DD" w:rsidTr="009B2A14">
        <w:trPr>
          <w:jc w:val="center"/>
        </w:trPr>
        <w:tc>
          <w:tcPr>
            <w:tcW w:w="0" w:type="auto"/>
            <w:vAlign w:val="center"/>
          </w:tcPr>
          <w:p w:rsidR="00A625DE" w:rsidRDefault="00A625DE" w:rsidP="009B2A14">
            <w:pPr>
              <w:spacing w:after="0"/>
              <w:jc w:val="center"/>
              <w:rPr>
                <w:rFonts w:eastAsia="Times New Roman"/>
                <w:color w:val="000000"/>
                <w:sz w:val="18"/>
                <w:szCs w:val="18"/>
              </w:rPr>
            </w:pPr>
            <w:r>
              <w:rPr>
                <w:rFonts w:eastAsia="Times New Roman"/>
                <w:color w:val="000000"/>
                <w:sz w:val="18"/>
                <w:szCs w:val="18"/>
              </w:rPr>
              <w:lastRenderedPageBreak/>
              <w:t>486-3p</w:t>
            </w:r>
          </w:p>
        </w:tc>
        <w:tc>
          <w:tcPr>
            <w:tcW w:w="0" w:type="auto"/>
            <w:vAlign w:val="center"/>
          </w:tcPr>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A625DE" w:rsidRDefault="00A625DE" w:rsidP="00A625DE">
            <w:pPr>
              <w:spacing w:after="0"/>
              <w:jc w:val="center"/>
              <w:rPr>
                <w:rFonts w:eastAsia="Times New Roman"/>
                <w:color w:val="000000"/>
                <w:sz w:val="18"/>
                <w:szCs w:val="18"/>
              </w:rPr>
            </w:pPr>
            <w:r>
              <w:rPr>
                <w:rFonts w:eastAsia="Times New Roman"/>
                <w:color w:val="000000"/>
                <w:sz w:val="18"/>
                <w:szCs w:val="18"/>
              </w:rPr>
              <w:t>Up in LOPE in 1</w:t>
            </w:r>
            <w:r w:rsidRPr="00A11751">
              <w:rPr>
                <w:rFonts w:eastAsia="Times New Roman"/>
                <w:color w:val="000000"/>
                <w:sz w:val="18"/>
                <w:szCs w:val="18"/>
                <w:vertAlign w:val="superscript"/>
              </w:rPr>
              <w:t>st</w:t>
            </w:r>
            <w:r>
              <w:rPr>
                <w:rFonts w:eastAsia="Times New Roman"/>
                <w:color w:val="000000"/>
                <w:sz w:val="18"/>
                <w:szCs w:val="18"/>
              </w:rPr>
              <w:t xml:space="preserve"> trimester</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No difference in LOPE in 2</w:t>
            </w:r>
            <w:r w:rsidRPr="00A11751">
              <w:rPr>
                <w:rFonts w:eastAsia="Times New Roman"/>
                <w:color w:val="000000"/>
                <w:sz w:val="18"/>
                <w:szCs w:val="18"/>
                <w:vertAlign w:val="superscript"/>
              </w:rPr>
              <w:t>nd</w:t>
            </w:r>
            <w:r>
              <w:rPr>
                <w:rFonts w:eastAsia="Times New Roman"/>
                <w:color w:val="000000"/>
                <w:sz w:val="18"/>
                <w:szCs w:val="18"/>
              </w:rPr>
              <w:t xml:space="preserve"> trimester</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No difference in LOPE in 3</w:t>
            </w:r>
            <w:r w:rsidRPr="00A11751">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A625DE" w:rsidRDefault="00F91A50" w:rsidP="009B2A14">
            <w:pPr>
              <w:spacing w:after="0"/>
              <w:jc w:val="center"/>
              <w:rPr>
                <w:rFonts w:eastAsia="Times New Roman"/>
                <w:color w:val="000000"/>
                <w:sz w:val="18"/>
                <w:szCs w:val="18"/>
              </w:rPr>
            </w:pPr>
            <w:r>
              <w:rPr>
                <w:rFonts w:eastAsia="Times New Roman"/>
                <w:color w:val="000000"/>
                <w:sz w:val="18"/>
                <w:szCs w:val="18"/>
              </w:rPr>
              <w:t>Yes</w:t>
            </w:r>
          </w:p>
          <w:p w:rsidR="00F91A50" w:rsidRDefault="00F91A50" w:rsidP="009B2A14">
            <w:pPr>
              <w:spacing w:after="0"/>
              <w:jc w:val="center"/>
              <w:rPr>
                <w:rFonts w:eastAsia="Times New Roman"/>
                <w:color w:val="000000"/>
                <w:sz w:val="18"/>
                <w:szCs w:val="18"/>
              </w:rPr>
            </w:pPr>
            <w:r>
              <w:rPr>
                <w:rFonts w:eastAsia="Times New Roman"/>
                <w:color w:val="000000"/>
                <w:sz w:val="18"/>
                <w:szCs w:val="18"/>
              </w:rPr>
              <w:t>No</w:t>
            </w:r>
          </w:p>
          <w:p w:rsidR="00F91A50" w:rsidRDefault="00F91A50" w:rsidP="009B2A14">
            <w:pPr>
              <w:spacing w:after="0"/>
              <w:jc w:val="center"/>
              <w:rPr>
                <w:rFonts w:eastAsia="Times New Roman"/>
                <w:color w:val="000000"/>
                <w:sz w:val="18"/>
                <w:szCs w:val="18"/>
              </w:rPr>
            </w:pPr>
            <w:r>
              <w:rPr>
                <w:rFonts w:eastAsia="Times New Roman"/>
                <w:color w:val="000000"/>
                <w:sz w:val="18"/>
                <w:szCs w:val="18"/>
              </w:rPr>
              <w:t>No</w:t>
            </w:r>
          </w:p>
        </w:tc>
        <w:tc>
          <w:tcPr>
            <w:tcW w:w="0" w:type="auto"/>
            <w:vAlign w:val="center"/>
          </w:tcPr>
          <w:p w:rsidR="00A625DE" w:rsidRDefault="00A625DE" w:rsidP="00A625DE">
            <w:pPr>
              <w:spacing w:after="0"/>
              <w:jc w:val="center"/>
              <w:rPr>
                <w:sz w:val="18"/>
                <w:szCs w:val="18"/>
              </w:rPr>
            </w:pPr>
            <w:r>
              <w:rPr>
                <w:sz w:val="18"/>
                <w:szCs w:val="18"/>
              </w:rPr>
              <w:t>Devor 2020</w:t>
            </w:r>
          </w:p>
          <w:p w:rsidR="00A625DE" w:rsidRDefault="00A625DE" w:rsidP="00A625DE">
            <w:pPr>
              <w:spacing w:after="0"/>
              <w:jc w:val="center"/>
              <w:rPr>
                <w:sz w:val="18"/>
                <w:szCs w:val="18"/>
              </w:rPr>
            </w:pPr>
            <w:r>
              <w:rPr>
                <w:sz w:val="18"/>
                <w:szCs w:val="18"/>
              </w:rPr>
              <w:t>Devor 2020</w:t>
            </w:r>
          </w:p>
          <w:p w:rsidR="00A625DE" w:rsidRDefault="00A625DE" w:rsidP="00A625DE">
            <w:pPr>
              <w:spacing w:after="0"/>
              <w:jc w:val="center"/>
              <w:rPr>
                <w:sz w:val="18"/>
                <w:szCs w:val="18"/>
              </w:rPr>
            </w:pPr>
            <w:r>
              <w:rPr>
                <w:sz w:val="18"/>
                <w:szCs w:val="18"/>
              </w:rPr>
              <w:t>Devor 2020</w:t>
            </w:r>
          </w:p>
        </w:tc>
      </w:tr>
      <w:tr w:rsidR="00A625DE" w:rsidRPr="004041DD" w:rsidTr="009B2A14">
        <w:trPr>
          <w:jc w:val="center"/>
        </w:trPr>
        <w:tc>
          <w:tcPr>
            <w:tcW w:w="0" w:type="auto"/>
            <w:vAlign w:val="center"/>
          </w:tcPr>
          <w:p w:rsidR="00A625DE" w:rsidRDefault="00A625DE" w:rsidP="009B2A14">
            <w:pPr>
              <w:spacing w:after="0"/>
              <w:jc w:val="center"/>
              <w:rPr>
                <w:rFonts w:eastAsia="Times New Roman"/>
                <w:color w:val="000000"/>
                <w:sz w:val="18"/>
                <w:szCs w:val="18"/>
              </w:rPr>
            </w:pPr>
            <w:r>
              <w:rPr>
                <w:rFonts w:eastAsia="Times New Roman"/>
                <w:color w:val="000000"/>
                <w:sz w:val="18"/>
                <w:szCs w:val="18"/>
              </w:rPr>
              <w:t>590-5p</w:t>
            </w:r>
          </w:p>
        </w:tc>
        <w:tc>
          <w:tcPr>
            <w:tcW w:w="0" w:type="auto"/>
            <w:vAlign w:val="center"/>
          </w:tcPr>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A625DE" w:rsidRDefault="00A625DE" w:rsidP="00A625DE">
            <w:pPr>
              <w:spacing w:after="0"/>
              <w:jc w:val="center"/>
              <w:rPr>
                <w:rFonts w:eastAsia="Times New Roman"/>
                <w:color w:val="000000"/>
                <w:sz w:val="18"/>
                <w:szCs w:val="18"/>
              </w:rPr>
            </w:pPr>
            <w:r>
              <w:rPr>
                <w:rFonts w:eastAsia="Times New Roman"/>
                <w:color w:val="000000"/>
                <w:sz w:val="18"/>
                <w:szCs w:val="18"/>
              </w:rPr>
              <w:t>Up in LOPE in 1</w:t>
            </w:r>
            <w:r w:rsidRPr="00A11751">
              <w:rPr>
                <w:rFonts w:eastAsia="Times New Roman"/>
                <w:color w:val="000000"/>
                <w:sz w:val="18"/>
                <w:szCs w:val="18"/>
                <w:vertAlign w:val="superscript"/>
              </w:rPr>
              <w:t>st</w:t>
            </w:r>
            <w:r>
              <w:rPr>
                <w:rFonts w:eastAsia="Times New Roman"/>
                <w:color w:val="000000"/>
                <w:sz w:val="18"/>
                <w:szCs w:val="18"/>
              </w:rPr>
              <w:t xml:space="preserve"> trimester</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No difference in LOPE in 2</w:t>
            </w:r>
            <w:r w:rsidRPr="00A11751">
              <w:rPr>
                <w:rFonts w:eastAsia="Times New Roman"/>
                <w:color w:val="000000"/>
                <w:sz w:val="18"/>
                <w:szCs w:val="18"/>
                <w:vertAlign w:val="superscript"/>
              </w:rPr>
              <w:t>nd</w:t>
            </w:r>
            <w:r>
              <w:rPr>
                <w:rFonts w:eastAsia="Times New Roman"/>
                <w:color w:val="000000"/>
                <w:sz w:val="18"/>
                <w:szCs w:val="18"/>
              </w:rPr>
              <w:t xml:space="preserve"> trimester</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No difference in LOPE in 3</w:t>
            </w:r>
            <w:r w:rsidRPr="00A11751">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F91A50" w:rsidRDefault="00F91A50" w:rsidP="00F91A50">
            <w:pPr>
              <w:spacing w:after="0"/>
              <w:jc w:val="center"/>
              <w:rPr>
                <w:rFonts w:eastAsia="Times New Roman"/>
                <w:color w:val="000000"/>
                <w:sz w:val="18"/>
                <w:szCs w:val="18"/>
              </w:rPr>
            </w:pPr>
            <w:r>
              <w:rPr>
                <w:rFonts w:eastAsia="Times New Roman"/>
                <w:color w:val="000000"/>
                <w:sz w:val="18"/>
                <w:szCs w:val="18"/>
              </w:rPr>
              <w:t>Yes</w:t>
            </w:r>
          </w:p>
          <w:p w:rsidR="00F91A50" w:rsidRDefault="00F91A50" w:rsidP="00F91A50">
            <w:pPr>
              <w:spacing w:after="0"/>
              <w:jc w:val="center"/>
              <w:rPr>
                <w:rFonts w:eastAsia="Times New Roman"/>
                <w:color w:val="000000"/>
                <w:sz w:val="18"/>
                <w:szCs w:val="18"/>
              </w:rPr>
            </w:pPr>
            <w:r>
              <w:rPr>
                <w:rFonts w:eastAsia="Times New Roman"/>
                <w:color w:val="000000"/>
                <w:sz w:val="18"/>
                <w:szCs w:val="18"/>
              </w:rPr>
              <w:t>No</w:t>
            </w:r>
          </w:p>
          <w:p w:rsidR="00A625DE" w:rsidRDefault="00F91A50" w:rsidP="00F91A50">
            <w:pPr>
              <w:spacing w:after="0"/>
              <w:jc w:val="center"/>
              <w:rPr>
                <w:rFonts w:eastAsia="Times New Roman"/>
                <w:color w:val="000000"/>
                <w:sz w:val="18"/>
                <w:szCs w:val="18"/>
              </w:rPr>
            </w:pPr>
            <w:r>
              <w:rPr>
                <w:rFonts w:eastAsia="Times New Roman"/>
                <w:color w:val="000000"/>
                <w:sz w:val="18"/>
                <w:szCs w:val="18"/>
              </w:rPr>
              <w:t>No</w:t>
            </w:r>
          </w:p>
        </w:tc>
        <w:tc>
          <w:tcPr>
            <w:tcW w:w="0" w:type="auto"/>
            <w:vAlign w:val="center"/>
          </w:tcPr>
          <w:p w:rsidR="00A625DE" w:rsidRDefault="00A625DE" w:rsidP="00A625DE">
            <w:pPr>
              <w:spacing w:after="0"/>
              <w:jc w:val="center"/>
              <w:rPr>
                <w:sz w:val="18"/>
                <w:szCs w:val="18"/>
              </w:rPr>
            </w:pPr>
            <w:r>
              <w:rPr>
                <w:sz w:val="18"/>
                <w:szCs w:val="18"/>
              </w:rPr>
              <w:t>Devor 2020</w:t>
            </w:r>
          </w:p>
          <w:p w:rsidR="00A625DE" w:rsidRDefault="00A625DE" w:rsidP="00A625DE">
            <w:pPr>
              <w:spacing w:after="0"/>
              <w:jc w:val="center"/>
              <w:rPr>
                <w:sz w:val="18"/>
                <w:szCs w:val="18"/>
              </w:rPr>
            </w:pPr>
            <w:r>
              <w:rPr>
                <w:sz w:val="18"/>
                <w:szCs w:val="18"/>
              </w:rPr>
              <w:t>Devor 2020</w:t>
            </w:r>
          </w:p>
          <w:p w:rsidR="00A625DE" w:rsidRDefault="00A625DE" w:rsidP="00A625DE">
            <w:pPr>
              <w:spacing w:after="0"/>
              <w:jc w:val="center"/>
              <w:rPr>
                <w:sz w:val="18"/>
                <w:szCs w:val="18"/>
              </w:rPr>
            </w:pPr>
            <w:r>
              <w:rPr>
                <w:sz w:val="18"/>
                <w:szCs w:val="18"/>
              </w:rPr>
              <w:t>Devor 2020</w:t>
            </w:r>
          </w:p>
        </w:tc>
      </w:tr>
      <w:tr w:rsidR="00A625DE" w:rsidRPr="004041DD" w:rsidTr="009B2A14">
        <w:trPr>
          <w:jc w:val="center"/>
        </w:trPr>
        <w:tc>
          <w:tcPr>
            <w:tcW w:w="0" w:type="auto"/>
            <w:vAlign w:val="center"/>
          </w:tcPr>
          <w:p w:rsidR="00A625DE" w:rsidRDefault="00A625DE" w:rsidP="009B2A14">
            <w:pPr>
              <w:spacing w:after="0"/>
              <w:jc w:val="center"/>
              <w:rPr>
                <w:rFonts w:eastAsia="Times New Roman"/>
                <w:color w:val="000000"/>
                <w:sz w:val="18"/>
                <w:szCs w:val="18"/>
              </w:rPr>
            </w:pPr>
            <w:r>
              <w:rPr>
                <w:rFonts w:eastAsia="Times New Roman"/>
                <w:color w:val="000000"/>
                <w:sz w:val="18"/>
                <w:szCs w:val="18"/>
              </w:rPr>
              <w:t>618</w:t>
            </w:r>
          </w:p>
        </w:tc>
        <w:tc>
          <w:tcPr>
            <w:tcW w:w="0" w:type="auto"/>
            <w:vAlign w:val="center"/>
          </w:tcPr>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MPB (plasma)</w:t>
            </w:r>
          </w:p>
        </w:tc>
        <w:tc>
          <w:tcPr>
            <w:tcW w:w="0" w:type="auto"/>
            <w:vAlign w:val="center"/>
          </w:tcPr>
          <w:p w:rsidR="00A625DE" w:rsidRDefault="00A625DE" w:rsidP="00A625DE">
            <w:pPr>
              <w:spacing w:after="0"/>
              <w:jc w:val="center"/>
              <w:rPr>
                <w:rFonts w:eastAsia="Times New Roman"/>
                <w:color w:val="000000"/>
                <w:sz w:val="18"/>
                <w:szCs w:val="18"/>
              </w:rPr>
            </w:pPr>
            <w:r>
              <w:rPr>
                <w:rFonts w:eastAsia="Times New Roman"/>
                <w:color w:val="000000"/>
                <w:sz w:val="18"/>
                <w:szCs w:val="18"/>
              </w:rPr>
              <w:t>No difference in LOPE in 1</w:t>
            </w:r>
            <w:r w:rsidRPr="00E71AE4">
              <w:rPr>
                <w:rFonts w:eastAsia="Times New Roman"/>
                <w:color w:val="000000"/>
                <w:sz w:val="18"/>
                <w:szCs w:val="18"/>
                <w:vertAlign w:val="superscript"/>
              </w:rPr>
              <w:t>st</w:t>
            </w:r>
            <w:r>
              <w:rPr>
                <w:rFonts w:eastAsia="Times New Roman"/>
                <w:color w:val="000000"/>
                <w:sz w:val="18"/>
                <w:szCs w:val="18"/>
              </w:rPr>
              <w:t xml:space="preserve"> trimester</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No difference in LOPE in 2</w:t>
            </w:r>
            <w:r w:rsidRPr="00E71AE4">
              <w:rPr>
                <w:rFonts w:eastAsia="Times New Roman"/>
                <w:color w:val="000000"/>
                <w:sz w:val="18"/>
                <w:szCs w:val="18"/>
                <w:vertAlign w:val="superscript"/>
              </w:rPr>
              <w:t>nd</w:t>
            </w:r>
            <w:r>
              <w:rPr>
                <w:rFonts w:eastAsia="Times New Roman"/>
                <w:color w:val="000000"/>
                <w:sz w:val="18"/>
                <w:szCs w:val="18"/>
              </w:rPr>
              <w:t xml:space="preserve"> trimester</w:t>
            </w:r>
          </w:p>
          <w:p w:rsidR="00A625DE" w:rsidRDefault="00A625DE" w:rsidP="00A625DE">
            <w:pPr>
              <w:spacing w:after="0"/>
              <w:jc w:val="center"/>
              <w:rPr>
                <w:rFonts w:eastAsia="Times New Roman"/>
                <w:color w:val="000000"/>
                <w:sz w:val="18"/>
                <w:szCs w:val="18"/>
              </w:rPr>
            </w:pPr>
            <w:r>
              <w:rPr>
                <w:rFonts w:eastAsia="Times New Roman"/>
                <w:color w:val="000000"/>
                <w:sz w:val="18"/>
                <w:szCs w:val="18"/>
              </w:rPr>
              <w:t>Up in LOPE in 3</w:t>
            </w:r>
            <w:r w:rsidRPr="00E71AE4">
              <w:rPr>
                <w:rFonts w:eastAsia="Times New Roman"/>
                <w:color w:val="000000"/>
                <w:sz w:val="18"/>
                <w:szCs w:val="18"/>
                <w:vertAlign w:val="superscript"/>
              </w:rPr>
              <w:t>rd</w:t>
            </w:r>
            <w:r>
              <w:rPr>
                <w:rFonts w:eastAsia="Times New Roman"/>
                <w:color w:val="000000"/>
                <w:sz w:val="18"/>
                <w:szCs w:val="18"/>
              </w:rPr>
              <w:t xml:space="preserve"> trimester</w:t>
            </w:r>
          </w:p>
        </w:tc>
        <w:tc>
          <w:tcPr>
            <w:tcW w:w="0" w:type="auto"/>
            <w:vAlign w:val="center"/>
          </w:tcPr>
          <w:p w:rsidR="00F91A50" w:rsidRDefault="00F91A50" w:rsidP="00F91A50">
            <w:pPr>
              <w:spacing w:after="0"/>
              <w:jc w:val="center"/>
              <w:rPr>
                <w:rFonts w:eastAsia="Times New Roman"/>
                <w:color w:val="000000"/>
                <w:sz w:val="18"/>
                <w:szCs w:val="18"/>
              </w:rPr>
            </w:pPr>
            <w:r>
              <w:rPr>
                <w:rFonts w:eastAsia="Times New Roman"/>
                <w:color w:val="000000"/>
                <w:sz w:val="18"/>
                <w:szCs w:val="18"/>
              </w:rPr>
              <w:t>No</w:t>
            </w:r>
          </w:p>
          <w:p w:rsidR="00F91A50" w:rsidRDefault="00F91A50" w:rsidP="00F91A50">
            <w:pPr>
              <w:spacing w:after="0"/>
              <w:jc w:val="center"/>
              <w:rPr>
                <w:rFonts w:eastAsia="Times New Roman"/>
                <w:color w:val="000000"/>
                <w:sz w:val="18"/>
                <w:szCs w:val="18"/>
              </w:rPr>
            </w:pPr>
            <w:r>
              <w:rPr>
                <w:rFonts w:eastAsia="Times New Roman"/>
                <w:color w:val="000000"/>
                <w:sz w:val="18"/>
                <w:szCs w:val="18"/>
              </w:rPr>
              <w:t>No</w:t>
            </w:r>
          </w:p>
          <w:p w:rsidR="00A625DE" w:rsidRDefault="00F91A50" w:rsidP="00F91A50">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A625DE" w:rsidRDefault="00A625DE" w:rsidP="00A625DE">
            <w:pPr>
              <w:spacing w:after="0"/>
              <w:jc w:val="center"/>
              <w:rPr>
                <w:sz w:val="18"/>
                <w:szCs w:val="18"/>
              </w:rPr>
            </w:pPr>
            <w:r>
              <w:rPr>
                <w:sz w:val="18"/>
                <w:szCs w:val="18"/>
              </w:rPr>
              <w:t>Devor 2020</w:t>
            </w:r>
          </w:p>
          <w:p w:rsidR="00A625DE" w:rsidRDefault="00A625DE" w:rsidP="00A625DE">
            <w:pPr>
              <w:spacing w:after="0"/>
              <w:jc w:val="center"/>
              <w:rPr>
                <w:sz w:val="18"/>
                <w:szCs w:val="18"/>
              </w:rPr>
            </w:pPr>
            <w:r>
              <w:rPr>
                <w:sz w:val="18"/>
                <w:szCs w:val="18"/>
              </w:rPr>
              <w:t>Devor 2020</w:t>
            </w:r>
          </w:p>
          <w:p w:rsidR="00A625DE" w:rsidRDefault="00A625DE" w:rsidP="00A625DE">
            <w:pPr>
              <w:spacing w:after="0"/>
              <w:jc w:val="center"/>
              <w:rPr>
                <w:sz w:val="18"/>
                <w:szCs w:val="18"/>
              </w:rPr>
            </w:pPr>
            <w:r>
              <w:rPr>
                <w:sz w:val="18"/>
                <w:szCs w:val="18"/>
              </w:rPr>
              <w:t>Devor 2020</w:t>
            </w:r>
          </w:p>
        </w:tc>
      </w:tr>
      <w:tr w:rsidR="00AE2B5A" w:rsidRPr="004041DD" w:rsidTr="009B2A14">
        <w:trPr>
          <w:jc w:val="center"/>
        </w:trPr>
        <w:tc>
          <w:tcPr>
            <w:tcW w:w="0" w:type="auto"/>
            <w:vAlign w:val="center"/>
          </w:tcPr>
          <w:p w:rsidR="00AE2B5A" w:rsidRDefault="00AE2B5A" w:rsidP="009B2A14">
            <w:pPr>
              <w:spacing w:after="0"/>
              <w:jc w:val="center"/>
              <w:rPr>
                <w:rFonts w:eastAsia="Times New Roman"/>
                <w:color w:val="000000"/>
                <w:sz w:val="18"/>
                <w:szCs w:val="18"/>
              </w:rPr>
            </w:pPr>
            <w:r>
              <w:rPr>
                <w:rFonts w:eastAsia="Times New Roman"/>
                <w:color w:val="000000"/>
                <w:sz w:val="18"/>
                <w:szCs w:val="18"/>
              </w:rPr>
              <w:t>1283</w:t>
            </w:r>
          </w:p>
        </w:tc>
        <w:tc>
          <w:tcPr>
            <w:tcW w:w="0" w:type="auto"/>
            <w:vAlign w:val="center"/>
          </w:tcPr>
          <w:p w:rsidR="00AE2B5A" w:rsidRDefault="00AE2B5A" w:rsidP="00A625DE">
            <w:pPr>
              <w:spacing w:after="0"/>
              <w:jc w:val="center"/>
              <w:rPr>
                <w:rFonts w:eastAsia="Times New Roman"/>
                <w:color w:val="000000"/>
                <w:sz w:val="18"/>
                <w:szCs w:val="18"/>
              </w:rPr>
            </w:pPr>
            <w:r>
              <w:rPr>
                <w:rFonts w:eastAsia="Times New Roman"/>
                <w:color w:val="000000"/>
                <w:sz w:val="18"/>
                <w:szCs w:val="18"/>
              </w:rPr>
              <w:t>MPB (whole blood)</w:t>
            </w:r>
          </w:p>
          <w:p w:rsidR="006C3EAF" w:rsidRDefault="006C3EAF" w:rsidP="00A625DE">
            <w:pPr>
              <w:spacing w:after="0"/>
              <w:jc w:val="center"/>
              <w:rPr>
                <w:rFonts w:eastAsia="Times New Roman"/>
                <w:color w:val="000000"/>
                <w:sz w:val="18"/>
                <w:szCs w:val="18"/>
              </w:rPr>
            </w:pPr>
            <w:r>
              <w:rPr>
                <w:rFonts w:eastAsia="Times New Roman"/>
                <w:color w:val="000000"/>
                <w:sz w:val="18"/>
                <w:szCs w:val="18"/>
              </w:rPr>
              <w:t>Placenta</w:t>
            </w:r>
          </w:p>
        </w:tc>
        <w:tc>
          <w:tcPr>
            <w:tcW w:w="0" w:type="auto"/>
            <w:vAlign w:val="center"/>
          </w:tcPr>
          <w:p w:rsidR="00AE2B5A" w:rsidRDefault="00AE2B5A" w:rsidP="00A625DE">
            <w:pPr>
              <w:spacing w:after="0"/>
              <w:jc w:val="center"/>
              <w:rPr>
                <w:rFonts w:eastAsia="Times New Roman"/>
                <w:color w:val="000000"/>
                <w:sz w:val="18"/>
                <w:szCs w:val="18"/>
              </w:rPr>
            </w:pPr>
            <w:r>
              <w:rPr>
                <w:rFonts w:eastAsia="Times New Roman"/>
                <w:color w:val="000000"/>
                <w:sz w:val="18"/>
                <w:szCs w:val="18"/>
              </w:rPr>
              <w:t>Down in PE 36GW</w:t>
            </w:r>
          </w:p>
          <w:p w:rsidR="006C3EAF" w:rsidRDefault="006C3EAF" w:rsidP="00A625DE">
            <w:pPr>
              <w:spacing w:after="0"/>
              <w:jc w:val="center"/>
              <w:rPr>
                <w:rFonts w:eastAsia="Times New Roman"/>
                <w:color w:val="000000"/>
                <w:sz w:val="18"/>
                <w:szCs w:val="18"/>
              </w:rPr>
            </w:pPr>
            <w:r>
              <w:rPr>
                <w:rFonts w:eastAsia="Times New Roman"/>
                <w:color w:val="000000"/>
                <w:sz w:val="18"/>
                <w:szCs w:val="18"/>
              </w:rPr>
              <w:t>No difference in term PE</w:t>
            </w:r>
          </w:p>
        </w:tc>
        <w:tc>
          <w:tcPr>
            <w:tcW w:w="0" w:type="auto"/>
            <w:vAlign w:val="center"/>
          </w:tcPr>
          <w:p w:rsidR="00AE2B5A" w:rsidRDefault="00AE2B5A" w:rsidP="00F91A50">
            <w:pPr>
              <w:spacing w:after="0"/>
              <w:jc w:val="center"/>
              <w:rPr>
                <w:rFonts w:eastAsia="Times New Roman"/>
                <w:color w:val="000000"/>
                <w:sz w:val="18"/>
                <w:szCs w:val="18"/>
              </w:rPr>
            </w:pPr>
            <w:r>
              <w:rPr>
                <w:rFonts w:eastAsia="Times New Roman"/>
                <w:color w:val="000000"/>
                <w:sz w:val="18"/>
                <w:szCs w:val="18"/>
              </w:rPr>
              <w:t>Yes</w:t>
            </w:r>
          </w:p>
          <w:p w:rsidR="006C3EAF" w:rsidRDefault="006C3EAF" w:rsidP="00F91A50">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AE2B5A" w:rsidRDefault="00AE2B5A" w:rsidP="00A625DE">
            <w:pPr>
              <w:spacing w:after="0"/>
              <w:jc w:val="center"/>
              <w:rPr>
                <w:sz w:val="18"/>
                <w:szCs w:val="18"/>
              </w:rPr>
            </w:pPr>
            <w:r>
              <w:rPr>
                <w:sz w:val="18"/>
                <w:szCs w:val="18"/>
              </w:rPr>
              <w:t>Whigham 2020</w:t>
            </w:r>
          </w:p>
          <w:p w:rsidR="006C3EAF" w:rsidRDefault="006C3EAF" w:rsidP="00A625DE">
            <w:pPr>
              <w:spacing w:after="0"/>
              <w:jc w:val="center"/>
              <w:rPr>
                <w:sz w:val="18"/>
                <w:szCs w:val="18"/>
              </w:rPr>
            </w:pPr>
            <w:r>
              <w:rPr>
                <w:sz w:val="18"/>
                <w:szCs w:val="18"/>
              </w:rPr>
              <w:t>Whigham 2020</w:t>
            </w:r>
          </w:p>
        </w:tc>
      </w:tr>
      <w:tr w:rsidR="00C354ED" w:rsidRPr="004041DD" w:rsidTr="009B2A14">
        <w:trPr>
          <w:jc w:val="center"/>
        </w:trPr>
        <w:tc>
          <w:tcPr>
            <w:tcW w:w="0" w:type="auto"/>
            <w:vAlign w:val="center"/>
          </w:tcPr>
          <w:p w:rsidR="00C354ED" w:rsidRDefault="00C354ED" w:rsidP="009B2A14">
            <w:pPr>
              <w:spacing w:after="0"/>
              <w:jc w:val="center"/>
              <w:rPr>
                <w:rFonts w:eastAsia="Times New Roman"/>
                <w:color w:val="000000"/>
                <w:sz w:val="18"/>
                <w:szCs w:val="18"/>
              </w:rPr>
            </w:pPr>
            <w:r>
              <w:rPr>
                <w:rFonts w:eastAsia="Times New Roman"/>
                <w:color w:val="000000"/>
                <w:sz w:val="18"/>
                <w:szCs w:val="18"/>
              </w:rPr>
              <w:t>200a</w:t>
            </w:r>
          </w:p>
        </w:tc>
        <w:tc>
          <w:tcPr>
            <w:tcW w:w="0" w:type="auto"/>
            <w:vAlign w:val="center"/>
          </w:tcPr>
          <w:p w:rsidR="00C354ED" w:rsidRDefault="00C354ED" w:rsidP="00A625DE">
            <w:pPr>
              <w:spacing w:after="0"/>
              <w:jc w:val="center"/>
              <w:rPr>
                <w:rFonts w:eastAsia="Times New Roman"/>
                <w:color w:val="000000"/>
                <w:sz w:val="18"/>
                <w:szCs w:val="18"/>
              </w:rPr>
            </w:pPr>
            <w:r>
              <w:rPr>
                <w:rFonts w:eastAsia="Times New Roman"/>
                <w:color w:val="000000"/>
                <w:sz w:val="18"/>
                <w:szCs w:val="18"/>
              </w:rPr>
              <w:t>Placenta</w:t>
            </w:r>
          </w:p>
        </w:tc>
        <w:tc>
          <w:tcPr>
            <w:tcW w:w="0" w:type="auto"/>
            <w:vAlign w:val="center"/>
          </w:tcPr>
          <w:p w:rsidR="00C354ED" w:rsidRDefault="00C354ED" w:rsidP="00A625DE">
            <w:pPr>
              <w:spacing w:after="0"/>
              <w:jc w:val="center"/>
              <w:rPr>
                <w:rFonts w:eastAsia="Times New Roman"/>
                <w:color w:val="000000"/>
                <w:sz w:val="18"/>
                <w:szCs w:val="18"/>
              </w:rPr>
            </w:pPr>
            <w:r>
              <w:rPr>
                <w:rFonts w:eastAsia="Times New Roman"/>
                <w:color w:val="000000"/>
                <w:sz w:val="18"/>
                <w:szCs w:val="18"/>
              </w:rPr>
              <w:t>Up in mPE</w:t>
            </w:r>
          </w:p>
        </w:tc>
        <w:tc>
          <w:tcPr>
            <w:tcW w:w="0" w:type="auto"/>
            <w:vAlign w:val="center"/>
          </w:tcPr>
          <w:p w:rsidR="00C354ED" w:rsidRDefault="00C354ED" w:rsidP="00F91A50">
            <w:pPr>
              <w:spacing w:after="0"/>
              <w:jc w:val="center"/>
              <w:rPr>
                <w:rFonts w:eastAsia="Times New Roman"/>
                <w:color w:val="000000"/>
                <w:sz w:val="18"/>
                <w:szCs w:val="18"/>
              </w:rPr>
            </w:pPr>
            <w:r>
              <w:rPr>
                <w:rFonts w:eastAsia="Times New Roman"/>
                <w:color w:val="000000"/>
                <w:sz w:val="18"/>
                <w:szCs w:val="18"/>
              </w:rPr>
              <w:t>Yes</w:t>
            </w:r>
          </w:p>
        </w:tc>
        <w:tc>
          <w:tcPr>
            <w:tcW w:w="0" w:type="auto"/>
            <w:vAlign w:val="center"/>
          </w:tcPr>
          <w:p w:rsidR="00C354ED" w:rsidRDefault="00C354ED" w:rsidP="00A625DE">
            <w:pPr>
              <w:spacing w:after="0"/>
              <w:jc w:val="center"/>
              <w:rPr>
                <w:sz w:val="18"/>
                <w:szCs w:val="18"/>
              </w:rPr>
            </w:pPr>
            <w:r>
              <w:rPr>
                <w:sz w:val="18"/>
                <w:szCs w:val="18"/>
              </w:rPr>
              <w:t>Wu G, 2020</w:t>
            </w:r>
          </w:p>
        </w:tc>
      </w:tr>
    </w:tbl>
    <w:p w:rsidR="001C70B8" w:rsidRDefault="001C70B8" w:rsidP="001C70B8">
      <w:pPr>
        <w:spacing w:before="0" w:after="200" w:line="276" w:lineRule="auto"/>
        <w:rPr>
          <w:szCs w:val="24"/>
        </w:rPr>
      </w:pPr>
    </w:p>
    <w:p w:rsidR="001C70B8" w:rsidRDefault="001C70B8" w:rsidP="001C70B8">
      <w:pPr>
        <w:spacing w:before="0" w:after="200" w:line="276" w:lineRule="auto"/>
        <w:rPr>
          <w:szCs w:val="24"/>
        </w:rPr>
      </w:pPr>
    </w:p>
    <w:p w:rsidR="006D38DA" w:rsidRDefault="006D38DA" w:rsidP="001C70B8">
      <w:pPr>
        <w:spacing w:before="0" w:after="200" w:line="276" w:lineRule="auto"/>
        <w:rPr>
          <w:szCs w:val="24"/>
        </w:rPr>
      </w:pPr>
      <w:r>
        <w:rPr>
          <w:szCs w:val="24"/>
        </w:rPr>
        <w:t xml:space="preserve">Table </w:t>
      </w:r>
      <w:r w:rsidR="003F696B">
        <w:rPr>
          <w:szCs w:val="24"/>
        </w:rPr>
        <w:t>S</w:t>
      </w:r>
      <w:r>
        <w:rPr>
          <w:szCs w:val="24"/>
        </w:rPr>
        <w:t>7. Major findings for not specified PE</w:t>
      </w:r>
    </w:p>
    <w:tbl>
      <w:tblPr>
        <w:tblStyle w:val="TableGrid"/>
        <w:tblW w:w="0" w:type="auto"/>
        <w:jc w:val="center"/>
        <w:tblLook w:val="04A0"/>
      </w:tblPr>
      <w:tblGrid>
        <w:gridCol w:w="1598"/>
        <w:gridCol w:w="2905"/>
        <w:gridCol w:w="2976"/>
        <w:gridCol w:w="709"/>
        <w:gridCol w:w="1805"/>
      </w:tblGrid>
      <w:tr w:rsidR="009B2A14" w:rsidRPr="00DE5B46" w:rsidTr="0056680A">
        <w:trPr>
          <w:cantSplit/>
          <w:jc w:val="center"/>
        </w:trPr>
        <w:tc>
          <w:tcPr>
            <w:tcW w:w="0" w:type="auto"/>
            <w:vAlign w:val="center"/>
          </w:tcPr>
          <w:p w:rsidR="009B2A14" w:rsidRPr="00DE5B46" w:rsidRDefault="009B2A14" w:rsidP="009B2A14">
            <w:pPr>
              <w:spacing w:after="0"/>
              <w:jc w:val="center"/>
              <w:rPr>
                <w:b/>
                <w:sz w:val="18"/>
                <w:szCs w:val="18"/>
              </w:rPr>
            </w:pPr>
            <w:r w:rsidRPr="00DE5B46">
              <w:rPr>
                <w:b/>
                <w:sz w:val="18"/>
                <w:szCs w:val="18"/>
              </w:rPr>
              <w:t>miRNK</w:t>
            </w:r>
          </w:p>
        </w:tc>
        <w:tc>
          <w:tcPr>
            <w:tcW w:w="2905" w:type="dxa"/>
            <w:vAlign w:val="center"/>
          </w:tcPr>
          <w:p w:rsidR="009B2A14" w:rsidRPr="00DE5B46" w:rsidRDefault="009B2A14" w:rsidP="009B2A14">
            <w:pPr>
              <w:spacing w:after="0"/>
              <w:jc w:val="center"/>
              <w:rPr>
                <w:b/>
                <w:sz w:val="18"/>
                <w:szCs w:val="18"/>
              </w:rPr>
            </w:pPr>
            <w:r w:rsidRPr="00DE5B46">
              <w:rPr>
                <w:b/>
                <w:sz w:val="18"/>
                <w:szCs w:val="18"/>
              </w:rPr>
              <w:t>tissue</w:t>
            </w:r>
          </w:p>
        </w:tc>
        <w:tc>
          <w:tcPr>
            <w:tcW w:w="2976" w:type="dxa"/>
            <w:vAlign w:val="center"/>
          </w:tcPr>
          <w:p w:rsidR="009B2A14" w:rsidRPr="00DE5B46" w:rsidRDefault="009B2A14" w:rsidP="009B2A14">
            <w:pPr>
              <w:spacing w:after="0"/>
              <w:jc w:val="center"/>
              <w:rPr>
                <w:b/>
                <w:sz w:val="18"/>
                <w:szCs w:val="18"/>
              </w:rPr>
            </w:pPr>
            <w:r w:rsidRPr="00DE5B46">
              <w:rPr>
                <w:b/>
                <w:sz w:val="18"/>
                <w:szCs w:val="18"/>
              </w:rPr>
              <w:t>Up/Down</w:t>
            </w:r>
          </w:p>
        </w:tc>
        <w:tc>
          <w:tcPr>
            <w:tcW w:w="709" w:type="dxa"/>
            <w:vAlign w:val="center"/>
          </w:tcPr>
          <w:p w:rsidR="009B2A14" w:rsidRPr="00DE5B46" w:rsidRDefault="009B2A14" w:rsidP="009B2A14">
            <w:pPr>
              <w:spacing w:after="0"/>
              <w:jc w:val="center"/>
              <w:rPr>
                <w:b/>
                <w:sz w:val="18"/>
                <w:szCs w:val="18"/>
              </w:rPr>
            </w:pPr>
            <w:r w:rsidRPr="00DE5B46">
              <w:rPr>
                <w:b/>
                <w:sz w:val="18"/>
                <w:szCs w:val="18"/>
              </w:rPr>
              <w:t>Sig.</w:t>
            </w:r>
          </w:p>
        </w:tc>
        <w:tc>
          <w:tcPr>
            <w:tcW w:w="1805" w:type="dxa"/>
            <w:vAlign w:val="center"/>
          </w:tcPr>
          <w:p w:rsidR="009B2A14" w:rsidRPr="00DE5B46" w:rsidRDefault="009B2A14" w:rsidP="009B2A14">
            <w:pPr>
              <w:spacing w:after="0"/>
              <w:jc w:val="center"/>
              <w:rPr>
                <w:b/>
                <w:sz w:val="18"/>
                <w:szCs w:val="18"/>
              </w:rPr>
            </w:pPr>
            <w:r w:rsidRPr="00DE5B46">
              <w:rPr>
                <w:b/>
                <w:sz w:val="18"/>
                <w:szCs w:val="18"/>
              </w:rPr>
              <w:t>Ref.</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518c</w:t>
            </w:r>
          </w:p>
        </w:tc>
        <w:tc>
          <w:tcPr>
            <w:tcW w:w="2905" w:type="dxa"/>
            <w:vAlign w:val="center"/>
          </w:tcPr>
          <w:p w:rsidR="009B2A14" w:rsidRDefault="009B2A14" w:rsidP="009B2A14">
            <w:pPr>
              <w:spacing w:after="0"/>
              <w:jc w:val="center"/>
              <w:rPr>
                <w:sz w:val="18"/>
                <w:szCs w:val="18"/>
              </w:rPr>
            </w:pPr>
            <w:r>
              <w:rPr>
                <w:sz w:val="18"/>
                <w:szCs w:val="18"/>
              </w:rPr>
              <w:t>Placenta</w:t>
            </w:r>
          </w:p>
          <w:p w:rsidR="009B2A14" w:rsidRPr="00DE5B46" w:rsidRDefault="009B2A14" w:rsidP="009B2A14">
            <w:pPr>
              <w:spacing w:after="0"/>
              <w:jc w:val="center"/>
              <w:rPr>
                <w:sz w:val="18"/>
                <w:szCs w:val="18"/>
              </w:rPr>
            </w:pPr>
            <w:r>
              <w:rPr>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sz w:val="18"/>
                <w:szCs w:val="18"/>
              </w:rPr>
            </w:pPr>
            <w:r>
              <w:rPr>
                <w:sz w:val="18"/>
                <w:szCs w:val="18"/>
              </w:rPr>
              <w:t>Yes</w:t>
            </w:r>
          </w:p>
          <w:p w:rsidR="009B2A14" w:rsidRPr="00DE5B46"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7</w:t>
            </w:r>
          </w:p>
          <w:p w:rsidR="009B2A14" w:rsidRPr="00DE5B46" w:rsidRDefault="009B2A14" w:rsidP="009B2A14">
            <w:pPr>
              <w:spacing w:after="0"/>
              <w:jc w:val="center"/>
              <w:rPr>
                <w:sz w:val="18"/>
                <w:szCs w:val="18"/>
              </w:rPr>
            </w:pPr>
            <w:r>
              <w:rPr>
                <w:sz w:val="18"/>
                <w:szCs w:val="18"/>
              </w:rPr>
              <w:t>14</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1</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rPr>
                <w:sz w:val="18"/>
                <w:szCs w:val="18"/>
              </w:rPr>
            </w:pPr>
            <w:r>
              <w:rPr>
                <w:sz w:val="18"/>
                <w:szCs w:val="18"/>
              </w:rPr>
              <w:t>MPB (serum)</w:t>
            </w:r>
          </w:p>
          <w:p w:rsidR="009B2A14" w:rsidRDefault="009B2A14" w:rsidP="009B2A14">
            <w:pPr>
              <w:spacing w:after="0"/>
              <w:jc w:val="center"/>
              <w:rPr>
                <w:sz w:val="18"/>
                <w:szCs w:val="18"/>
              </w:rPr>
            </w:pPr>
            <w:r>
              <w:rPr>
                <w:sz w:val="18"/>
                <w:szCs w:val="18"/>
              </w:rPr>
              <w:t>MPB</w:t>
            </w:r>
          </w:p>
          <w:p w:rsidR="009B2A14" w:rsidRDefault="009B2A14" w:rsidP="009B2A14">
            <w:pPr>
              <w:spacing w:after="0"/>
              <w:jc w:val="center"/>
              <w:rPr>
                <w:sz w:val="18"/>
                <w:szCs w:val="18"/>
              </w:rPr>
            </w:pPr>
          </w:p>
          <w:p w:rsidR="009B2A14" w:rsidRPr="00B74EBF" w:rsidRDefault="009B2A14" w:rsidP="009B2A14">
            <w:pPr>
              <w:spacing w:after="0"/>
              <w:jc w:val="center"/>
              <w:rPr>
                <w:sz w:val="18"/>
                <w:szCs w:val="18"/>
              </w:rPr>
            </w:pPr>
            <w:r>
              <w:rPr>
                <w:sz w:val="18"/>
                <w:szCs w:val="18"/>
              </w:rPr>
              <w:t>MPB</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No difference in PE</w:t>
            </w:r>
          </w:p>
          <w:p w:rsidR="009B2A14" w:rsidRDefault="009B2A14" w:rsidP="009B2A14">
            <w:pPr>
              <w:spacing w:after="0"/>
              <w:jc w:val="center"/>
              <w:rPr>
                <w:color w:val="000000"/>
                <w:sz w:val="18"/>
                <w:szCs w:val="18"/>
              </w:rPr>
            </w:pPr>
            <w:r>
              <w:rPr>
                <w:color w:val="000000"/>
                <w:sz w:val="18"/>
                <w:szCs w:val="18"/>
              </w:rPr>
              <w:t>No difference vs. preconceptional</w:t>
            </w:r>
          </w:p>
          <w:p w:rsidR="009B2A14" w:rsidRPr="00585202"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tcPr>
          <w:p w:rsidR="009B2A14" w:rsidRDefault="009B2A14" w:rsidP="009B2A14">
            <w:pPr>
              <w:spacing w:after="0"/>
              <w:jc w:val="center"/>
              <w:rPr>
                <w:sz w:val="18"/>
                <w:szCs w:val="18"/>
              </w:rPr>
            </w:pPr>
            <w:r w:rsidRPr="001C27DF">
              <w:rPr>
                <w:sz w:val="18"/>
                <w:szCs w:val="18"/>
              </w:rPr>
              <w:t>Yes</w:t>
            </w:r>
          </w:p>
          <w:p w:rsidR="009B2A14" w:rsidRDefault="009B2A14" w:rsidP="009B2A14">
            <w:pPr>
              <w:spacing w:after="0"/>
              <w:jc w:val="center"/>
              <w:rPr>
                <w:sz w:val="18"/>
                <w:szCs w:val="18"/>
              </w:rPr>
            </w:pPr>
            <w:r>
              <w:rPr>
                <w:sz w:val="18"/>
                <w:szCs w:val="18"/>
              </w:rPr>
              <w:t>No</w:t>
            </w:r>
          </w:p>
          <w:p w:rsidR="009B2A14" w:rsidRDefault="009B2A14" w:rsidP="009B2A14">
            <w:pPr>
              <w:spacing w:after="0"/>
              <w:jc w:val="center"/>
              <w:rPr>
                <w:sz w:val="18"/>
                <w:szCs w:val="18"/>
              </w:rPr>
            </w:pPr>
            <w:r>
              <w:rPr>
                <w:sz w:val="18"/>
                <w:szCs w:val="18"/>
              </w:rPr>
              <w:t>No</w:t>
            </w:r>
          </w:p>
          <w:p w:rsidR="009B2A14" w:rsidRDefault="009B2A14" w:rsidP="009B2A14">
            <w:pPr>
              <w:spacing w:after="0"/>
              <w:jc w:val="center"/>
              <w:rPr>
                <w:sz w:val="18"/>
                <w:szCs w:val="18"/>
              </w:rPr>
            </w:pPr>
          </w:p>
          <w:p w:rsidR="009B2A14" w:rsidRDefault="009B2A14" w:rsidP="009B2A14">
            <w:pPr>
              <w:spacing w:after="0"/>
              <w:jc w:val="center"/>
            </w:pPr>
            <w:r>
              <w:rPr>
                <w:sz w:val="18"/>
                <w:szCs w:val="18"/>
              </w:rPr>
              <w:t>No</w:t>
            </w:r>
          </w:p>
        </w:tc>
        <w:tc>
          <w:tcPr>
            <w:tcW w:w="1805" w:type="dxa"/>
          </w:tcPr>
          <w:p w:rsidR="009B2A14" w:rsidRDefault="009B2A14" w:rsidP="009B2A14">
            <w:pPr>
              <w:spacing w:after="0"/>
              <w:jc w:val="center"/>
              <w:rPr>
                <w:sz w:val="18"/>
                <w:szCs w:val="18"/>
              </w:rPr>
            </w:pPr>
            <w:r w:rsidRPr="007D4016">
              <w:rPr>
                <w:sz w:val="18"/>
                <w:szCs w:val="18"/>
              </w:rPr>
              <w:t>7</w:t>
            </w:r>
          </w:p>
          <w:p w:rsidR="009B2A14" w:rsidRDefault="009B2A14" w:rsidP="009B2A14">
            <w:pPr>
              <w:spacing w:after="0"/>
              <w:jc w:val="center"/>
              <w:rPr>
                <w:sz w:val="18"/>
                <w:szCs w:val="18"/>
              </w:rPr>
            </w:pPr>
            <w:r>
              <w:rPr>
                <w:sz w:val="18"/>
                <w:szCs w:val="18"/>
              </w:rPr>
              <w:t>57</w:t>
            </w: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pPr>
            <w:r>
              <w:rPr>
                <w:sz w:val="18"/>
                <w:szCs w:val="18"/>
              </w:rPr>
              <w:t>63</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1-3p</w:t>
            </w:r>
          </w:p>
        </w:tc>
        <w:tc>
          <w:tcPr>
            <w:tcW w:w="2905" w:type="dxa"/>
          </w:tcPr>
          <w:p w:rsidR="009B2A14" w:rsidRPr="000910A1" w:rsidRDefault="009B2A14" w:rsidP="009B2A14">
            <w:pPr>
              <w:spacing w:after="0"/>
              <w:jc w:val="center"/>
              <w:rPr>
                <w:sz w:val="18"/>
                <w:szCs w:val="18"/>
              </w:rPr>
            </w:pPr>
            <w:r>
              <w:rPr>
                <w:sz w:val="18"/>
                <w:szCs w:val="18"/>
              </w:rPr>
              <w:t>MPB</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No difference</w:t>
            </w:r>
          </w:p>
        </w:tc>
        <w:tc>
          <w:tcPr>
            <w:tcW w:w="709" w:type="dxa"/>
          </w:tcPr>
          <w:p w:rsidR="009B2A14" w:rsidRPr="001C27DF" w:rsidRDefault="009B2A14" w:rsidP="009B2A14">
            <w:pPr>
              <w:spacing w:after="0"/>
              <w:jc w:val="center"/>
              <w:rPr>
                <w:sz w:val="18"/>
                <w:szCs w:val="18"/>
              </w:rPr>
            </w:pPr>
            <w:r>
              <w:rPr>
                <w:sz w:val="18"/>
                <w:szCs w:val="18"/>
              </w:rPr>
              <w:t>No</w:t>
            </w:r>
          </w:p>
        </w:tc>
        <w:tc>
          <w:tcPr>
            <w:tcW w:w="1805" w:type="dxa"/>
          </w:tcPr>
          <w:p w:rsidR="009B2A14" w:rsidRPr="007D4016" w:rsidRDefault="009B2A14" w:rsidP="009B2A14">
            <w:pPr>
              <w:spacing w:after="0"/>
              <w:jc w:val="center"/>
              <w:rPr>
                <w:sz w:val="18"/>
                <w:szCs w:val="18"/>
              </w:rPr>
            </w:pPr>
            <w:r>
              <w:rPr>
                <w:sz w:val="18"/>
                <w:szCs w:val="18"/>
              </w:rPr>
              <w:t>158</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103</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pPr>
            <w:r>
              <w:rPr>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9B2A14" w:rsidRPr="00585202" w:rsidRDefault="009B2A14" w:rsidP="009B2A14">
            <w:pPr>
              <w:spacing w:after="0"/>
              <w:jc w:val="center"/>
              <w:rPr>
                <w:color w:val="000000"/>
                <w:sz w:val="18"/>
                <w:szCs w:val="18"/>
              </w:rPr>
            </w:pPr>
            <w:r>
              <w:rPr>
                <w:color w:val="000000"/>
                <w:sz w:val="18"/>
                <w:szCs w:val="18"/>
              </w:rPr>
              <w:t>NR</w:t>
            </w:r>
          </w:p>
        </w:tc>
        <w:tc>
          <w:tcPr>
            <w:tcW w:w="709" w:type="dxa"/>
          </w:tcPr>
          <w:p w:rsidR="009B2A14" w:rsidRDefault="009B2A14" w:rsidP="009B2A14">
            <w:pPr>
              <w:spacing w:after="0"/>
              <w:jc w:val="center"/>
              <w:rPr>
                <w:sz w:val="18"/>
                <w:szCs w:val="18"/>
              </w:rPr>
            </w:pPr>
            <w:r w:rsidRPr="001C27DF">
              <w:rPr>
                <w:sz w:val="18"/>
                <w:szCs w:val="18"/>
              </w:rPr>
              <w:t>Yes</w:t>
            </w:r>
          </w:p>
          <w:p w:rsidR="009B2A14" w:rsidRDefault="009B2A14" w:rsidP="009B2A14">
            <w:pPr>
              <w:spacing w:after="0"/>
              <w:jc w:val="center"/>
            </w:pPr>
            <w:r>
              <w:rPr>
                <w:sz w:val="18"/>
                <w:szCs w:val="18"/>
              </w:rPr>
              <w:t>NR</w:t>
            </w:r>
          </w:p>
        </w:tc>
        <w:tc>
          <w:tcPr>
            <w:tcW w:w="1805" w:type="dxa"/>
          </w:tcPr>
          <w:p w:rsidR="009B2A14" w:rsidRDefault="009B2A14" w:rsidP="009B2A14">
            <w:pPr>
              <w:spacing w:after="0"/>
              <w:jc w:val="center"/>
              <w:rPr>
                <w:sz w:val="18"/>
                <w:szCs w:val="18"/>
              </w:rPr>
            </w:pPr>
            <w:r w:rsidRPr="007D4016">
              <w:rPr>
                <w:sz w:val="18"/>
                <w:szCs w:val="18"/>
              </w:rPr>
              <w:t>7</w:t>
            </w:r>
          </w:p>
          <w:p w:rsidR="009B2A14" w:rsidRDefault="009B2A14" w:rsidP="009B2A14">
            <w:pPr>
              <w:spacing w:after="0"/>
              <w:jc w:val="center"/>
            </w:pPr>
            <w:r>
              <w:rPr>
                <w:sz w:val="18"/>
                <w:szCs w:val="18"/>
              </w:rPr>
              <w:t>9</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103a-3p</w:t>
            </w:r>
          </w:p>
        </w:tc>
        <w:tc>
          <w:tcPr>
            <w:tcW w:w="2905" w:type="dxa"/>
          </w:tcPr>
          <w:p w:rsidR="009B2A14" w:rsidRPr="000910A1" w:rsidRDefault="009B2A14" w:rsidP="009B2A14">
            <w:pPr>
              <w:spacing w:after="0"/>
              <w:jc w:val="center"/>
              <w:rPr>
                <w:sz w:val="18"/>
                <w:szCs w:val="18"/>
              </w:rPr>
            </w:pPr>
            <w:r>
              <w:rPr>
                <w:sz w:val="18"/>
                <w:szCs w:val="18"/>
              </w:rPr>
              <w:t>MPB (whole blood)</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No difference</w:t>
            </w:r>
          </w:p>
        </w:tc>
        <w:tc>
          <w:tcPr>
            <w:tcW w:w="709" w:type="dxa"/>
          </w:tcPr>
          <w:p w:rsidR="009B2A14" w:rsidRPr="001C27DF" w:rsidRDefault="009B2A14" w:rsidP="009B2A14">
            <w:pPr>
              <w:spacing w:after="0"/>
              <w:jc w:val="center"/>
              <w:rPr>
                <w:sz w:val="18"/>
                <w:szCs w:val="18"/>
              </w:rPr>
            </w:pPr>
            <w:r>
              <w:rPr>
                <w:sz w:val="18"/>
                <w:szCs w:val="18"/>
              </w:rPr>
              <w:t>No</w:t>
            </w:r>
          </w:p>
        </w:tc>
        <w:tc>
          <w:tcPr>
            <w:tcW w:w="1805" w:type="dxa"/>
          </w:tcPr>
          <w:p w:rsidR="009B2A14" w:rsidRPr="007D4016" w:rsidRDefault="009B2A14" w:rsidP="009B2A14">
            <w:pPr>
              <w:spacing w:after="0"/>
              <w:jc w:val="center"/>
              <w:rPr>
                <w:sz w:val="18"/>
                <w:szCs w:val="18"/>
              </w:rPr>
            </w:pPr>
            <w:r>
              <w:rPr>
                <w:sz w:val="18"/>
                <w:szCs w:val="18"/>
              </w:rPr>
              <w:t>66</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15a</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Down in PE</w:t>
            </w:r>
          </w:p>
        </w:tc>
        <w:tc>
          <w:tcPr>
            <w:tcW w:w="709" w:type="dxa"/>
          </w:tcPr>
          <w:p w:rsidR="009B2A14" w:rsidRDefault="009B2A14" w:rsidP="009B2A14">
            <w:pPr>
              <w:spacing w:after="0"/>
              <w:jc w:val="center"/>
            </w:pPr>
            <w:r w:rsidRPr="001C27DF">
              <w:rPr>
                <w:sz w:val="18"/>
                <w:szCs w:val="18"/>
              </w:rPr>
              <w:t>Yes</w:t>
            </w:r>
          </w:p>
        </w:tc>
        <w:tc>
          <w:tcPr>
            <w:tcW w:w="1805" w:type="dxa"/>
          </w:tcPr>
          <w:p w:rsidR="009B2A14" w:rsidRDefault="009B2A14" w:rsidP="009B2A14">
            <w:pPr>
              <w:spacing w:after="0"/>
              <w:jc w:val="center"/>
            </w:pPr>
            <w:r w:rsidRPr="007D4016">
              <w:rPr>
                <w:sz w:val="18"/>
                <w:szCs w:val="18"/>
              </w:rPr>
              <w:t>7</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15a-3p</w:t>
            </w:r>
          </w:p>
        </w:tc>
        <w:tc>
          <w:tcPr>
            <w:tcW w:w="2905" w:type="dxa"/>
          </w:tcPr>
          <w:p w:rsidR="009B2A14" w:rsidRPr="000910A1" w:rsidRDefault="009B2A14" w:rsidP="009B2A14">
            <w:pPr>
              <w:spacing w:after="0"/>
              <w:jc w:val="center"/>
              <w:rPr>
                <w:sz w:val="18"/>
                <w:szCs w:val="18"/>
              </w:rPr>
            </w:pPr>
            <w:r>
              <w:rPr>
                <w:sz w:val="18"/>
                <w:szCs w:val="18"/>
              </w:rPr>
              <w:t>MPB</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Pr="001C27DF" w:rsidRDefault="009B2A14" w:rsidP="009B2A14">
            <w:pPr>
              <w:spacing w:after="0"/>
              <w:jc w:val="center"/>
              <w:rPr>
                <w:sz w:val="18"/>
                <w:szCs w:val="18"/>
              </w:rPr>
            </w:pPr>
            <w:r>
              <w:rPr>
                <w:sz w:val="18"/>
                <w:szCs w:val="18"/>
              </w:rPr>
              <w:t>Yes</w:t>
            </w:r>
          </w:p>
        </w:tc>
        <w:tc>
          <w:tcPr>
            <w:tcW w:w="1805" w:type="dxa"/>
          </w:tcPr>
          <w:p w:rsidR="009B2A14" w:rsidRPr="007D4016" w:rsidRDefault="009B2A14" w:rsidP="009B2A14">
            <w:pPr>
              <w:spacing w:after="0"/>
              <w:jc w:val="center"/>
              <w:rPr>
                <w:sz w:val="18"/>
                <w:szCs w:val="18"/>
              </w:rPr>
            </w:pPr>
            <w:r>
              <w:rPr>
                <w:sz w:val="18"/>
                <w:szCs w:val="18"/>
              </w:rPr>
              <w:t>76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584</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pPr>
            <w:r>
              <w:rPr>
                <w:sz w:val="18"/>
                <w:szCs w:val="18"/>
              </w:rPr>
              <w:t>MPB (serum)</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No difference</w:t>
            </w:r>
          </w:p>
        </w:tc>
        <w:tc>
          <w:tcPr>
            <w:tcW w:w="709" w:type="dxa"/>
          </w:tcPr>
          <w:p w:rsidR="009B2A14" w:rsidRDefault="009B2A14" w:rsidP="009B2A14">
            <w:pPr>
              <w:spacing w:after="0"/>
              <w:jc w:val="center"/>
              <w:rPr>
                <w:sz w:val="18"/>
                <w:szCs w:val="18"/>
              </w:rPr>
            </w:pPr>
            <w:r w:rsidRPr="001C27DF">
              <w:rPr>
                <w:sz w:val="18"/>
                <w:szCs w:val="18"/>
              </w:rPr>
              <w:t>Yes</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pPr>
            <w:r>
              <w:rPr>
                <w:sz w:val="18"/>
                <w:szCs w:val="18"/>
              </w:rPr>
              <w:t>No</w:t>
            </w:r>
          </w:p>
        </w:tc>
        <w:tc>
          <w:tcPr>
            <w:tcW w:w="1805" w:type="dxa"/>
          </w:tcPr>
          <w:p w:rsidR="009B2A14" w:rsidRDefault="009B2A14" w:rsidP="009B2A14">
            <w:pPr>
              <w:spacing w:after="0"/>
              <w:jc w:val="center"/>
              <w:rPr>
                <w:sz w:val="18"/>
                <w:szCs w:val="18"/>
              </w:rPr>
            </w:pPr>
            <w:r w:rsidRPr="007D4016">
              <w:rPr>
                <w:sz w:val="18"/>
                <w:szCs w:val="18"/>
              </w:rPr>
              <w:t>7</w:t>
            </w:r>
          </w:p>
          <w:p w:rsidR="009B2A14" w:rsidRDefault="009B2A14" w:rsidP="009B2A14">
            <w:pPr>
              <w:spacing w:after="0"/>
              <w:jc w:val="center"/>
              <w:rPr>
                <w:sz w:val="18"/>
                <w:szCs w:val="18"/>
              </w:rPr>
            </w:pPr>
            <w:r>
              <w:rPr>
                <w:sz w:val="18"/>
                <w:szCs w:val="18"/>
              </w:rPr>
              <w:t>55</w:t>
            </w:r>
          </w:p>
          <w:p w:rsidR="009B2A14" w:rsidRDefault="009B2A14" w:rsidP="009B2A14">
            <w:pPr>
              <w:spacing w:after="0"/>
              <w:jc w:val="center"/>
            </w:pPr>
            <w:r>
              <w:rPr>
                <w:sz w:val="18"/>
                <w:szCs w:val="18"/>
              </w:rPr>
              <w:t>57</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584-5p</w:t>
            </w:r>
          </w:p>
        </w:tc>
        <w:tc>
          <w:tcPr>
            <w:tcW w:w="2905" w:type="dxa"/>
          </w:tcPr>
          <w:p w:rsidR="009B2A14" w:rsidRPr="000910A1" w:rsidRDefault="009B2A14" w:rsidP="009B2A14">
            <w:pPr>
              <w:spacing w:after="0"/>
              <w:jc w:val="center"/>
              <w:rPr>
                <w:sz w:val="18"/>
                <w:szCs w:val="18"/>
              </w:rPr>
            </w:pPr>
            <w:r>
              <w:rPr>
                <w:sz w:val="18"/>
                <w:szCs w:val="18"/>
              </w:rPr>
              <w:t>MPB (plasma exosomes)</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Pr="001C27DF" w:rsidRDefault="009B2A14" w:rsidP="009B2A14">
            <w:pPr>
              <w:spacing w:after="0"/>
              <w:jc w:val="center"/>
              <w:rPr>
                <w:sz w:val="18"/>
                <w:szCs w:val="18"/>
              </w:rPr>
            </w:pPr>
            <w:r>
              <w:rPr>
                <w:sz w:val="18"/>
                <w:szCs w:val="18"/>
              </w:rPr>
              <w:t>Yes</w:t>
            </w:r>
          </w:p>
        </w:tc>
        <w:tc>
          <w:tcPr>
            <w:tcW w:w="1805" w:type="dxa"/>
          </w:tcPr>
          <w:p w:rsidR="009B2A14" w:rsidRPr="007D401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324-5p</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Down in PE</w:t>
            </w:r>
          </w:p>
        </w:tc>
        <w:tc>
          <w:tcPr>
            <w:tcW w:w="709" w:type="dxa"/>
          </w:tcPr>
          <w:p w:rsidR="009B2A14" w:rsidRDefault="009B2A14" w:rsidP="009B2A14">
            <w:pPr>
              <w:spacing w:after="0"/>
              <w:jc w:val="center"/>
            </w:pPr>
            <w:r w:rsidRPr="001C27DF">
              <w:rPr>
                <w:sz w:val="18"/>
                <w:szCs w:val="18"/>
              </w:rPr>
              <w:t>Yes</w:t>
            </w:r>
          </w:p>
        </w:tc>
        <w:tc>
          <w:tcPr>
            <w:tcW w:w="1805" w:type="dxa"/>
          </w:tcPr>
          <w:p w:rsidR="009B2A14" w:rsidRDefault="009B2A14" w:rsidP="009B2A14">
            <w:pPr>
              <w:spacing w:after="0"/>
              <w:jc w:val="center"/>
            </w:pPr>
            <w:r w:rsidRPr="007D4016">
              <w:rPr>
                <w:sz w:val="18"/>
                <w:szCs w:val="18"/>
              </w:rPr>
              <w:t>7</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lastRenderedPageBreak/>
              <w:t>200a</w:t>
            </w:r>
          </w:p>
        </w:tc>
        <w:tc>
          <w:tcPr>
            <w:tcW w:w="2905" w:type="dxa"/>
          </w:tcPr>
          <w:p w:rsidR="009B2A14" w:rsidRDefault="009B2A14" w:rsidP="009B2A14">
            <w:pPr>
              <w:spacing w:after="0"/>
              <w:jc w:val="center"/>
              <w:rPr>
                <w:sz w:val="18"/>
                <w:szCs w:val="18"/>
              </w:rPr>
            </w:pPr>
            <w:r>
              <w:rPr>
                <w:sz w:val="18"/>
                <w:szCs w:val="18"/>
              </w:rPr>
              <w:t>MPB (plasma)</w:t>
            </w:r>
          </w:p>
          <w:p w:rsidR="00305B35" w:rsidRDefault="00305B35" w:rsidP="009B2A14">
            <w:pPr>
              <w:spacing w:after="0"/>
              <w:jc w:val="center"/>
              <w:rPr>
                <w:sz w:val="18"/>
                <w:szCs w:val="18"/>
              </w:rPr>
            </w:pPr>
            <w:r>
              <w:rPr>
                <w:sz w:val="18"/>
                <w:szCs w:val="18"/>
              </w:rPr>
              <w:t>MPB (plasma)</w:t>
            </w:r>
          </w:p>
          <w:p w:rsidR="00305B35" w:rsidRPr="000910A1" w:rsidRDefault="00305B35" w:rsidP="009B2A14">
            <w:pPr>
              <w:spacing w:after="0"/>
              <w:jc w:val="center"/>
              <w:rPr>
                <w:sz w:val="18"/>
                <w:szCs w:val="18"/>
              </w:rPr>
            </w:pPr>
            <w:r>
              <w:rPr>
                <w:sz w:val="18"/>
                <w:szCs w:val="18"/>
              </w:rPr>
              <w:t>Placenta</w:t>
            </w:r>
          </w:p>
        </w:tc>
        <w:tc>
          <w:tcPr>
            <w:tcW w:w="2976" w:type="dxa"/>
            <w:vAlign w:val="bottom"/>
          </w:tcPr>
          <w:p w:rsidR="009B2A14" w:rsidRDefault="009B2A14" w:rsidP="009B2A14">
            <w:pPr>
              <w:spacing w:after="0"/>
              <w:jc w:val="center"/>
              <w:rPr>
                <w:color w:val="000000"/>
                <w:sz w:val="18"/>
                <w:szCs w:val="18"/>
              </w:rPr>
            </w:pPr>
            <w:r>
              <w:rPr>
                <w:color w:val="000000"/>
                <w:sz w:val="18"/>
                <w:szCs w:val="18"/>
              </w:rPr>
              <w:t>Up in PE</w:t>
            </w:r>
          </w:p>
          <w:p w:rsidR="00305B35" w:rsidRDefault="00305B35" w:rsidP="009B2A14">
            <w:pPr>
              <w:spacing w:after="0"/>
              <w:jc w:val="center"/>
              <w:rPr>
                <w:color w:val="000000"/>
                <w:sz w:val="18"/>
                <w:szCs w:val="18"/>
              </w:rPr>
            </w:pPr>
            <w:r>
              <w:rPr>
                <w:color w:val="000000"/>
                <w:sz w:val="18"/>
                <w:szCs w:val="18"/>
              </w:rPr>
              <w:t>Up in PE</w:t>
            </w:r>
          </w:p>
          <w:p w:rsidR="00305B35" w:rsidRPr="00585202" w:rsidRDefault="00305B35"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sz w:val="18"/>
                <w:szCs w:val="18"/>
              </w:rPr>
            </w:pPr>
            <w:r>
              <w:rPr>
                <w:sz w:val="18"/>
                <w:szCs w:val="18"/>
              </w:rPr>
              <w:t>Yes</w:t>
            </w:r>
          </w:p>
          <w:p w:rsidR="00305B35" w:rsidRDefault="00305B35" w:rsidP="009B2A14">
            <w:pPr>
              <w:spacing w:after="0"/>
              <w:jc w:val="center"/>
              <w:rPr>
                <w:sz w:val="18"/>
                <w:szCs w:val="18"/>
              </w:rPr>
            </w:pPr>
            <w:r>
              <w:rPr>
                <w:sz w:val="18"/>
                <w:szCs w:val="18"/>
              </w:rPr>
              <w:t>Yes</w:t>
            </w:r>
          </w:p>
          <w:p w:rsidR="00305B35" w:rsidRPr="001C27DF" w:rsidRDefault="00305B35" w:rsidP="009B2A14">
            <w:pPr>
              <w:spacing w:after="0"/>
              <w:jc w:val="center"/>
              <w:rPr>
                <w:sz w:val="18"/>
                <w:szCs w:val="18"/>
              </w:rPr>
            </w:pPr>
            <w:r>
              <w:rPr>
                <w:sz w:val="18"/>
                <w:szCs w:val="18"/>
              </w:rPr>
              <w:t>Yes</w:t>
            </w:r>
          </w:p>
        </w:tc>
        <w:tc>
          <w:tcPr>
            <w:tcW w:w="1805" w:type="dxa"/>
          </w:tcPr>
          <w:p w:rsidR="009B2A14" w:rsidRDefault="009B2A14" w:rsidP="009B2A14">
            <w:pPr>
              <w:spacing w:after="0"/>
              <w:jc w:val="center"/>
              <w:rPr>
                <w:sz w:val="18"/>
                <w:szCs w:val="18"/>
              </w:rPr>
            </w:pPr>
            <w:r>
              <w:rPr>
                <w:sz w:val="18"/>
                <w:szCs w:val="18"/>
              </w:rPr>
              <w:t>177</w:t>
            </w:r>
          </w:p>
          <w:p w:rsidR="00305B35" w:rsidRDefault="00305B35" w:rsidP="009B2A14">
            <w:pPr>
              <w:spacing w:after="0"/>
              <w:jc w:val="center"/>
              <w:rPr>
                <w:sz w:val="18"/>
                <w:szCs w:val="18"/>
              </w:rPr>
            </w:pPr>
            <w:r>
              <w:rPr>
                <w:sz w:val="18"/>
                <w:szCs w:val="18"/>
              </w:rPr>
              <w:t>Cao 2019</w:t>
            </w:r>
          </w:p>
          <w:p w:rsidR="00305B35" w:rsidRPr="007D4016" w:rsidRDefault="00305B35" w:rsidP="009B2A14">
            <w:pPr>
              <w:spacing w:after="0"/>
              <w:jc w:val="center"/>
              <w:rPr>
                <w:sz w:val="18"/>
                <w:szCs w:val="18"/>
              </w:rPr>
            </w:pPr>
            <w:r>
              <w:rPr>
                <w:sz w:val="18"/>
                <w:szCs w:val="18"/>
              </w:rPr>
              <w:t>Cao 2019</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200b</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pPr>
            <w:r>
              <w:rPr>
                <w:sz w:val="18"/>
                <w:szCs w:val="18"/>
              </w:rPr>
              <w:t>MPB (plasma)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9B2A14" w:rsidRPr="00585202" w:rsidRDefault="009B2A14" w:rsidP="009B2A14">
            <w:pPr>
              <w:spacing w:after="0"/>
              <w:jc w:val="center"/>
              <w:rPr>
                <w:color w:val="000000"/>
                <w:sz w:val="18"/>
                <w:szCs w:val="18"/>
              </w:rPr>
            </w:pPr>
            <w:r>
              <w:rPr>
                <w:color w:val="000000"/>
                <w:sz w:val="18"/>
                <w:szCs w:val="18"/>
              </w:rPr>
              <w:t>No difference</w:t>
            </w:r>
          </w:p>
        </w:tc>
        <w:tc>
          <w:tcPr>
            <w:tcW w:w="709" w:type="dxa"/>
          </w:tcPr>
          <w:p w:rsidR="009B2A14" w:rsidRDefault="009B2A14" w:rsidP="009B2A14">
            <w:pPr>
              <w:spacing w:after="0"/>
              <w:jc w:val="center"/>
              <w:rPr>
                <w:sz w:val="18"/>
                <w:szCs w:val="18"/>
              </w:rPr>
            </w:pPr>
            <w:r w:rsidRPr="001C27DF">
              <w:rPr>
                <w:sz w:val="18"/>
                <w:szCs w:val="18"/>
              </w:rPr>
              <w:t>Yes</w:t>
            </w:r>
          </w:p>
          <w:p w:rsidR="009B2A14" w:rsidRDefault="009B2A14" w:rsidP="009B2A14">
            <w:pPr>
              <w:spacing w:after="0"/>
              <w:jc w:val="center"/>
            </w:pPr>
            <w:r>
              <w:rPr>
                <w:sz w:val="18"/>
                <w:szCs w:val="18"/>
              </w:rPr>
              <w:t>No</w:t>
            </w:r>
          </w:p>
        </w:tc>
        <w:tc>
          <w:tcPr>
            <w:tcW w:w="1805" w:type="dxa"/>
          </w:tcPr>
          <w:p w:rsidR="009B2A14" w:rsidRDefault="009B2A14" w:rsidP="009B2A14">
            <w:pPr>
              <w:spacing w:after="0"/>
              <w:jc w:val="center"/>
              <w:rPr>
                <w:sz w:val="18"/>
                <w:szCs w:val="18"/>
              </w:rPr>
            </w:pPr>
            <w:r w:rsidRPr="007D4016">
              <w:rPr>
                <w:sz w:val="18"/>
                <w:szCs w:val="18"/>
              </w:rPr>
              <w:t>7</w:t>
            </w:r>
          </w:p>
          <w:p w:rsidR="009B2A14" w:rsidRDefault="009B2A14" w:rsidP="009B2A14">
            <w:pPr>
              <w:spacing w:after="0"/>
              <w:jc w:val="center"/>
            </w:pPr>
            <w:r>
              <w:rPr>
                <w:sz w:val="18"/>
                <w:szCs w:val="18"/>
              </w:rPr>
              <w:t>177</w:t>
            </w:r>
          </w:p>
        </w:tc>
      </w:tr>
      <w:tr w:rsidR="009B2A14" w:rsidRPr="00DE5B46" w:rsidTr="0056680A">
        <w:trPr>
          <w:cantSplit/>
          <w:trHeight w:val="2960"/>
          <w:jc w:val="center"/>
        </w:trPr>
        <w:tc>
          <w:tcPr>
            <w:tcW w:w="0" w:type="auto"/>
            <w:vAlign w:val="center"/>
          </w:tcPr>
          <w:p w:rsidR="009B2A14" w:rsidRPr="007A701C" w:rsidRDefault="009B2A14" w:rsidP="009B2A14">
            <w:pPr>
              <w:spacing w:after="0"/>
              <w:jc w:val="center"/>
              <w:rPr>
                <w:color w:val="000000"/>
                <w:sz w:val="18"/>
                <w:szCs w:val="18"/>
              </w:rPr>
            </w:pPr>
            <w:r w:rsidRPr="007A701C">
              <w:rPr>
                <w:color w:val="000000"/>
                <w:sz w:val="18"/>
                <w:szCs w:val="18"/>
              </w:rPr>
              <w:t>210</w:t>
            </w:r>
          </w:p>
        </w:tc>
        <w:tc>
          <w:tcPr>
            <w:tcW w:w="2905" w:type="dxa"/>
          </w:tcPr>
          <w:p w:rsidR="009B2A14" w:rsidRPr="007A701C" w:rsidRDefault="009B2A14" w:rsidP="009B2A14">
            <w:pPr>
              <w:spacing w:after="0"/>
              <w:jc w:val="center"/>
              <w:rPr>
                <w:sz w:val="18"/>
                <w:szCs w:val="18"/>
              </w:rPr>
            </w:pPr>
            <w:r w:rsidRPr="007A701C">
              <w:rPr>
                <w:sz w:val="18"/>
                <w:szCs w:val="18"/>
              </w:rPr>
              <w:t>Placenta</w:t>
            </w:r>
          </w:p>
          <w:p w:rsidR="009B2A14" w:rsidRPr="007A701C" w:rsidRDefault="009B2A14" w:rsidP="009B2A14">
            <w:pPr>
              <w:spacing w:after="0"/>
              <w:jc w:val="center"/>
              <w:rPr>
                <w:sz w:val="18"/>
                <w:szCs w:val="18"/>
              </w:rPr>
            </w:pPr>
            <w:r w:rsidRPr="007A701C">
              <w:rPr>
                <w:sz w:val="18"/>
                <w:szCs w:val="18"/>
              </w:rPr>
              <w:t>MPB (plasma)</w:t>
            </w:r>
          </w:p>
          <w:p w:rsidR="009B2A14" w:rsidRPr="007A701C" w:rsidRDefault="009B2A14" w:rsidP="009B2A14">
            <w:pPr>
              <w:spacing w:after="0"/>
              <w:jc w:val="center"/>
              <w:rPr>
                <w:sz w:val="18"/>
                <w:szCs w:val="18"/>
              </w:rPr>
            </w:pPr>
            <w:r w:rsidRPr="007A701C">
              <w:rPr>
                <w:sz w:val="18"/>
                <w:szCs w:val="18"/>
              </w:rPr>
              <w:t>Placenta (villi)</w:t>
            </w:r>
          </w:p>
          <w:p w:rsidR="009B2A14" w:rsidRPr="007A701C" w:rsidRDefault="009B2A14" w:rsidP="009B2A14">
            <w:pPr>
              <w:spacing w:after="0"/>
              <w:jc w:val="center"/>
              <w:rPr>
                <w:sz w:val="18"/>
                <w:szCs w:val="18"/>
              </w:rPr>
            </w:pPr>
            <w:r w:rsidRPr="007A701C">
              <w:rPr>
                <w:sz w:val="18"/>
                <w:szCs w:val="18"/>
              </w:rPr>
              <w:t>Placenta</w:t>
            </w:r>
          </w:p>
          <w:p w:rsidR="009B2A14" w:rsidRPr="007A701C" w:rsidRDefault="009B2A14" w:rsidP="009B2A14">
            <w:pPr>
              <w:spacing w:after="0"/>
              <w:jc w:val="center"/>
              <w:rPr>
                <w:sz w:val="18"/>
                <w:szCs w:val="18"/>
              </w:rPr>
            </w:pPr>
            <w:r w:rsidRPr="007A701C">
              <w:rPr>
                <w:sz w:val="18"/>
                <w:szCs w:val="18"/>
              </w:rPr>
              <w:t>MPB (serum)</w:t>
            </w:r>
          </w:p>
          <w:p w:rsidR="009B2A14" w:rsidRPr="007A701C" w:rsidRDefault="009B2A14" w:rsidP="009B2A14">
            <w:pPr>
              <w:spacing w:after="0"/>
              <w:jc w:val="center"/>
              <w:rPr>
                <w:sz w:val="18"/>
                <w:szCs w:val="18"/>
              </w:rPr>
            </w:pPr>
            <w:r w:rsidRPr="007A701C">
              <w:rPr>
                <w:sz w:val="18"/>
                <w:szCs w:val="18"/>
              </w:rPr>
              <w:t>Placenta</w:t>
            </w:r>
          </w:p>
          <w:p w:rsidR="009B2A14" w:rsidRPr="007A701C" w:rsidRDefault="009B2A14" w:rsidP="009B2A14">
            <w:pPr>
              <w:spacing w:after="0"/>
              <w:jc w:val="center"/>
              <w:rPr>
                <w:sz w:val="18"/>
                <w:szCs w:val="18"/>
              </w:rPr>
            </w:pPr>
            <w:r w:rsidRPr="007A701C">
              <w:rPr>
                <w:sz w:val="18"/>
                <w:szCs w:val="18"/>
              </w:rPr>
              <w:t>Placenta</w:t>
            </w:r>
          </w:p>
          <w:p w:rsidR="009B2A14" w:rsidRPr="007A701C" w:rsidRDefault="009B2A14" w:rsidP="009B2A14">
            <w:pPr>
              <w:spacing w:after="0"/>
              <w:jc w:val="center"/>
              <w:rPr>
                <w:sz w:val="18"/>
                <w:szCs w:val="18"/>
              </w:rPr>
            </w:pPr>
            <w:r w:rsidRPr="007A701C">
              <w:rPr>
                <w:sz w:val="18"/>
                <w:szCs w:val="18"/>
              </w:rPr>
              <w:t>MPB (serum)</w:t>
            </w:r>
          </w:p>
          <w:p w:rsidR="009B2A14" w:rsidRPr="007A701C" w:rsidRDefault="009B2A14" w:rsidP="009B2A14">
            <w:pPr>
              <w:spacing w:after="0"/>
              <w:jc w:val="center"/>
              <w:rPr>
                <w:sz w:val="18"/>
                <w:szCs w:val="18"/>
              </w:rPr>
            </w:pPr>
            <w:r w:rsidRPr="007A701C">
              <w:rPr>
                <w:sz w:val="18"/>
                <w:szCs w:val="18"/>
              </w:rPr>
              <w:t>MPB (serum)</w:t>
            </w:r>
          </w:p>
          <w:p w:rsidR="00000000" w:rsidRDefault="009B2A14">
            <w:pPr>
              <w:spacing w:after="0"/>
              <w:jc w:val="center"/>
              <w:rPr>
                <w:sz w:val="18"/>
                <w:szCs w:val="18"/>
              </w:rPr>
            </w:pPr>
            <w:r w:rsidRPr="007A701C">
              <w:rPr>
                <w:sz w:val="18"/>
                <w:szCs w:val="18"/>
              </w:rPr>
              <w:t>MPB</w:t>
            </w:r>
          </w:p>
          <w:p w:rsidR="00000000" w:rsidRDefault="009B2A14">
            <w:pPr>
              <w:spacing w:after="0"/>
              <w:jc w:val="center"/>
              <w:rPr>
                <w:sz w:val="18"/>
                <w:szCs w:val="18"/>
              </w:rPr>
            </w:pPr>
            <w:r w:rsidRPr="007A701C">
              <w:rPr>
                <w:sz w:val="18"/>
                <w:szCs w:val="18"/>
              </w:rPr>
              <w:t>MPB</w:t>
            </w:r>
          </w:p>
          <w:p w:rsidR="009B2A14" w:rsidRDefault="009B2A14" w:rsidP="009B2A14">
            <w:pPr>
              <w:spacing w:after="0"/>
              <w:jc w:val="center"/>
              <w:rPr>
                <w:sz w:val="18"/>
                <w:szCs w:val="18"/>
              </w:rPr>
            </w:pPr>
            <w:r w:rsidRPr="007A701C">
              <w:rPr>
                <w:sz w:val="18"/>
                <w:szCs w:val="18"/>
              </w:rPr>
              <w:t>Placenta (chorionic plate)</w:t>
            </w:r>
          </w:p>
          <w:p w:rsidR="009B2A14" w:rsidRDefault="009B2A14" w:rsidP="009B2A14">
            <w:pPr>
              <w:spacing w:after="0"/>
              <w:jc w:val="center"/>
              <w:rPr>
                <w:sz w:val="18"/>
                <w:szCs w:val="18"/>
              </w:rPr>
            </w:pPr>
            <w:r>
              <w:rPr>
                <w:sz w:val="18"/>
                <w:szCs w:val="18"/>
              </w:rPr>
              <w:t>MPB (serum)</w:t>
            </w:r>
          </w:p>
          <w:p w:rsidR="009B2A14" w:rsidRDefault="009B2A14" w:rsidP="009B2A14">
            <w:pPr>
              <w:spacing w:after="0"/>
              <w:jc w:val="center"/>
              <w:rPr>
                <w:sz w:val="18"/>
                <w:szCs w:val="18"/>
              </w:rPr>
            </w:pPr>
            <w:r>
              <w:rPr>
                <w:sz w:val="18"/>
                <w:szCs w:val="18"/>
              </w:rPr>
              <w:t>Urine</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MPB (serum)</w:t>
            </w:r>
          </w:p>
          <w:p w:rsidR="009B2A14" w:rsidRDefault="009B2A14" w:rsidP="009B2A14">
            <w:pPr>
              <w:spacing w:after="0"/>
              <w:jc w:val="center"/>
              <w:rPr>
                <w:sz w:val="18"/>
                <w:szCs w:val="18"/>
              </w:rPr>
            </w:pPr>
            <w:r>
              <w:rPr>
                <w:sz w:val="18"/>
                <w:szCs w:val="18"/>
              </w:rPr>
              <w:t>MPB (buffy coat)</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MPB (serum)</w:t>
            </w:r>
          </w:p>
          <w:p w:rsidR="006F7027" w:rsidRDefault="006F7027" w:rsidP="009B2A14">
            <w:pPr>
              <w:spacing w:after="0"/>
              <w:jc w:val="center"/>
              <w:rPr>
                <w:sz w:val="18"/>
                <w:szCs w:val="18"/>
              </w:rPr>
            </w:pPr>
            <w:r>
              <w:rPr>
                <w:sz w:val="18"/>
                <w:szCs w:val="18"/>
              </w:rPr>
              <w:t>MPB (plasma)</w:t>
            </w:r>
          </w:p>
          <w:p w:rsidR="002C6A2C" w:rsidRPr="007A701C" w:rsidRDefault="002C6A2C" w:rsidP="009B2A14">
            <w:pPr>
              <w:spacing w:after="0"/>
              <w:jc w:val="center"/>
              <w:rPr>
                <w:sz w:val="18"/>
                <w:szCs w:val="18"/>
              </w:rPr>
            </w:pPr>
            <w:r>
              <w:rPr>
                <w:sz w:val="18"/>
                <w:szCs w:val="18"/>
              </w:rPr>
              <w:t>MPB (plasma)</w:t>
            </w:r>
          </w:p>
        </w:tc>
        <w:tc>
          <w:tcPr>
            <w:tcW w:w="2976" w:type="dxa"/>
            <w:vAlign w:val="center"/>
          </w:tcPr>
          <w:p w:rsidR="009B2A14" w:rsidRPr="007A701C" w:rsidRDefault="009B2A14" w:rsidP="009B2A14">
            <w:pPr>
              <w:spacing w:after="0"/>
              <w:jc w:val="center"/>
              <w:rPr>
                <w:color w:val="000000"/>
                <w:sz w:val="18"/>
                <w:szCs w:val="18"/>
              </w:rPr>
            </w:pPr>
            <w:r w:rsidRPr="007A701C">
              <w:rPr>
                <w:color w:val="000000"/>
                <w:sz w:val="18"/>
                <w:szCs w:val="18"/>
              </w:rPr>
              <w:t>Up in PE</w:t>
            </w:r>
          </w:p>
          <w:p w:rsidR="009B2A14" w:rsidRPr="007A701C" w:rsidRDefault="009B2A14" w:rsidP="009B2A14">
            <w:pPr>
              <w:spacing w:after="0"/>
              <w:jc w:val="center"/>
              <w:rPr>
                <w:color w:val="000000"/>
                <w:sz w:val="18"/>
                <w:szCs w:val="18"/>
              </w:rPr>
            </w:pPr>
            <w:r w:rsidRPr="007A701C">
              <w:rPr>
                <w:color w:val="000000"/>
                <w:sz w:val="18"/>
                <w:szCs w:val="18"/>
              </w:rPr>
              <w:t>NR</w:t>
            </w:r>
          </w:p>
          <w:p w:rsidR="009B2A14" w:rsidRPr="007A701C" w:rsidRDefault="009B2A14" w:rsidP="009B2A14">
            <w:pPr>
              <w:spacing w:after="0"/>
              <w:jc w:val="center"/>
              <w:rPr>
                <w:color w:val="000000"/>
                <w:sz w:val="18"/>
                <w:szCs w:val="18"/>
              </w:rPr>
            </w:pPr>
            <w:r w:rsidRPr="007A701C">
              <w:rPr>
                <w:color w:val="000000"/>
                <w:sz w:val="18"/>
                <w:szCs w:val="18"/>
              </w:rPr>
              <w:t>NR</w:t>
            </w:r>
          </w:p>
          <w:p w:rsidR="009B2A14" w:rsidRPr="007A701C" w:rsidRDefault="009B2A14" w:rsidP="009B2A14">
            <w:pPr>
              <w:spacing w:after="0"/>
              <w:jc w:val="center"/>
              <w:rPr>
                <w:color w:val="000000"/>
                <w:sz w:val="18"/>
                <w:szCs w:val="18"/>
              </w:rPr>
            </w:pPr>
            <w:r w:rsidRPr="007A701C">
              <w:rPr>
                <w:color w:val="000000"/>
                <w:sz w:val="18"/>
                <w:szCs w:val="18"/>
              </w:rPr>
              <w:t>Up in PE</w:t>
            </w:r>
          </w:p>
          <w:p w:rsidR="009B2A14" w:rsidRPr="007A701C" w:rsidRDefault="009B2A14" w:rsidP="009B2A14">
            <w:pPr>
              <w:spacing w:after="0"/>
              <w:jc w:val="center"/>
              <w:rPr>
                <w:color w:val="000000"/>
                <w:sz w:val="18"/>
                <w:szCs w:val="18"/>
              </w:rPr>
            </w:pPr>
            <w:r w:rsidRPr="007A701C">
              <w:rPr>
                <w:color w:val="000000"/>
                <w:sz w:val="18"/>
                <w:szCs w:val="18"/>
              </w:rPr>
              <w:t>Up in PE</w:t>
            </w:r>
          </w:p>
          <w:p w:rsidR="009B2A14" w:rsidRPr="007A701C" w:rsidRDefault="009B2A14" w:rsidP="009B2A14">
            <w:pPr>
              <w:spacing w:after="0"/>
              <w:jc w:val="center"/>
              <w:rPr>
                <w:color w:val="000000"/>
                <w:sz w:val="18"/>
                <w:szCs w:val="18"/>
              </w:rPr>
            </w:pPr>
            <w:r w:rsidRPr="007A701C">
              <w:rPr>
                <w:color w:val="000000"/>
                <w:sz w:val="18"/>
                <w:szCs w:val="18"/>
              </w:rPr>
              <w:t>Up in PE</w:t>
            </w:r>
          </w:p>
          <w:p w:rsidR="009B2A14" w:rsidRPr="007A701C" w:rsidRDefault="009B2A14" w:rsidP="009B2A14">
            <w:pPr>
              <w:spacing w:after="0"/>
              <w:jc w:val="center"/>
              <w:rPr>
                <w:color w:val="000000"/>
                <w:sz w:val="18"/>
                <w:szCs w:val="18"/>
              </w:rPr>
            </w:pPr>
            <w:r w:rsidRPr="007A701C">
              <w:rPr>
                <w:color w:val="000000"/>
                <w:sz w:val="18"/>
                <w:szCs w:val="18"/>
              </w:rPr>
              <w:t>Up in PE</w:t>
            </w:r>
          </w:p>
          <w:p w:rsidR="009B2A14" w:rsidRPr="007A701C" w:rsidRDefault="009B2A14" w:rsidP="009B2A14">
            <w:pPr>
              <w:spacing w:after="0"/>
              <w:jc w:val="center"/>
              <w:rPr>
                <w:color w:val="000000"/>
                <w:sz w:val="18"/>
                <w:szCs w:val="18"/>
              </w:rPr>
            </w:pPr>
            <w:r w:rsidRPr="007A701C">
              <w:rPr>
                <w:color w:val="000000"/>
                <w:sz w:val="18"/>
                <w:szCs w:val="18"/>
              </w:rPr>
              <w:t>Up in PE</w:t>
            </w:r>
          </w:p>
          <w:p w:rsidR="009B2A14" w:rsidRDefault="009B2A14" w:rsidP="009B2A14">
            <w:pPr>
              <w:spacing w:after="0"/>
              <w:jc w:val="center"/>
              <w:rPr>
                <w:color w:val="000000"/>
                <w:sz w:val="18"/>
                <w:szCs w:val="18"/>
              </w:rPr>
            </w:pPr>
            <w:r w:rsidRPr="007A701C">
              <w:rPr>
                <w:color w:val="000000"/>
                <w:sz w:val="18"/>
                <w:szCs w:val="18"/>
              </w:rPr>
              <w:t>Up in 1</w:t>
            </w:r>
            <w:r w:rsidR="00E33D6E" w:rsidRPr="00E33D6E">
              <w:rPr>
                <w:color w:val="000000"/>
                <w:sz w:val="18"/>
                <w:szCs w:val="18"/>
                <w:vertAlign w:val="superscript"/>
              </w:rPr>
              <w:t>st</w:t>
            </w:r>
            <w:r w:rsidRPr="007A701C">
              <w:rPr>
                <w:color w:val="000000"/>
                <w:sz w:val="18"/>
                <w:szCs w:val="18"/>
              </w:rPr>
              <w:t>, 2</w:t>
            </w:r>
            <w:r w:rsidR="00E33D6E" w:rsidRPr="00E33D6E">
              <w:rPr>
                <w:color w:val="000000"/>
                <w:sz w:val="18"/>
                <w:szCs w:val="18"/>
                <w:vertAlign w:val="superscript"/>
              </w:rPr>
              <w:t>nd</w:t>
            </w:r>
            <w:r w:rsidRPr="007A701C">
              <w:rPr>
                <w:color w:val="000000"/>
                <w:sz w:val="18"/>
                <w:szCs w:val="18"/>
              </w:rPr>
              <w:t xml:space="preserve"> and 3</w:t>
            </w:r>
            <w:r w:rsidR="00E33D6E" w:rsidRPr="00E33D6E">
              <w:rPr>
                <w:color w:val="000000"/>
                <w:sz w:val="18"/>
                <w:szCs w:val="18"/>
                <w:vertAlign w:val="superscript"/>
              </w:rPr>
              <w:t>rd</w:t>
            </w:r>
            <w:r w:rsidRPr="007A701C">
              <w:rPr>
                <w:color w:val="000000"/>
                <w:sz w:val="18"/>
                <w:szCs w:val="18"/>
              </w:rPr>
              <w:t xml:space="preserve"> trimester</w:t>
            </w:r>
          </w:p>
          <w:p w:rsidR="009B2A14" w:rsidRPr="007A701C" w:rsidRDefault="009B2A14" w:rsidP="009B2A14">
            <w:pPr>
              <w:spacing w:after="0"/>
              <w:jc w:val="center"/>
              <w:rPr>
                <w:color w:val="000000"/>
                <w:sz w:val="18"/>
                <w:szCs w:val="18"/>
              </w:rPr>
            </w:pPr>
            <w:r w:rsidRPr="007A701C">
              <w:rPr>
                <w:color w:val="000000"/>
                <w:sz w:val="18"/>
                <w:szCs w:val="18"/>
              </w:rPr>
              <w:t>No difference vs. preconceptional</w:t>
            </w:r>
          </w:p>
          <w:p w:rsidR="009B2A14" w:rsidRPr="007A701C" w:rsidRDefault="009B2A14" w:rsidP="009B2A14">
            <w:pPr>
              <w:spacing w:after="0"/>
              <w:jc w:val="center"/>
              <w:rPr>
                <w:color w:val="000000"/>
                <w:sz w:val="18"/>
                <w:szCs w:val="18"/>
              </w:rPr>
            </w:pPr>
            <w:r w:rsidRPr="007A701C">
              <w:rPr>
                <w:color w:val="000000"/>
                <w:sz w:val="18"/>
                <w:szCs w:val="18"/>
              </w:rPr>
              <w:t>No difference vs. 1</w:t>
            </w:r>
            <w:r w:rsidR="00E33D6E" w:rsidRPr="00E33D6E">
              <w:rPr>
                <w:color w:val="000000"/>
                <w:sz w:val="18"/>
                <w:szCs w:val="18"/>
                <w:vertAlign w:val="superscript"/>
              </w:rPr>
              <w:t>st</w:t>
            </w:r>
            <w:r w:rsidRPr="007A701C">
              <w:rPr>
                <w:color w:val="000000"/>
                <w:sz w:val="18"/>
                <w:szCs w:val="18"/>
              </w:rPr>
              <w:t xml:space="preserve"> trimester control</w:t>
            </w:r>
          </w:p>
          <w:p w:rsidR="009B2A14" w:rsidRDefault="009B2A14" w:rsidP="009B2A14">
            <w:pPr>
              <w:spacing w:after="0"/>
              <w:jc w:val="center"/>
              <w:rPr>
                <w:color w:val="000000"/>
                <w:sz w:val="18"/>
                <w:szCs w:val="18"/>
              </w:rPr>
            </w:pPr>
            <w:r w:rsidRPr="007A701C">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Up in PE</w:t>
            </w:r>
          </w:p>
          <w:p w:rsidR="006F7027" w:rsidRDefault="006F7027" w:rsidP="009B2A14">
            <w:pPr>
              <w:spacing w:after="0"/>
              <w:jc w:val="center"/>
              <w:rPr>
                <w:color w:val="000000"/>
                <w:sz w:val="18"/>
                <w:szCs w:val="18"/>
              </w:rPr>
            </w:pPr>
            <w:r>
              <w:rPr>
                <w:color w:val="000000"/>
                <w:sz w:val="18"/>
                <w:szCs w:val="18"/>
              </w:rPr>
              <w:t>Down in PE</w:t>
            </w:r>
          </w:p>
          <w:p w:rsidR="002C6A2C" w:rsidRPr="007A701C" w:rsidRDefault="002C6A2C" w:rsidP="009B2A14">
            <w:pPr>
              <w:spacing w:after="0"/>
              <w:jc w:val="center"/>
              <w:rPr>
                <w:color w:val="000000"/>
                <w:sz w:val="18"/>
                <w:szCs w:val="18"/>
              </w:rPr>
            </w:pPr>
            <w:r>
              <w:rPr>
                <w:color w:val="000000"/>
                <w:sz w:val="18"/>
                <w:szCs w:val="18"/>
              </w:rPr>
              <w:t>Up in mPE</w:t>
            </w:r>
          </w:p>
        </w:tc>
        <w:tc>
          <w:tcPr>
            <w:tcW w:w="709" w:type="dxa"/>
          </w:tcPr>
          <w:p w:rsidR="009B2A14" w:rsidRPr="007A701C" w:rsidRDefault="009B2A14" w:rsidP="009B2A14">
            <w:pPr>
              <w:spacing w:after="0"/>
              <w:jc w:val="center"/>
              <w:rPr>
                <w:sz w:val="18"/>
                <w:szCs w:val="18"/>
              </w:rPr>
            </w:pPr>
            <w:r w:rsidRPr="007A701C">
              <w:rPr>
                <w:sz w:val="18"/>
                <w:szCs w:val="18"/>
              </w:rPr>
              <w:t>Yes</w:t>
            </w:r>
          </w:p>
          <w:p w:rsidR="009B2A14" w:rsidRPr="007A701C" w:rsidRDefault="009B2A14" w:rsidP="009B2A14">
            <w:pPr>
              <w:spacing w:after="0"/>
              <w:jc w:val="center"/>
              <w:rPr>
                <w:sz w:val="18"/>
                <w:szCs w:val="18"/>
              </w:rPr>
            </w:pPr>
            <w:r w:rsidRPr="007A701C">
              <w:rPr>
                <w:sz w:val="18"/>
                <w:szCs w:val="18"/>
              </w:rPr>
              <w:t>NR</w:t>
            </w:r>
          </w:p>
          <w:p w:rsidR="009B2A14" w:rsidRPr="007A701C" w:rsidRDefault="009B2A14" w:rsidP="009B2A14">
            <w:pPr>
              <w:spacing w:after="0"/>
              <w:jc w:val="center"/>
              <w:rPr>
                <w:sz w:val="18"/>
                <w:szCs w:val="18"/>
              </w:rPr>
            </w:pPr>
            <w:r w:rsidRPr="007A701C">
              <w:rPr>
                <w:sz w:val="18"/>
                <w:szCs w:val="18"/>
              </w:rPr>
              <w:t>NR</w:t>
            </w:r>
          </w:p>
          <w:p w:rsidR="009B2A14" w:rsidRPr="007A701C" w:rsidRDefault="009B2A14" w:rsidP="009B2A14">
            <w:pPr>
              <w:spacing w:after="0"/>
              <w:jc w:val="center"/>
              <w:rPr>
                <w:sz w:val="18"/>
                <w:szCs w:val="18"/>
              </w:rPr>
            </w:pPr>
            <w:r w:rsidRPr="007A701C">
              <w:rPr>
                <w:sz w:val="18"/>
                <w:szCs w:val="18"/>
              </w:rPr>
              <w:t>Yes</w:t>
            </w:r>
          </w:p>
          <w:p w:rsidR="009B2A14" w:rsidRPr="007A701C" w:rsidRDefault="009B2A14" w:rsidP="009B2A14">
            <w:pPr>
              <w:spacing w:after="0"/>
              <w:jc w:val="center"/>
              <w:rPr>
                <w:sz w:val="18"/>
                <w:szCs w:val="18"/>
              </w:rPr>
            </w:pPr>
            <w:r w:rsidRPr="007A701C">
              <w:rPr>
                <w:sz w:val="18"/>
                <w:szCs w:val="18"/>
              </w:rPr>
              <w:t>Yes</w:t>
            </w:r>
          </w:p>
          <w:p w:rsidR="009B2A14" w:rsidRPr="007A701C" w:rsidRDefault="009B2A14" w:rsidP="009B2A14">
            <w:pPr>
              <w:spacing w:after="0"/>
              <w:jc w:val="center"/>
              <w:rPr>
                <w:sz w:val="18"/>
                <w:szCs w:val="18"/>
              </w:rPr>
            </w:pPr>
            <w:r w:rsidRPr="007A701C">
              <w:rPr>
                <w:sz w:val="18"/>
                <w:szCs w:val="18"/>
              </w:rPr>
              <w:t>Yes</w:t>
            </w:r>
          </w:p>
          <w:p w:rsidR="009B2A14" w:rsidRPr="007A701C" w:rsidRDefault="009B2A14" w:rsidP="009B2A14">
            <w:pPr>
              <w:spacing w:after="0"/>
              <w:jc w:val="center"/>
              <w:rPr>
                <w:sz w:val="18"/>
                <w:szCs w:val="18"/>
              </w:rPr>
            </w:pPr>
            <w:r w:rsidRPr="007A701C">
              <w:rPr>
                <w:sz w:val="18"/>
                <w:szCs w:val="18"/>
              </w:rPr>
              <w:t>Yes</w:t>
            </w:r>
          </w:p>
          <w:p w:rsidR="009B2A14" w:rsidRPr="007A701C" w:rsidRDefault="009B2A14" w:rsidP="009B2A14">
            <w:pPr>
              <w:spacing w:after="0"/>
              <w:jc w:val="center"/>
              <w:rPr>
                <w:sz w:val="18"/>
                <w:szCs w:val="18"/>
              </w:rPr>
            </w:pPr>
            <w:r w:rsidRPr="007A701C">
              <w:rPr>
                <w:sz w:val="18"/>
                <w:szCs w:val="18"/>
              </w:rPr>
              <w:t>NR</w:t>
            </w:r>
          </w:p>
          <w:p w:rsidR="009B2A14" w:rsidRPr="007A701C" w:rsidRDefault="009B2A14" w:rsidP="009B2A14">
            <w:pPr>
              <w:spacing w:after="0"/>
              <w:jc w:val="center"/>
              <w:rPr>
                <w:sz w:val="18"/>
                <w:szCs w:val="18"/>
              </w:rPr>
            </w:pPr>
            <w:r w:rsidRPr="007A701C">
              <w:rPr>
                <w:sz w:val="18"/>
                <w:szCs w:val="18"/>
              </w:rPr>
              <w:t>Yes</w:t>
            </w:r>
          </w:p>
          <w:p w:rsidR="009B2A14" w:rsidRPr="007A701C" w:rsidRDefault="009B2A14" w:rsidP="006F7027">
            <w:pPr>
              <w:spacing w:after="0"/>
              <w:jc w:val="center"/>
              <w:rPr>
                <w:sz w:val="18"/>
                <w:szCs w:val="18"/>
              </w:rPr>
            </w:pPr>
            <w:r w:rsidRPr="007A701C">
              <w:rPr>
                <w:sz w:val="18"/>
                <w:szCs w:val="18"/>
              </w:rPr>
              <w:t>No</w:t>
            </w:r>
          </w:p>
          <w:p w:rsidR="009B2A14" w:rsidRPr="007A701C" w:rsidRDefault="009B2A14" w:rsidP="006F7027">
            <w:pPr>
              <w:spacing w:after="0"/>
              <w:jc w:val="center"/>
              <w:rPr>
                <w:sz w:val="18"/>
                <w:szCs w:val="18"/>
              </w:rPr>
            </w:pPr>
            <w:r w:rsidRPr="007A701C">
              <w:rPr>
                <w:sz w:val="18"/>
                <w:szCs w:val="18"/>
              </w:rPr>
              <w:t>No</w:t>
            </w:r>
          </w:p>
          <w:p w:rsidR="009B2A14" w:rsidRDefault="009B2A14" w:rsidP="009B2A14">
            <w:pPr>
              <w:spacing w:after="0"/>
              <w:jc w:val="center"/>
              <w:rPr>
                <w:sz w:val="18"/>
                <w:szCs w:val="18"/>
              </w:rPr>
            </w:pPr>
            <w:r w:rsidRPr="007A701C">
              <w:rPr>
                <w:sz w:val="18"/>
                <w:szCs w:val="18"/>
              </w:rPr>
              <w:t>Yes</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No</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p w:rsidR="006F7027" w:rsidRDefault="006F7027" w:rsidP="009B2A14">
            <w:pPr>
              <w:spacing w:after="0"/>
              <w:jc w:val="center"/>
              <w:rPr>
                <w:sz w:val="18"/>
                <w:szCs w:val="18"/>
              </w:rPr>
            </w:pPr>
            <w:r>
              <w:rPr>
                <w:sz w:val="18"/>
                <w:szCs w:val="18"/>
              </w:rPr>
              <w:t>Yes</w:t>
            </w:r>
          </w:p>
          <w:p w:rsidR="002C6A2C" w:rsidRPr="007A701C" w:rsidRDefault="002C6A2C" w:rsidP="009B2A14">
            <w:pPr>
              <w:spacing w:after="0"/>
              <w:jc w:val="center"/>
              <w:rPr>
                <w:sz w:val="18"/>
                <w:szCs w:val="18"/>
              </w:rPr>
            </w:pPr>
            <w:r>
              <w:rPr>
                <w:sz w:val="18"/>
                <w:szCs w:val="18"/>
              </w:rPr>
              <w:t>Yes</w:t>
            </w:r>
          </w:p>
        </w:tc>
        <w:tc>
          <w:tcPr>
            <w:tcW w:w="1805" w:type="dxa"/>
          </w:tcPr>
          <w:p w:rsidR="009B2A14" w:rsidRPr="007A701C" w:rsidRDefault="009B2A14" w:rsidP="009B2A14">
            <w:pPr>
              <w:spacing w:after="0"/>
              <w:jc w:val="center"/>
              <w:rPr>
                <w:sz w:val="18"/>
                <w:szCs w:val="18"/>
              </w:rPr>
            </w:pPr>
            <w:r w:rsidRPr="007A701C">
              <w:rPr>
                <w:sz w:val="18"/>
                <w:szCs w:val="18"/>
              </w:rPr>
              <w:t>7</w:t>
            </w:r>
          </w:p>
          <w:p w:rsidR="009B2A14" w:rsidRPr="007A701C" w:rsidRDefault="009B2A14" w:rsidP="009B2A14">
            <w:pPr>
              <w:spacing w:after="0"/>
              <w:jc w:val="center"/>
              <w:rPr>
                <w:sz w:val="18"/>
                <w:szCs w:val="18"/>
              </w:rPr>
            </w:pPr>
            <w:r w:rsidRPr="007A701C">
              <w:rPr>
                <w:sz w:val="18"/>
                <w:szCs w:val="18"/>
              </w:rPr>
              <w:t>8</w:t>
            </w:r>
          </w:p>
          <w:p w:rsidR="009B2A14" w:rsidRPr="007A701C" w:rsidRDefault="009B2A14" w:rsidP="009B2A14">
            <w:pPr>
              <w:spacing w:after="0"/>
              <w:jc w:val="center"/>
              <w:rPr>
                <w:sz w:val="18"/>
                <w:szCs w:val="18"/>
              </w:rPr>
            </w:pPr>
            <w:r w:rsidRPr="007A701C">
              <w:rPr>
                <w:sz w:val="18"/>
                <w:szCs w:val="18"/>
              </w:rPr>
              <w:t>10</w:t>
            </w:r>
          </w:p>
          <w:p w:rsidR="009B2A14" w:rsidRPr="007A701C" w:rsidRDefault="009B2A14" w:rsidP="009B2A14">
            <w:pPr>
              <w:spacing w:after="0"/>
              <w:jc w:val="center"/>
              <w:rPr>
                <w:sz w:val="18"/>
                <w:szCs w:val="18"/>
              </w:rPr>
            </w:pPr>
            <w:r w:rsidRPr="007A701C">
              <w:rPr>
                <w:sz w:val="18"/>
                <w:szCs w:val="18"/>
              </w:rPr>
              <w:t>14</w:t>
            </w:r>
          </w:p>
          <w:p w:rsidR="009B2A14" w:rsidRPr="007A701C" w:rsidRDefault="009B2A14" w:rsidP="009B2A14">
            <w:pPr>
              <w:spacing w:after="0"/>
              <w:jc w:val="center"/>
              <w:rPr>
                <w:sz w:val="18"/>
                <w:szCs w:val="18"/>
              </w:rPr>
            </w:pPr>
            <w:r w:rsidRPr="007A701C">
              <w:rPr>
                <w:sz w:val="18"/>
                <w:szCs w:val="18"/>
              </w:rPr>
              <w:t>22</w:t>
            </w:r>
          </w:p>
          <w:p w:rsidR="009B2A14" w:rsidRPr="007A701C" w:rsidRDefault="009B2A14" w:rsidP="009B2A14">
            <w:pPr>
              <w:spacing w:after="0"/>
              <w:jc w:val="center"/>
              <w:rPr>
                <w:sz w:val="18"/>
                <w:szCs w:val="18"/>
              </w:rPr>
            </w:pPr>
            <w:r w:rsidRPr="007A701C">
              <w:rPr>
                <w:sz w:val="18"/>
                <w:szCs w:val="18"/>
              </w:rPr>
              <w:t>23</w:t>
            </w:r>
          </w:p>
          <w:p w:rsidR="009B2A14" w:rsidRPr="007A701C" w:rsidRDefault="009B2A14" w:rsidP="009B2A14">
            <w:pPr>
              <w:spacing w:after="0"/>
              <w:jc w:val="center"/>
              <w:rPr>
                <w:sz w:val="18"/>
                <w:szCs w:val="18"/>
              </w:rPr>
            </w:pPr>
            <w:r w:rsidRPr="007A701C">
              <w:rPr>
                <w:sz w:val="18"/>
                <w:szCs w:val="18"/>
              </w:rPr>
              <w:t>36</w:t>
            </w:r>
          </w:p>
          <w:p w:rsidR="009B2A14" w:rsidRPr="007A701C" w:rsidRDefault="009B2A14" w:rsidP="009B2A14">
            <w:pPr>
              <w:spacing w:after="0"/>
              <w:jc w:val="center"/>
              <w:rPr>
                <w:sz w:val="18"/>
                <w:szCs w:val="18"/>
              </w:rPr>
            </w:pPr>
            <w:r w:rsidRPr="007A701C">
              <w:rPr>
                <w:sz w:val="18"/>
                <w:szCs w:val="18"/>
              </w:rPr>
              <w:t>41</w:t>
            </w:r>
          </w:p>
          <w:p w:rsidR="009B2A14" w:rsidRPr="007A701C" w:rsidRDefault="009B2A14" w:rsidP="009B2A14">
            <w:pPr>
              <w:spacing w:after="0"/>
              <w:jc w:val="center"/>
              <w:rPr>
                <w:sz w:val="18"/>
                <w:szCs w:val="18"/>
              </w:rPr>
            </w:pPr>
            <w:r w:rsidRPr="007A701C">
              <w:rPr>
                <w:sz w:val="18"/>
                <w:szCs w:val="18"/>
              </w:rPr>
              <w:t>57</w:t>
            </w:r>
          </w:p>
          <w:p w:rsidR="009B2A14" w:rsidRPr="007A701C" w:rsidRDefault="009B2A14" w:rsidP="006F7027">
            <w:pPr>
              <w:spacing w:after="0"/>
              <w:jc w:val="center"/>
              <w:rPr>
                <w:sz w:val="18"/>
                <w:szCs w:val="18"/>
              </w:rPr>
            </w:pPr>
            <w:r w:rsidRPr="007A701C">
              <w:rPr>
                <w:sz w:val="18"/>
                <w:szCs w:val="18"/>
              </w:rPr>
              <w:t>63</w:t>
            </w:r>
          </w:p>
          <w:p w:rsidR="009B2A14" w:rsidRPr="007A701C" w:rsidRDefault="009B2A14" w:rsidP="006F7027">
            <w:pPr>
              <w:spacing w:after="0"/>
              <w:jc w:val="center"/>
              <w:rPr>
                <w:sz w:val="18"/>
                <w:szCs w:val="18"/>
              </w:rPr>
            </w:pPr>
            <w:r w:rsidRPr="007A701C">
              <w:rPr>
                <w:sz w:val="18"/>
                <w:szCs w:val="18"/>
              </w:rPr>
              <w:t>63</w:t>
            </w:r>
          </w:p>
          <w:p w:rsidR="009B2A14" w:rsidRDefault="009B2A14" w:rsidP="009B2A14">
            <w:pPr>
              <w:spacing w:after="0"/>
              <w:jc w:val="center"/>
              <w:rPr>
                <w:sz w:val="18"/>
                <w:szCs w:val="18"/>
              </w:rPr>
            </w:pPr>
            <w:r w:rsidRPr="007A701C">
              <w:rPr>
                <w:sz w:val="18"/>
                <w:szCs w:val="18"/>
              </w:rPr>
              <w:t>81</w:t>
            </w:r>
          </w:p>
          <w:p w:rsidR="009B2A14" w:rsidRDefault="009B2A14" w:rsidP="009B2A14">
            <w:pPr>
              <w:spacing w:after="0"/>
              <w:jc w:val="center"/>
              <w:rPr>
                <w:sz w:val="18"/>
                <w:szCs w:val="18"/>
              </w:rPr>
            </w:pPr>
            <w:r>
              <w:rPr>
                <w:sz w:val="18"/>
                <w:szCs w:val="18"/>
              </w:rPr>
              <w:t>86</w:t>
            </w:r>
          </w:p>
          <w:p w:rsidR="009B2A14" w:rsidRDefault="009B2A14" w:rsidP="009B2A14">
            <w:pPr>
              <w:spacing w:after="0"/>
              <w:jc w:val="center"/>
              <w:rPr>
                <w:sz w:val="18"/>
                <w:szCs w:val="18"/>
              </w:rPr>
            </w:pPr>
            <w:r>
              <w:rPr>
                <w:sz w:val="18"/>
                <w:szCs w:val="18"/>
              </w:rPr>
              <w:t>86</w:t>
            </w:r>
          </w:p>
          <w:p w:rsidR="009B2A14" w:rsidRDefault="009B2A14" w:rsidP="009B2A14">
            <w:pPr>
              <w:spacing w:after="0"/>
              <w:jc w:val="center"/>
              <w:rPr>
                <w:sz w:val="18"/>
                <w:szCs w:val="18"/>
              </w:rPr>
            </w:pPr>
            <w:r>
              <w:rPr>
                <w:sz w:val="18"/>
                <w:szCs w:val="18"/>
              </w:rPr>
              <w:t>95</w:t>
            </w:r>
          </w:p>
          <w:p w:rsidR="009B2A14" w:rsidRDefault="009B2A14" w:rsidP="009B2A14">
            <w:pPr>
              <w:spacing w:after="0"/>
              <w:jc w:val="center"/>
              <w:rPr>
                <w:sz w:val="18"/>
                <w:szCs w:val="18"/>
              </w:rPr>
            </w:pPr>
            <w:r>
              <w:rPr>
                <w:sz w:val="18"/>
                <w:szCs w:val="18"/>
              </w:rPr>
              <w:t>98</w:t>
            </w:r>
          </w:p>
          <w:p w:rsidR="009B2A14" w:rsidRDefault="009B2A14" w:rsidP="009B2A14">
            <w:pPr>
              <w:spacing w:after="0"/>
              <w:jc w:val="center"/>
              <w:rPr>
                <w:sz w:val="18"/>
                <w:szCs w:val="18"/>
              </w:rPr>
            </w:pPr>
            <w:r>
              <w:rPr>
                <w:sz w:val="18"/>
                <w:szCs w:val="18"/>
              </w:rPr>
              <w:t>128</w:t>
            </w:r>
          </w:p>
          <w:p w:rsidR="009B2A14" w:rsidRDefault="009B2A14" w:rsidP="009B2A14">
            <w:pPr>
              <w:spacing w:after="0"/>
              <w:jc w:val="center"/>
              <w:rPr>
                <w:sz w:val="18"/>
                <w:szCs w:val="18"/>
              </w:rPr>
            </w:pPr>
            <w:r>
              <w:rPr>
                <w:sz w:val="18"/>
                <w:szCs w:val="18"/>
              </w:rPr>
              <w:t>146</w:t>
            </w:r>
          </w:p>
          <w:p w:rsidR="009B2A14" w:rsidRDefault="009B2A14" w:rsidP="009B2A14">
            <w:pPr>
              <w:spacing w:after="0"/>
              <w:jc w:val="center"/>
              <w:rPr>
                <w:sz w:val="18"/>
                <w:szCs w:val="18"/>
              </w:rPr>
            </w:pPr>
            <w:r>
              <w:rPr>
                <w:sz w:val="18"/>
                <w:szCs w:val="18"/>
              </w:rPr>
              <w:t>151</w:t>
            </w:r>
          </w:p>
          <w:p w:rsidR="009B2A14" w:rsidRDefault="009B2A14" w:rsidP="009B2A14">
            <w:pPr>
              <w:spacing w:after="0"/>
              <w:jc w:val="center"/>
              <w:rPr>
                <w:sz w:val="18"/>
                <w:szCs w:val="18"/>
              </w:rPr>
            </w:pPr>
            <w:r>
              <w:rPr>
                <w:sz w:val="18"/>
                <w:szCs w:val="18"/>
              </w:rPr>
              <w:t>151</w:t>
            </w:r>
          </w:p>
          <w:p w:rsidR="009B2A14" w:rsidRDefault="009B2A14" w:rsidP="009B2A14">
            <w:pPr>
              <w:spacing w:after="0"/>
              <w:jc w:val="center"/>
              <w:rPr>
                <w:sz w:val="18"/>
                <w:szCs w:val="18"/>
              </w:rPr>
            </w:pPr>
            <w:r>
              <w:rPr>
                <w:sz w:val="18"/>
                <w:szCs w:val="18"/>
              </w:rPr>
              <w:t>152</w:t>
            </w:r>
          </w:p>
          <w:p w:rsidR="009B2A14" w:rsidRDefault="009B2A14" w:rsidP="009B2A14">
            <w:pPr>
              <w:spacing w:after="0"/>
              <w:jc w:val="center"/>
              <w:rPr>
                <w:sz w:val="18"/>
                <w:szCs w:val="18"/>
              </w:rPr>
            </w:pPr>
            <w:r>
              <w:rPr>
                <w:sz w:val="18"/>
                <w:szCs w:val="18"/>
              </w:rPr>
              <w:t>180</w:t>
            </w:r>
          </w:p>
          <w:p w:rsidR="009B2A14" w:rsidRDefault="009B2A14" w:rsidP="009B2A14">
            <w:pPr>
              <w:spacing w:after="0"/>
              <w:jc w:val="center"/>
              <w:rPr>
                <w:sz w:val="18"/>
                <w:szCs w:val="18"/>
              </w:rPr>
            </w:pPr>
            <w:r>
              <w:rPr>
                <w:sz w:val="18"/>
                <w:szCs w:val="18"/>
              </w:rPr>
              <w:t>191</w:t>
            </w:r>
          </w:p>
          <w:p w:rsidR="006F7027" w:rsidRDefault="006F7027" w:rsidP="009B2A14">
            <w:pPr>
              <w:spacing w:after="0"/>
              <w:jc w:val="center"/>
              <w:rPr>
                <w:sz w:val="18"/>
                <w:szCs w:val="18"/>
              </w:rPr>
            </w:pPr>
            <w:r>
              <w:rPr>
                <w:sz w:val="18"/>
                <w:szCs w:val="18"/>
              </w:rPr>
              <w:t>Akgor 2020</w:t>
            </w:r>
          </w:p>
          <w:p w:rsidR="002C6A2C" w:rsidRPr="007A701C" w:rsidRDefault="002C6A2C" w:rsidP="009B2A14">
            <w:pPr>
              <w:spacing w:after="0"/>
              <w:jc w:val="center"/>
              <w:rPr>
                <w:sz w:val="18"/>
                <w:szCs w:val="18"/>
              </w:rPr>
            </w:pPr>
            <w:r>
              <w:rPr>
                <w:sz w:val="18"/>
                <w:szCs w:val="18"/>
              </w:rPr>
              <w:t>Jairajpuri 2021</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210-3p</w:t>
            </w:r>
          </w:p>
        </w:tc>
        <w:tc>
          <w:tcPr>
            <w:tcW w:w="2905" w:type="dxa"/>
          </w:tcPr>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MPB (serum)</w:t>
            </w:r>
          </w:p>
          <w:p w:rsidR="009B2A14" w:rsidRPr="000910A1" w:rsidRDefault="009B2A14" w:rsidP="009B2A14">
            <w:pPr>
              <w:spacing w:after="0"/>
              <w:jc w:val="center"/>
              <w:rPr>
                <w:sz w:val="18"/>
                <w:szCs w:val="18"/>
              </w:rPr>
            </w:pPr>
            <w:r>
              <w:rPr>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Up in PE</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70</w:t>
            </w:r>
          </w:p>
          <w:p w:rsidR="009B2A14" w:rsidRPr="00DE5B46" w:rsidRDefault="009B2A14" w:rsidP="009B2A14">
            <w:pPr>
              <w:spacing w:after="0"/>
              <w:jc w:val="center"/>
              <w:rPr>
                <w:sz w:val="18"/>
                <w:szCs w:val="18"/>
              </w:rPr>
            </w:pPr>
            <w:r>
              <w:rPr>
                <w:sz w:val="18"/>
                <w:szCs w:val="18"/>
              </w:rPr>
              <w:t>170</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210-5p</w:t>
            </w:r>
          </w:p>
        </w:tc>
        <w:tc>
          <w:tcPr>
            <w:tcW w:w="2905" w:type="dxa"/>
          </w:tcPr>
          <w:p w:rsidR="009B2A14" w:rsidRDefault="009B2A14" w:rsidP="009B2A14">
            <w:pPr>
              <w:spacing w:after="0"/>
              <w:jc w:val="center"/>
              <w:rPr>
                <w:sz w:val="18"/>
                <w:szCs w:val="18"/>
              </w:rPr>
            </w:pPr>
            <w:r>
              <w:rPr>
                <w:sz w:val="18"/>
                <w:szCs w:val="18"/>
              </w:rPr>
              <w:t>MPB (serum)</w:t>
            </w:r>
          </w:p>
          <w:p w:rsidR="001B2C9F" w:rsidRPr="000910A1" w:rsidRDefault="001B2C9F" w:rsidP="009B2A14">
            <w:pPr>
              <w:spacing w:after="0"/>
              <w:jc w:val="center"/>
              <w:rPr>
                <w:sz w:val="18"/>
                <w:szCs w:val="18"/>
              </w:rPr>
            </w:pPr>
            <w:r>
              <w:rPr>
                <w:sz w:val="18"/>
                <w:szCs w:val="18"/>
              </w:rPr>
              <w:t>MPB (plasma)</w:t>
            </w:r>
          </w:p>
        </w:tc>
        <w:tc>
          <w:tcPr>
            <w:tcW w:w="2976" w:type="dxa"/>
            <w:vAlign w:val="bottom"/>
          </w:tcPr>
          <w:p w:rsidR="009B2A14" w:rsidRDefault="009B2A14" w:rsidP="009B2A14">
            <w:pPr>
              <w:spacing w:after="0"/>
              <w:jc w:val="center"/>
              <w:rPr>
                <w:color w:val="000000"/>
                <w:sz w:val="18"/>
                <w:szCs w:val="18"/>
              </w:rPr>
            </w:pPr>
            <w:r>
              <w:rPr>
                <w:color w:val="000000"/>
                <w:sz w:val="18"/>
                <w:szCs w:val="18"/>
              </w:rPr>
              <w:t>Up in PE</w:t>
            </w:r>
          </w:p>
          <w:p w:rsidR="001B2C9F" w:rsidRPr="00585202" w:rsidRDefault="001B2C9F"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sz w:val="18"/>
                <w:szCs w:val="18"/>
              </w:rPr>
            </w:pPr>
            <w:r>
              <w:rPr>
                <w:sz w:val="18"/>
                <w:szCs w:val="18"/>
              </w:rPr>
              <w:t>Yes</w:t>
            </w:r>
          </w:p>
          <w:p w:rsidR="001B2C9F" w:rsidRPr="001C27DF" w:rsidRDefault="001B2C9F" w:rsidP="009B2A14">
            <w:pPr>
              <w:spacing w:after="0"/>
              <w:jc w:val="center"/>
              <w:rPr>
                <w:sz w:val="18"/>
                <w:szCs w:val="18"/>
              </w:rPr>
            </w:pPr>
            <w:r>
              <w:rPr>
                <w:sz w:val="18"/>
                <w:szCs w:val="18"/>
              </w:rPr>
              <w:t>No</w:t>
            </w:r>
          </w:p>
        </w:tc>
        <w:tc>
          <w:tcPr>
            <w:tcW w:w="1805" w:type="dxa"/>
          </w:tcPr>
          <w:p w:rsidR="009B2A14" w:rsidRDefault="009B2A14" w:rsidP="009B2A14">
            <w:pPr>
              <w:spacing w:after="0"/>
              <w:jc w:val="center"/>
              <w:rPr>
                <w:sz w:val="18"/>
                <w:szCs w:val="18"/>
              </w:rPr>
            </w:pPr>
            <w:r>
              <w:rPr>
                <w:sz w:val="18"/>
                <w:szCs w:val="18"/>
              </w:rPr>
              <w:t>70</w:t>
            </w:r>
          </w:p>
          <w:p w:rsidR="001B2C9F" w:rsidRPr="007D4016" w:rsidRDefault="001B2C9F" w:rsidP="009B2A14">
            <w:pPr>
              <w:spacing w:after="0"/>
              <w:jc w:val="center"/>
              <w:rPr>
                <w:sz w:val="18"/>
                <w:szCs w:val="18"/>
              </w:rPr>
            </w:pPr>
            <w:r>
              <w:rPr>
                <w:sz w:val="18"/>
                <w:szCs w:val="18"/>
              </w:rPr>
              <w:t>Kolkova 2021</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154</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Down in PE</w:t>
            </w:r>
          </w:p>
        </w:tc>
        <w:tc>
          <w:tcPr>
            <w:tcW w:w="709" w:type="dxa"/>
          </w:tcPr>
          <w:p w:rsidR="009B2A14" w:rsidRDefault="009B2A14" w:rsidP="009B2A14">
            <w:pPr>
              <w:spacing w:after="0"/>
              <w:jc w:val="center"/>
            </w:pPr>
            <w:r w:rsidRPr="001C27DF">
              <w:rPr>
                <w:sz w:val="18"/>
                <w:szCs w:val="18"/>
              </w:rPr>
              <w:t>Yes</w:t>
            </w:r>
          </w:p>
        </w:tc>
        <w:tc>
          <w:tcPr>
            <w:tcW w:w="1805" w:type="dxa"/>
          </w:tcPr>
          <w:p w:rsidR="009B2A14" w:rsidRDefault="009B2A14" w:rsidP="009B2A14">
            <w:pPr>
              <w:spacing w:after="0"/>
              <w:jc w:val="center"/>
            </w:pPr>
            <w:r w:rsidRPr="007D4016">
              <w:rPr>
                <w:sz w:val="18"/>
                <w:szCs w:val="18"/>
              </w:rPr>
              <w:t>7</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153</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8</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24</w:t>
            </w:r>
          </w:p>
        </w:tc>
        <w:tc>
          <w:tcPr>
            <w:tcW w:w="2905" w:type="dxa"/>
            <w:vAlign w:val="center"/>
          </w:tcPr>
          <w:p w:rsidR="009B2A14" w:rsidRPr="00DE5B46" w:rsidRDefault="009B2A14" w:rsidP="009B2A14">
            <w:pPr>
              <w:spacing w:after="0"/>
              <w:jc w:val="center"/>
              <w:rPr>
                <w:sz w:val="18"/>
                <w:szCs w:val="18"/>
              </w:rPr>
            </w:pPr>
            <w:r>
              <w:rPr>
                <w:sz w:val="18"/>
                <w:szCs w:val="18"/>
              </w:rPr>
              <w:t>Placenta</w:t>
            </w:r>
          </w:p>
        </w:tc>
        <w:tc>
          <w:tcPr>
            <w:tcW w:w="2976" w:type="dxa"/>
            <w:vAlign w:val="center"/>
          </w:tcPr>
          <w:p w:rsidR="009B2A14" w:rsidRPr="00DE5B46" w:rsidRDefault="009B2A14" w:rsidP="009B2A14">
            <w:pPr>
              <w:spacing w:after="0"/>
              <w:jc w:val="center"/>
              <w:rPr>
                <w:sz w:val="18"/>
                <w:szCs w:val="18"/>
              </w:rPr>
            </w:pPr>
            <w:r>
              <w:rPr>
                <w:sz w:val="18"/>
                <w:szCs w:val="18"/>
              </w:rPr>
              <w:t>NR</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9</w:t>
            </w:r>
          </w:p>
        </w:tc>
      </w:tr>
      <w:tr w:rsidR="008C638D" w:rsidRPr="00DE5B46" w:rsidTr="0056680A">
        <w:trPr>
          <w:cantSplit/>
          <w:jc w:val="center"/>
        </w:trPr>
        <w:tc>
          <w:tcPr>
            <w:tcW w:w="0" w:type="auto"/>
            <w:vAlign w:val="center"/>
          </w:tcPr>
          <w:p w:rsidR="008C638D" w:rsidRDefault="008C638D" w:rsidP="009B2A14">
            <w:pPr>
              <w:spacing w:after="0"/>
              <w:jc w:val="center"/>
              <w:rPr>
                <w:sz w:val="18"/>
                <w:szCs w:val="18"/>
              </w:rPr>
            </w:pPr>
            <w:r>
              <w:rPr>
                <w:sz w:val="18"/>
                <w:szCs w:val="18"/>
              </w:rPr>
              <w:lastRenderedPageBreak/>
              <w:t>24-3p</w:t>
            </w:r>
          </w:p>
        </w:tc>
        <w:tc>
          <w:tcPr>
            <w:tcW w:w="2905" w:type="dxa"/>
            <w:vAlign w:val="center"/>
          </w:tcPr>
          <w:p w:rsidR="008C638D" w:rsidRDefault="008C638D" w:rsidP="009B2A14">
            <w:pPr>
              <w:spacing w:after="0"/>
              <w:jc w:val="center"/>
              <w:rPr>
                <w:sz w:val="18"/>
                <w:szCs w:val="18"/>
              </w:rPr>
            </w:pPr>
            <w:r>
              <w:rPr>
                <w:sz w:val="18"/>
                <w:szCs w:val="18"/>
              </w:rPr>
              <w:t>MPB (plasma)</w:t>
            </w:r>
          </w:p>
        </w:tc>
        <w:tc>
          <w:tcPr>
            <w:tcW w:w="2976" w:type="dxa"/>
            <w:vAlign w:val="center"/>
          </w:tcPr>
          <w:p w:rsidR="008C638D" w:rsidRDefault="008C638D" w:rsidP="009B2A14">
            <w:pPr>
              <w:spacing w:after="0"/>
              <w:jc w:val="center"/>
              <w:rPr>
                <w:sz w:val="18"/>
                <w:szCs w:val="18"/>
              </w:rPr>
            </w:pPr>
            <w:r>
              <w:rPr>
                <w:sz w:val="18"/>
                <w:szCs w:val="18"/>
              </w:rPr>
              <w:t>Down in PE</w:t>
            </w:r>
          </w:p>
        </w:tc>
        <w:tc>
          <w:tcPr>
            <w:tcW w:w="709" w:type="dxa"/>
            <w:vAlign w:val="center"/>
          </w:tcPr>
          <w:p w:rsidR="008C638D" w:rsidRDefault="008C638D" w:rsidP="009B2A14">
            <w:pPr>
              <w:spacing w:after="0"/>
              <w:jc w:val="center"/>
              <w:rPr>
                <w:color w:val="000000"/>
                <w:sz w:val="18"/>
                <w:szCs w:val="18"/>
              </w:rPr>
            </w:pPr>
            <w:r>
              <w:rPr>
                <w:color w:val="000000"/>
                <w:sz w:val="18"/>
                <w:szCs w:val="18"/>
              </w:rPr>
              <w:t>Yes</w:t>
            </w:r>
          </w:p>
        </w:tc>
        <w:tc>
          <w:tcPr>
            <w:tcW w:w="1805" w:type="dxa"/>
            <w:vAlign w:val="center"/>
          </w:tcPr>
          <w:p w:rsidR="008C638D" w:rsidRDefault="008C638D"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24-1-3p</w:t>
            </w:r>
          </w:p>
        </w:tc>
        <w:tc>
          <w:tcPr>
            <w:tcW w:w="2905" w:type="dxa"/>
            <w:vAlign w:val="center"/>
          </w:tcPr>
          <w:p w:rsidR="009B2A14" w:rsidRDefault="009B2A14" w:rsidP="009B2A14">
            <w:pPr>
              <w:spacing w:after="0"/>
              <w:jc w:val="center"/>
              <w:rPr>
                <w:sz w:val="18"/>
                <w:szCs w:val="18"/>
              </w:rPr>
            </w:pPr>
            <w:r>
              <w:rPr>
                <w:sz w:val="18"/>
                <w:szCs w:val="18"/>
              </w:rPr>
              <w:t>MPB (serum)</w:t>
            </w:r>
          </w:p>
        </w:tc>
        <w:tc>
          <w:tcPr>
            <w:tcW w:w="2976" w:type="dxa"/>
            <w:vAlign w:val="center"/>
          </w:tcPr>
          <w:p w:rsidR="009B2A14" w:rsidRDefault="009B2A14" w:rsidP="009B2A14">
            <w:pPr>
              <w:spacing w:after="0"/>
              <w:jc w:val="center"/>
              <w:rPr>
                <w:sz w:val="18"/>
                <w:szCs w:val="18"/>
              </w:rPr>
            </w:pPr>
            <w:r>
              <w:rPr>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521</w:t>
            </w:r>
          </w:p>
        </w:tc>
        <w:tc>
          <w:tcPr>
            <w:tcW w:w="2905" w:type="dxa"/>
          </w:tcPr>
          <w:p w:rsidR="009B2A14" w:rsidRDefault="009B2A14" w:rsidP="009B2A14">
            <w:pPr>
              <w:spacing w:after="0"/>
              <w:jc w:val="center"/>
            </w:pPr>
            <w:r w:rsidRPr="000910A1">
              <w:rPr>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Pr="00DE5B46" w:rsidRDefault="009B2A14" w:rsidP="009B2A14">
            <w:pPr>
              <w:spacing w:after="0"/>
              <w:jc w:val="center"/>
              <w:rPr>
                <w:sz w:val="18"/>
                <w:szCs w:val="18"/>
              </w:rPr>
            </w:pPr>
            <w:r>
              <w:rPr>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9</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29b</w:t>
            </w:r>
          </w:p>
        </w:tc>
        <w:tc>
          <w:tcPr>
            <w:tcW w:w="2905" w:type="dxa"/>
          </w:tcPr>
          <w:p w:rsidR="009B2A14" w:rsidRDefault="009B2A14" w:rsidP="009B2A14">
            <w:pPr>
              <w:spacing w:after="0"/>
              <w:jc w:val="center"/>
              <w:rPr>
                <w:sz w:val="18"/>
                <w:szCs w:val="18"/>
              </w:rPr>
            </w:pPr>
            <w:r w:rsidRPr="000910A1">
              <w:rPr>
                <w:sz w:val="18"/>
                <w:szCs w:val="18"/>
              </w:rPr>
              <w:t>Placenta</w:t>
            </w:r>
          </w:p>
          <w:p w:rsidR="00E93F2D" w:rsidRDefault="00E93F2D" w:rsidP="009B2A14">
            <w:pPr>
              <w:spacing w:after="0"/>
              <w:jc w:val="center"/>
            </w:pPr>
            <w:r>
              <w:rPr>
                <w:sz w:val="18"/>
                <w:szCs w:val="18"/>
              </w:rPr>
              <w:t>MPB</w:t>
            </w:r>
          </w:p>
        </w:tc>
        <w:tc>
          <w:tcPr>
            <w:tcW w:w="2976" w:type="dxa"/>
            <w:vAlign w:val="center"/>
          </w:tcPr>
          <w:p w:rsidR="009B2A14" w:rsidRDefault="009B2A14" w:rsidP="009B2A14">
            <w:pPr>
              <w:spacing w:after="0"/>
              <w:jc w:val="center"/>
              <w:rPr>
                <w:sz w:val="18"/>
                <w:szCs w:val="18"/>
              </w:rPr>
            </w:pPr>
            <w:r>
              <w:rPr>
                <w:sz w:val="18"/>
                <w:szCs w:val="18"/>
              </w:rPr>
              <w:t>NR</w:t>
            </w:r>
          </w:p>
          <w:p w:rsidR="00E93F2D" w:rsidRPr="00DE5B46" w:rsidRDefault="00E93F2D"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E93F2D" w:rsidRPr="00DE5B46" w:rsidRDefault="00E93F2D"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9</w:t>
            </w:r>
          </w:p>
          <w:p w:rsidR="00E93F2D" w:rsidRPr="00DE5B46" w:rsidRDefault="00E93F2D" w:rsidP="009B2A14">
            <w:pPr>
              <w:spacing w:after="0"/>
              <w:jc w:val="center"/>
              <w:rPr>
                <w:sz w:val="18"/>
                <w:szCs w:val="18"/>
              </w:rPr>
            </w:pPr>
            <w:r>
              <w:rPr>
                <w:sz w:val="18"/>
                <w:szCs w:val="18"/>
              </w:rPr>
              <w:t>Dong 2020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29b-3p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Pr="00DE5B46" w:rsidRDefault="009B2A14" w:rsidP="009B2A14">
            <w:pPr>
              <w:spacing w:after="0"/>
              <w:jc w:val="center"/>
              <w:rPr>
                <w:color w:val="000000"/>
                <w:sz w:val="18"/>
                <w:szCs w:val="18"/>
              </w:rPr>
            </w:pPr>
            <w:r w:rsidRPr="00D95F2C">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515</w:t>
            </w:r>
          </w:p>
        </w:tc>
        <w:tc>
          <w:tcPr>
            <w:tcW w:w="2905" w:type="dxa"/>
            <w:vAlign w:val="center"/>
          </w:tcPr>
          <w:p w:rsidR="009B2A14" w:rsidRPr="00DE5B46" w:rsidRDefault="009B2A14" w:rsidP="009B2A14">
            <w:pPr>
              <w:spacing w:after="0"/>
              <w:jc w:val="center"/>
              <w:rPr>
                <w:sz w:val="18"/>
                <w:szCs w:val="18"/>
              </w:rPr>
            </w:pPr>
            <w:r>
              <w:rPr>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9</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515-5p</w:t>
            </w:r>
          </w:p>
        </w:tc>
        <w:tc>
          <w:tcPr>
            <w:tcW w:w="2905" w:type="dxa"/>
          </w:tcPr>
          <w:p w:rsidR="009B2A14" w:rsidRPr="000910A1" w:rsidRDefault="009B2A14" w:rsidP="009B2A14">
            <w:pPr>
              <w:spacing w:after="0"/>
              <w:jc w:val="center"/>
              <w:rPr>
                <w:sz w:val="18"/>
                <w:szCs w:val="18"/>
              </w:rPr>
            </w:pPr>
            <w:r>
              <w:rPr>
                <w:sz w:val="18"/>
                <w:szCs w:val="18"/>
              </w:rPr>
              <w:t>Placenta</w:t>
            </w:r>
          </w:p>
        </w:tc>
        <w:tc>
          <w:tcPr>
            <w:tcW w:w="2976" w:type="dxa"/>
            <w:vAlign w:val="center"/>
          </w:tcPr>
          <w:p w:rsidR="009B2A14" w:rsidRDefault="009B2A14" w:rsidP="009B2A14">
            <w:pPr>
              <w:spacing w:after="0"/>
              <w:jc w:val="center"/>
              <w:rPr>
                <w:sz w:val="18"/>
                <w:szCs w:val="18"/>
              </w:rPr>
            </w:pPr>
            <w:r>
              <w:rPr>
                <w:sz w:val="18"/>
                <w:szCs w:val="18"/>
              </w:rPr>
              <w:t>Down in PE</w:t>
            </w:r>
          </w:p>
        </w:tc>
        <w:tc>
          <w:tcPr>
            <w:tcW w:w="709" w:type="dxa"/>
            <w:vAlign w:val="center"/>
          </w:tcPr>
          <w:p w:rsidR="009B2A14"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53</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424</w:t>
            </w:r>
          </w:p>
        </w:tc>
        <w:tc>
          <w:tcPr>
            <w:tcW w:w="2905" w:type="dxa"/>
          </w:tcPr>
          <w:p w:rsidR="009B2A14" w:rsidRDefault="009B2A14" w:rsidP="009B2A14">
            <w:pPr>
              <w:spacing w:after="0"/>
              <w:jc w:val="center"/>
              <w:rPr>
                <w:sz w:val="18"/>
                <w:szCs w:val="18"/>
              </w:rPr>
            </w:pPr>
            <w:r w:rsidRPr="000910A1">
              <w:rPr>
                <w:sz w:val="18"/>
                <w:szCs w:val="18"/>
              </w:rPr>
              <w:t>Placenta</w:t>
            </w:r>
          </w:p>
          <w:p w:rsidR="00F3755C" w:rsidRDefault="00F3755C" w:rsidP="009B2A14">
            <w:pPr>
              <w:spacing w:after="0"/>
              <w:jc w:val="center"/>
              <w:rPr>
                <w:sz w:val="18"/>
                <w:szCs w:val="18"/>
              </w:rPr>
            </w:pPr>
            <w:r>
              <w:rPr>
                <w:sz w:val="18"/>
                <w:szCs w:val="18"/>
              </w:rPr>
              <w:t>MPB (whole blood)</w:t>
            </w:r>
          </w:p>
          <w:p w:rsidR="002A46C5" w:rsidRDefault="002A46C5" w:rsidP="009B2A14">
            <w:pPr>
              <w:spacing w:after="0"/>
              <w:jc w:val="center"/>
            </w:pPr>
            <w:r>
              <w:rPr>
                <w:sz w:val="18"/>
                <w:szCs w:val="18"/>
              </w:rPr>
              <w:t>MPB (whole blood)</w:t>
            </w:r>
          </w:p>
        </w:tc>
        <w:tc>
          <w:tcPr>
            <w:tcW w:w="2976" w:type="dxa"/>
            <w:vAlign w:val="center"/>
          </w:tcPr>
          <w:p w:rsidR="009B2A14" w:rsidRDefault="009B2A14" w:rsidP="009B2A14">
            <w:pPr>
              <w:spacing w:after="0"/>
              <w:jc w:val="center"/>
              <w:rPr>
                <w:sz w:val="18"/>
                <w:szCs w:val="18"/>
              </w:rPr>
            </w:pPr>
            <w:r>
              <w:rPr>
                <w:sz w:val="18"/>
                <w:szCs w:val="18"/>
              </w:rPr>
              <w:t>NR</w:t>
            </w:r>
          </w:p>
          <w:p w:rsidR="00F3755C" w:rsidRDefault="00F3755C" w:rsidP="009B2A14">
            <w:pPr>
              <w:spacing w:after="0"/>
              <w:jc w:val="center"/>
              <w:rPr>
                <w:sz w:val="18"/>
                <w:szCs w:val="18"/>
              </w:rPr>
            </w:pPr>
            <w:r>
              <w:rPr>
                <w:sz w:val="18"/>
                <w:szCs w:val="18"/>
              </w:rPr>
              <w:t>Down in PE</w:t>
            </w:r>
            <w:r w:rsidR="002A46C5">
              <w:rPr>
                <w:sz w:val="18"/>
                <w:szCs w:val="18"/>
              </w:rPr>
              <w:t xml:space="preserve"> 36GW</w:t>
            </w:r>
          </w:p>
          <w:p w:rsidR="002A46C5" w:rsidRPr="00DE5B46" w:rsidRDefault="002A46C5" w:rsidP="009B2A14">
            <w:pPr>
              <w:spacing w:after="0"/>
              <w:jc w:val="center"/>
              <w:rPr>
                <w:sz w:val="18"/>
                <w:szCs w:val="18"/>
              </w:rPr>
            </w:pPr>
            <w:r>
              <w:rPr>
                <w:sz w:val="18"/>
                <w:szCs w:val="18"/>
              </w:rPr>
              <w:t>No difference 28GW</w:t>
            </w:r>
          </w:p>
        </w:tc>
        <w:tc>
          <w:tcPr>
            <w:tcW w:w="709" w:type="dxa"/>
            <w:vAlign w:val="center"/>
          </w:tcPr>
          <w:p w:rsidR="009B2A14" w:rsidRDefault="009B2A14" w:rsidP="009B2A14">
            <w:pPr>
              <w:spacing w:after="0"/>
              <w:jc w:val="center"/>
              <w:rPr>
                <w:sz w:val="18"/>
                <w:szCs w:val="18"/>
              </w:rPr>
            </w:pPr>
            <w:r>
              <w:rPr>
                <w:sz w:val="18"/>
                <w:szCs w:val="18"/>
              </w:rPr>
              <w:t>NR</w:t>
            </w:r>
          </w:p>
          <w:p w:rsidR="00F3755C" w:rsidRDefault="00F3755C" w:rsidP="009B2A14">
            <w:pPr>
              <w:spacing w:after="0"/>
              <w:jc w:val="center"/>
              <w:rPr>
                <w:sz w:val="18"/>
                <w:szCs w:val="18"/>
              </w:rPr>
            </w:pPr>
            <w:r>
              <w:rPr>
                <w:sz w:val="18"/>
                <w:szCs w:val="18"/>
              </w:rPr>
              <w:t>Yes</w:t>
            </w:r>
          </w:p>
          <w:p w:rsidR="002A46C5" w:rsidRPr="00DE5B46" w:rsidRDefault="002A46C5" w:rsidP="009B2A14">
            <w:pPr>
              <w:spacing w:after="0"/>
              <w:jc w:val="center"/>
              <w:rPr>
                <w:sz w:val="18"/>
                <w:szCs w:val="18"/>
              </w:rPr>
            </w:pPr>
            <w:r>
              <w:rPr>
                <w:sz w:val="18"/>
                <w:szCs w:val="18"/>
              </w:rPr>
              <w:t>No</w:t>
            </w:r>
          </w:p>
        </w:tc>
        <w:tc>
          <w:tcPr>
            <w:tcW w:w="1805" w:type="dxa"/>
            <w:vAlign w:val="center"/>
          </w:tcPr>
          <w:p w:rsidR="009B2A14" w:rsidRDefault="009B2A14" w:rsidP="009B2A14">
            <w:pPr>
              <w:spacing w:after="0"/>
              <w:jc w:val="center"/>
              <w:rPr>
                <w:sz w:val="18"/>
                <w:szCs w:val="18"/>
              </w:rPr>
            </w:pPr>
            <w:r>
              <w:rPr>
                <w:sz w:val="18"/>
                <w:szCs w:val="18"/>
              </w:rPr>
              <w:t>9</w:t>
            </w:r>
          </w:p>
          <w:p w:rsidR="00F3755C" w:rsidRDefault="00F3755C" w:rsidP="009B2A14">
            <w:pPr>
              <w:spacing w:after="0"/>
              <w:jc w:val="center"/>
              <w:rPr>
                <w:sz w:val="18"/>
                <w:szCs w:val="18"/>
              </w:rPr>
            </w:pPr>
            <w:r>
              <w:rPr>
                <w:sz w:val="18"/>
                <w:szCs w:val="18"/>
              </w:rPr>
              <w:t>Whigham 2020</w:t>
            </w:r>
          </w:p>
          <w:p w:rsidR="002A46C5" w:rsidRPr="00DE5B46" w:rsidRDefault="002A46C5" w:rsidP="009B2A14">
            <w:pPr>
              <w:spacing w:after="0"/>
              <w:jc w:val="center"/>
              <w:rPr>
                <w:sz w:val="18"/>
                <w:szCs w:val="18"/>
              </w:rPr>
            </w:pPr>
            <w:r>
              <w:rPr>
                <w:sz w:val="18"/>
                <w:szCs w:val="18"/>
              </w:rPr>
              <w:t>Whigham 2020</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424-5p</w:t>
            </w:r>
          </w:p>
        </w:tc>
        <w:tc>
          <w:tcPr>
            <w:tcW w:w="2905" w:type="dxa"/>
          </w:tcPr>
          <w:p w:rsidR="009B2A14" w:rsidRDefault="009B2A14" w:rsidP="009B2A14">
            <w:pPr>
              <w:spacing w:after="0"/>
              <w:jc w:val="center"/>
              <w:rPr>
                <w:sz w:val="18"/>
                <w:szCs w:val="18"/>
              </w:rPr>
            </w:pPr>
            <w:r>
              <w:rPr>
                <w:sz w:val="18"/>
                <w:szCs w:val="18"/>
              </w:rPr>
              <w:t>MPB</w:t>
            </w:r>
          </w:p>
          <w:p w:rsidR="009B2A14" w:rsidRDefault="009B2A14" w:rsidP="009B2A14">
            <w:pPr>
              <w:spacing w:after="0"/>
              <w:jc w:val="center"/>
              <w:rPr>
                <w:sz w:val="18"/>
                <w:szCs w:val="18"/>
              </w:rPr>
            </w:pPr>
          </w:p>
          <w:p w:rsidR="009B2A14" w:rsidRPr="000910A1" w:rsidRDefault="009B2A14" w:rsidP="009B2A14">
            <w:pPr>
              <w:spacing w:after="0"/>
              <w:jc w:val="center"/>
              <w:rPr>
                <w:sz w:val="18"/>
                <w:szCs w:val="18"/>
              </w:rPr>
            </w:pPr>
            <w:r>
              <w:rPr>
                <w:sz w:val="18"/>
                <w:szCs w:val="18"/>
              </w:rPr>
              <w:t>MPB</w:t>
            </w:r>
          </w:p>
        </w:tc>
        <w:tc>
          <w:tcPr>
            <w:tcW w:w="2976" w:type="dxa"/>
            <w:vAlign w:val="center"/>
          </w:tcPr>
          <w:p w:rsidR="009B2A14" w:rsidRDefault="009B2A14" w:rsidP="009B2A14">
            <w:pPr>
              <w:spacing w:after="0"/>
              <w:jc w:val="center"/>
              <w:rPr>
                <w:sz w:val="18"/>
                <w:szCs w:val="18"/>
              </w:rPr>
            </w:pPr>
            <w:r>
              <w:rPr>
                <w:sz w:val="18"/>
                <w:szCs w:val="18"/>
              </w:rPr>
              <w:t>No difference in PE vs. preconceptual</w:t>
            </w:r>
          </w:p>
          <w:p w:rsidR="009B2A14" w:rsidRDefault="009B2A14" w:rsidP="009B2A14">
            <w:pPr>
              <w:spacing w:after="0"/>
              <w:jc w:val="center"/>
              <w:rPr>
                <w:sz w:val="18"/>
                <w:szCs w:val="18"/>
              </w:rPr>
            </w:pPr>
            <w:r>
              <w:rPr>
                <w:sz w:val="18"/>
                <w:szCs w:val="18"/>
              </w:rPr>
              <w:t>Down in PE vs. 1</w:t>
            </w:r>
            <w:r w:rsidR="00E33D6E" w:rsidRPr="00E33D6E">
              <w:rPr>
                <w:sz w:val="18"/>
                <w:szCs w:val="18"/>
                <w:vertAlign w:val="superscript"/>
              </w:rPr>
              <w:t>st</w:t>
            </w:r>
            <w:r>
              <w:rPr>
                <w:sz w:val="18"/>
                <w:szCs w:val="18"/>
              </w:rPr>
              <w:t xml:space="preserve"> trimester control</w:t>
            </w:r>
          </w:p>
        </w:tc>
        <w:tc>
          <w:tcPr>
            <w:tcW w:w="709" w:type="dxa"/>
            <w:vAlign w:val="center"/>
          </w:tcPr>
          <w:p w:rsidR="009B2A14" w:rsidRDefault="009B2A14" w:rsidP="009B2A14">
            <w:pPr>
              <w:spacing w:after="0"/>
              <w:jc w:val="center"/>
              <w:rPr>
                <w:sz w:val="18"/>
                <w:szCs w:val="18"/>
              </w:rPr>
            </w:pPr>
            <w:r>
              <w:rPr>
                <w:sz w:val="18"/>
                <w:szCs w:val="18"/>
              </w:rPr>
              <w:t>No</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center"/>
          </w:tcPr>
          <w:p w:rsidR="009B2A14" w:rsidRPr="00DE5B46" w:rsidRDefault="009B2A14" w:rsidP="009B2A14">
            <w:pPr>
              <w:spacing w:after="0"/>
              <w:jc w:val="center"/>
              <w:rPr>
                <w:sz w:val="18"/>
                <w:szCs w:val="18"/>
              </w:rPr>
            </w:pPr>
            <w:r>
              <w:rPr>
                <w:sz w:val="18"/>
                <w:szCs w:val="18"/>
              </w:rPr>
              <w:t>143</w:t>
            </w:r>
          </w:p>
        </w:tc>
        <w:tc>
          <w:tcPr>
            <w:tcW w:w="2905" w:type="dxa"/>
          </w:tcPr>
          <w:p w:rsidR="009B2A14" w:rsidRDefault="009B2A14" w:rsidP="009B2A14">
            <w:pPr>
              <w:spacing w:after="0"/>
              <w:jc w:val="center"/>
            </w:pPr>
            <w:r w:rsidRPr="000910A1">
              <w:rPr>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9</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r>
              <w:rPr>
                <w:sz w:val="18"/>
                <w:szCs w:val="18"/>
              </w:rPr>
              <w:t>143-3p</w:t>
            </w:r>
          </w:p>
        </w:tc>
        <w:tc>
          <w:tcPr>
            <w:tcW w:w="2905" w:type="dxa"/>
          </w:tcPr>
          <w:p w:rsidR="009B2A14" w:rsidRPr="000910A1" w:rsidRDefault="009B2A14" w:rsidP="009B2A14">
            <w:pPr>
              <w:spacing w:after="0"/>
              <w:jc w:val="center"/>
              <w:rPr>
                <w:sz w:val="18"/>
                <w:szCs w:val="18"/>
              </w:rPr>
            </w:pPr>
            <w:r>
              <w:rPr>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158</w:t>
            </w:r>
          </w:p>
        </w:tc>
      </w:tr>
      <w:tr w:rsidR="009B2A14" w:rsidRPr="00DE5B46" w:rsidTr="0056680A">
        <w:trPr>
          <w:cantSplit/>
          <w:jc w:val="center"/>
        </w:trPr>
        <w:tc>
          <w:tcPr>
            <w:tcW w:w="0" w:type="auto"/>
            <w:vAlign w:val="center"/>
          </w:tcPr>
          <w:p w:rsidR="009B2A14" w:rsidRDefault="009B2A14" w:rsidP="009B2A14">
            <w:pPr>
              <w:spacing w:after="0"/>
              <w:jc w:val="center"/>
              <w:rPr>
                <w:sz w:val="18"/>
                <w:szCs w:val="18"/>
              </w:rPr>
            </w:pPr>
          </w:p>
        </w:tc>
        <w:tc>
          <w:tcPr>
            <w:tcW w:w="2905" w:type="dxa"/>
          </w:tcPr>
          <w:p w:rsidR="009B2A14" w:rsidRPr="000910A1" w:rsidRDefault="009B2A14" w:rsidP="009B2A14">
            <w:pPr>
              <w:spacing w:after="0"/>
              <w:jc w:val="center"/>
              <w:rPr>
                <w:sz w:val="18"/>
                <w:szCs w:val="18"/>
              </w:rPr>
            </w:pPr>
          </w:p>
        </w:tc>
        <w:tc>
          <w:tcPr>
            <w:tcW w:w="2976" w:type="dxa"/>
            <w:vAlign w:val="center"/>
          </w:tcPr>
          <w:p w:rsidR="009B2A14" w:rsidRDefault="009B2A14" w:rsidP="009B2A14">
            <w:pPr>
              <w:spacing w:after="0"/>
              <w:jc w:val="center"/>
              <w:rPr>
                <w:color w:val="000000"/>
                <w:sz w:val="18"/>
                <w:szCs w:val="18"/>
              </w:rPr>
            </w:pPr>
          </w:p>
        </w:tc>
        <w:tc>
          <w:tcPr>
            <w:tcW w:w="709" w:type="dxa"/>
            <w:vAlign w:val="center"/>
          </w:tcPr>
          <w:p w:rsidR="009B2A14" w:rsidRDefault="009B2A14" w:rsidP="009B2A14">
            <w:pPr>
              <w:spacing w:after="0"/>
              <w:jc w:val="center"/>
              <w:rPr>
                <w:color w:val="000000"/>
                <w:sz w:val="18"/>
                <w:szCs w:val="18"/>
              </w:rPr>
            </w:pPr>
          </w:p>
        </w:tc>
        <w:tc>
          <w:tcPr>
            <w:tcW w:w="1805" w:type="dxa"/>
            <w:vAlign w:val="center"/>
          </w:tcPr>
          <w:p w:rsidR="009B2A14" w:rsidRDefault="009B2A14" w:rsidP="009B2A14">
            <w:pPr>
              <w:spacing w:after="0"/>
              <w:jc w:val="center"/>
              <w:rPr>
                <w:sz w:val="18"/>
                <w:szCs w:val="18"/>
              </w:rPr>
            </w:pP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145</w:t>
            </w:r>
          </w:p>
        </w:tc>
        <w:tc>
          <w:tcPr>
            <w:tcW w:w="2905" w:type="dxa"/>
            <w:vAlign w:val="center"/>
          </w:tcPr>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Placenta</w:t>
            </w:r>
          </w:p>
          <w:p w:rsidR="009B2A14" w:rsidRPr="00DE5B46" w:rsidRDefault="009B2A14" w:rsidP="009B2A14">
            <w:pPr>
              <w:spacing w:after="0"/>
              <w:jc w:val="center"/>
              <w:rPr>
                <w:sz w:val="18"/>
                <w:szCs w:val="18"/>
              </w:rPr>
            </w:pPr>
            <w:r>
              <w:rPr>
                <w:sz w:val="18"/>
                <w:szCs w:val="18"/>
              </w:rPr>
              <w:t>Placenta (villi)</w:t>
            </w:r>
          </w:p>
        </w:tc>
        <w:tc>
          <w:tcPr>
            <w:tcW w:w="2976"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Down in PE</w:t>
            </w:r>
          </w:p>
          <w:p w:rsidR="009B2A14" w:rsidRPr="00DE5B46" w:rsidRDefault="009B2A14" w:rsidP="009B2A14">
            <w:pPr>
              <w:spacing w:after="0"/>
              <w:jc w:val="center"/>
              <w:rPr>
                <w:sz w:val="18"/>
                <w:szCs w:val="18"/>
              </w:rPr>
            </w:pPr>
            <w:r>
              <w:rPr>
                <w:sz w:val="18"/>
                <w:szCs w:val="18"/>
              </w:rPr>
              <w:t>Down in PE</w:t>
            </w:r>
          </w:p>
        </w:tc>
        <w:tc>
          <w:tcPr>
            <w:tcW w:w="709"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Yes</w:t>
            </w:r>
          </w:p>
          <w:p w:rsidR="009B2A14" w:rsidRPr="00DE5B46"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9</w:t>
            </w:r>
          </w:p>
          <w:p w:rsidR="009B2A14" w:rsidRDefault="009B2A14" w:rsidP="009B2A14">
            <w:pPr>
              <w:spacing w:after="0"/>
              <w:jc w:val="center"/>
              <w:rPr>
                <w:sz w:val="18"/>
                <w:szCs w:val="18"/>
              </w:rPr>
            </w:pPr>
            <w:r>
              <w:rPr>
                <w:sz w:val="18"/>
                <w:szCs w:val="18"/>
              </w:rPr>
              <w:t>91</w:t>
            </w:r>
          </w:p>
          <w:p w:rsidR="009B2A14" w:rsidRPr="00DE5B46" w:rsidRDefault="009B2A14" w:rsidP="009B2A14">
            <w:pPr>
              <w:spacing w:after="0"/>
              <w:jc w:val="center"/>
              <w:rPr>
                <w:sz w:val="18"/>
                <w:szCs w:val="18"/>
              </w:rPr>
            </w:pPr>
            <w:r>
              <w:rPr>
                <w:sz w:val="18"/>
                <w:szCs w:val="18"/>
              </w:rPr>
              <w:t>121</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145-5p</w:t>
            </w:r>
          </w:p>
        </w:tc>
        <w:tc>
          <w:tcPr>
            <w:tcW w:w="2905" w:type="dxa"/>
            <w:vAlign w:val="center"/>
          </w:tcPr>
          <w:p w:rsidR="009B2A14" w:rsidRDefault="009B2A14" w:rsidP="009B2A14">
            <w:pPr>
              <w:spacing w:after="0"/>
              <w:jc w:val="center"/>
              <w:rPr>
                <w:sz w:val="18"/>
                <w:szCs w:val="18"/>
              </w:rPr>
            </w:pPr>
            <w:r>
              <w:rPr>
                <w:sz w:val="18"/>
                <w:szCs w:val="18"/>
              </w:rPr>
              <w:t>Placenta (trophoblast debris)</w:t>
            </w:r>
          </w:p>
          <w:p w:rsidR="00582E4F" w:rsidRDefault="00582E4F" w:rsidP="009B2A14">
            <w:pPr>
              <w:spacing w:after="0"/>
              <w:jc w:val="center"/>
              <w:rPr>
                <w:sz w:val="18"/>
                <w:szCs w:val="18"/>
              </w:rPr>
            </w:pPr>
            <w:r>
              <w:rPr>
                <w:sz w:val="18"/>
                <w:szCs w:val="18"/>
              </w:rPr>
              <w:t>Placenta</w:t>
            </w:r>
          </w:p>
        </w:tc>
        <w:tc>
          <w:tcPr>
            <w:tcW w:w="2976" w:type="dxa"/>
            <w:vAlign w:val="center"/>
          </w:tcPr>
          <w:p w:rsidR="009B2A14" w:rsidRDefault="009B2A14" w:rsidP="009B2A14">
            <w:pPr>
              <w:spacing w:after="0"/>
              <w:jc w:val="center"/>
              <w:rPr>
                <w:sz w:val="18"/>
                <w:szCs w:val="18"/>
              </w:rPr>
            </w:pPr>
            <w:r>
              <w:rPr>
                <w:sz w:val="18"/>
                <w:szCs w:val="18"/>
              </w:rPr>
              <w:t>Up in PE</w:t>
            </w:r>
          </w:p>
          <w:p w:rsidR="00582E4F" w:rsidRDefault="00582E4F" w:rsidP="009B2A14">
            <w:pPr>
              <w:spacing w:after="0"/>
              <w:jc w:val="center"/>
              <w:rPr>
                <w:sz w:val="18"/>
                <w:szCs w:val="18"/>
              </w:rPr>
            </w:pPr>
            <w:r>
              <w:rPr>
                <w:sz w:val="18"/>
                <w:szCs w:val="18"/>
              </w:rPr>
              <w:t>Down in PE</w:t>
            </w:r>
          </w:p>
        </w:tc>
        <w:tc>
          <w:tcPr>
            <w:tcW w:w="709" w:type="dxa"/>
            <w:vAlign w:val="center"/>
          </w:tcPr>
          <w:p w:rsidR="009B2A14" w:rsidRDefault="009B2A14" w:rsidP="009B2A14">
            <w:pPr>
              <w:spacing w:after="0"/>
              <w:jc w:val="center"/>
              <w:rPr>
                <w:sz w:val="18"/>
                <w:szCs w:val="18"/>
              </w:rPr>
            </w:pPr>
            <w:r>
              <w:rPr>
                <w:sz w:val="18"/>
                <w:szCs w:val="18"/>
              </w:rPr>
              <w:t>Yes</w:t>
            </w:r>
          </w:p>
          <w:p w:rsidR="00582E4F" w:rsidRDefault="00582E4F"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113</w:t>
            </w:r>
          </w:p>
          <w:p w:rsidR="00582E4F" w:rsidRDefault="00582E4F" w:rsidP="009B2A14">
            <w:pPr>
              <w:spacing w:after="0"/>
              <w:jc w:val="center"/>
              <w:rPr>
                <w:sz w:val="18"/>
                <w:szCs w:val="18"/>
              </w:rPr>
            </w:pPr>
            <w:r>
              <w:rPr>
                <w:sz w:val="18"/>
                <w:szCs w:val="18"/>
              </w:rPr>
              <w:t>Lv 2019</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23a</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rPr>
                <w:sz w:val="18"/>
                <w:szCs w:val="18"/>
              </w:rPr>
            </w:pPr>
            <w:r>
              <w:rPr>
                <w:sz w:val="18"/>
                <w:szCs w:val="18"/>
              </w:rPr>
              <w:t>Placenta</w:t>
            </w:r>
          </w:p>
          <w:p w:rsidR="00BE3CFA" w:rsidRDefault="00BE3CFA" w:rsidP="009B2A14">
            <w:pPr>
              <w:spacing w:after="0"/>
              <w:jc w:val="center"/>
            </w:pPr>
            <w:r>
              <w:rPr>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BE3CFA" w:rsidRPr="00DE5B46" w:rsidRDefault="00BE3CFA"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BE3CFA" w:rsidRPr="00DE5B46" w:rsidRDefault="00BE3CFA"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9</w:t>
            </w:r>
          </w:p>
          <w:p w:rsidR="009B2A14" w:rsidRDefault="009B2A14" w:rsidP="009B2A14">
            <w:pPr>
              <w:spacing w:after="0"/>
              <w:jc w:val="center"/>
              <w:rPr>
                <w:sz w:val="18"/>
                <w:szCs w:val="18"/>
              </w:rPr>
            </w:pPr>
            <w:r>
              <w:rPr>
                <w:sz w:val="18"/>
                <w:szCs w:val="18"/>
              </w:rPr>
              <w:t>48</w:t>
            </w:r>
          </w:p>
          <w:p w:rsidR="009B2A14" w:rsidRDefault="009B2A14" w:rsidP="009B2A14">
            <w:pPr>
              <w:spacing w:after="0"/>
              <w:jc w:val="center"/>
              <w:rPr>
                <w:sz w:val="18"/>
                <w:szCs w:val="18"/>
              </w:rPr>
            </w:pPr>
            <w:r>
              <w:rPr>
                <w:sz w:val="18"/>
                <w:szCs w:val="18"/>
              </w:rPr>
              <w:t>99</w:t>
            </w:r>
          </w:p>
          <w:p w:rsidR="00BE3CFA" w:rsidRPr="00DE5B46" w:rsidRDefault="00BE3CFA" w:rsidP="009B2A14">
            <w:pPr>
              <w:spacing w:after="0"/>
              <w:jc w:val="center"/>
              <w:rPr>
                <w:sz w:val="18"/>
                <w:szCs w:val="18"/>
              </w:rPr>
            </w:pPr>
            <w:r>
              <w:rPr>
                <w:sz w:val="18"/>
                <w:szCs w:val="18"/>
              </w:rPr>
              <w:t>Fan 2020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23a-3p</w:t>
            </w:r>
          </w:p>
        </w:tc>
        <w:tc>
          <w:tcPr>
            <w:tcW w:w="2905" w:type="dxa"/>
          </w:tcPr>
          <w:p w:rsidR="009B2A14" w:rsidRPr="000910A1" w:rsidRDefault="009B2A14" w:rsidP="009B2A14">
            <w:pPr>
              <w:spacing w:after="0"/>
              <w:jc w:val="center"/>
              <w:rPr>
                <w:sz w:val="18"/>
                <w:szCs w:val="18"/>
              </w:rPr>
            </w:pPr>
            <w:r>
              <w:rPr>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29c</w:t>
            </w:r>
          </w:p>
        </w:tc>
        <w:tc>
          <w:tcPr>
            <w:tcW w:w="2905" w:type="dxa"/>
          </w:tcPr>
          <w:p w:rsidR="009B2A14" w:rsidRDefault="009B2A14" w:rsidP="009B2A14">
            <w:pPr>
              <w:spacing w:after="0"/>
              <w:jc w:val="center"/>
            </w:pPr>
            <w:r w:rsidRPr="000910A1">
              <w:rPr>
                <w:sz w:val="18"/>
                <w:szCs w:val="18"/>
              </w:rPr>
              <w:t>Placenta</w:t>
            </w:r>
          </w:p>
        </w:tc>
        <w:tc>
          <w:tcPr>
            <w:tcW w:w="2976" w:type="dxa"/>
            <w:vAlign w:val="center"/>
          </w:tcPr>
          <w:p w:rsidR="009B2A14" w:rsidRPr="00DE5B46" w:rsidRDefault="009B2A14" w:rsidP="009B2A14">
            <w:pPr>
              <w:spacing w:after="0"/>
              <w:jc w:val="center"/>
              <w:rPr>
                <w:sz w:val="18"/>
                <w:szCs w:val="18"/>
              </w:rPr>
            </w:pPr>
            <w:r>
              <w:rPr>
                <w:sz w:val="18"/>
                <w:szCs w:val="18"/>
              </w:rPr>
              <w:t>NR</w:t>
            </w:r>
          </w:p>
        </w:tc>
        <w:tc>
          <w:tcPr>
            <w:tcW w:w="709" w:type="dxa"/>
            <w:vAlign w:val="center"/>
          </w:tcPr>
          <w:p w:rsidR="009B2A14" w:rsidRPr="00DE5B46" w:rsidRDefault="009B2A14" w:rsidP="009B2A14">
            <w:pPr>
              <w:spacing w:after="0"/>
              <w:jc w:val="center"/>
              <w:rPr>
                <w:sz w:val="18"/>
                <w:szCs w:val="18"/>
              </w:rPr>
            </w:pPr>
            <w:r>
              <w:rPr>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9</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15b</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 (villi)</w:t>
            </w:r>
          </w:p>
        </w:tc>
        <w:tc>
          <w:tcPr>
            <w:tcW w:w="2976" w:type="dxa"/>
            <w:vAlign w:val="center"/>
          </w:tcPr>
          <w:p w:rsidR="009B2A14" w:rsidRPr="00DE5B46" w:rsidRDefault="009B2A14" w:rsidP="009B2A14">
            <w:pPr>
              <w:spacing w:after="0"/>
              <w:jc w:val="center"/>
              <w:rPr>
                <w:sz w:val="18"/>
                <w:szCs w:val="18"/>
              </w:rPr>
            </w:pPr>
            <w:r>
              <w:rPr>
                <w:sz w:val="18"/>
                <w:szCs w:val="18"/>
              </w:rPr>
              <w:t>NR</w:t>
            </w:r>
          </w:p>
        </w:tc>
        <w:tc>
          <w:tcPr>
            <w:tcW w:w="709" w:type="dxa"/>
            <w:vAlign w:val="center"/>
          </w:tcPr>
          <w:p w:rsidR="009B2A14" w:rsidRPr="00DE5B46" w:rsidRDefault="009B2A14" w:rsidP="009B2A14">
            <w:pPr>
              <w:spacing w:after="0"/>
              <w:jc w:val="center"/>
              <w:rPr>
                <w:sz w:val="18"/>
                <w:szCs w:val="18"/>
              </w:rPr>
            </w:pPr>
            <w:r>
              <w:rPr>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10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15b-5p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Pr="00DE5B46" w:rsidRDefault="009B2A14" w:rsidP="009B2A14">
            <w:pPr>
              <w:spacing w:after="0"/>
              <w:jc w:val="center"/>
              <w:rPr>
                <w:color w:val="000000"/>
                <w:sz w:val="18"/>
                <w:szCs w:val="18"/>
              </w:rPr>
            </w:pPr>
            <w:r w:rsidRPr="00D95F2C">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lastRenderedPageBreak/>
              <w:t>181a</w:t>
            </w:r>
          </w:p>
        </w:tc>
        <w:tc>
          <w:tcPr>
            <w:tcW w:w="2905" w:type="dxa"/>
          </w:tcPr>
          <w:p w:rsidR="009B2A14" w:rsidRDefault="009B2A14" w:rsidP="009B2A14">
            <w:pPr>
              <w:spacing w:after="0"/>
              <w:jc w:val="center"/>
              <w:rPr>
                <w:color w:val="000000"/>
                <w:sz w:val="18"/>
                <w:szCs w:val="18"/>
              </w:rPr>
            </w:pPr>
            <w:r w:rsidRPr="00946E8E">
              <w:rPr>
                <w:color w:val="000000"/>
                <w:sz w:val="18"/>
                <w:szCs w:val="18"/>
              </w:rPr>
              <w:t>Placenta (villi)</w:t>
            </w: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No difference</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10</w:t>
            </w: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70</w:t>
            </w:r>
          </w:p>
          <w:p w:rsidR="009B2A14" w:rsidRDefault="009B2A14" w:rsidP="009B2A14">
            <w:pPr>
              <w:spacing w:after="0"/>
              <w:jc w:val="center"/>
              <w:rPr>
                <w:sz w:val="18"/>
                <w:szCs w:val="18"/>
              </w:rPr>
            </w:pPr>
            <w:r>
              <w:rPr>
                <w:sz w:val="18"/>
                <w:szCs w:val="18"/>
              </w:rPr>
              <w:t>130</w:t>
            </w:r>
          </w:p>
          <w:p w:rsidR="009B2A14" w:rsidRPr="00DE5B46" w:rsidRDefault="009B2A14" w:rsidP="009B2A14">
            <w:pPr>
              <w:spacing w:after="0"/>
              <w:jc w:val="center"/>
              <w:rPr>
                <w:sz w:val="18"/>
                <w:szCs w:val="18"/>
              </w:rPr>
            </w:pPr>
            <w:r>
              <w:rPr>
                <w:sz w:val="18"/>
                <w:szCs w:val="18"/>
              </w:rPr>
              <w:t>130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181a-5p</w:t>
            </w:r>
          </w:p>
        </w:tc>
        <w:tc>
          <w:tcPr>
            <w:tcW w:w="2905" w:type="dxa"/>
          </w:tcPr>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p>
          <w:p w:rsidR="009B2A14" w:rsidRDefault="009B2A14" w:rsidP="009B2A14">
            <w:pPr>
              <w:tabs>
                <w:tab w:val="center" w:pos="1365"/>
                <w:tab w:val="right" w:pos="2731"/>
              </w:tabs>
              <w:spacing w:after="0"/>
              <w:jc w:val="center"/>
              <w:rPr>
                <w:color w:val="000000"/>
                <w:sz w:val="18"/>
                <w:szCs w:val="18"/>
              </w:rPr>
            </w:pPr>
            <w:r>
              <w:rPr>
                <w:color w:val="000000"/>
                <w:sz w:val="18"/>
                <w:szCs w:val="18"/>
              </w:rPr>
              <w:t>Placenta</w:t>
            </w:r>
          </w:p>
          <w:p w:rsidR="009B2A14" w:rsidRDefault="009B2A14" w:rsidP="009B2A14">
            <w:pPr>
              <w:tabs>
                <w:tab w:val="center" w:pos="1365"/>
                <w:tab w:val="right" w:pos="2731"/>
              </w:tabs>
              <w:spacing w:after="0"/>
              <w:jc w:val="center"/>
              <w:rPr>
                <w:color w:val="000000"/>
                <w:sz w:val="18"/>
                <w:szCs w:val="18"/>
              </w:rPr>
            </w:pPr>
            <w:r>
              <w:rPr>
                <w:color w:val="000000"/>
                <w:sz w:val="18"/>
                <w:szCs w:val="18"/>
              </w:rPr>
              <w:t>MPB</w:t>
            </w:r>
          </w:p>
          <w:p w:rsidR="009B2A14" w:rsidRPr="00946E8E" w:rsidRDefault="009B2A14" w:rsidP="009B2A14">
            <w:pPr>
              <w:tabs>
                <w:tab w:val="center" w:pos="1365"/>
                <w:tab w:val="right" w:pos="2731"/>
              </w:tabs>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Up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144</w:t>
            </w:r>
          </w:p>
          <w:p w:rsidR="009B2A14" w:rsidRDefault="009B2A14" w:rsidP="009B2A14">
            <w:pPr>
              <w:spacing w:after="0"/>
              <w:jc w:val="center"/>
              <w:rPr>
                <w:sz w:val="18"/>
                <w:szCs w:val="18"/>
              </w:rPr>
            </w:pPr>
            <w:r>
              <w:rPr>
                <w:sz w:val="18"/>
                <w:szCs w:val="18"/>
              </w:rPr>
              <w:t>158</w:t>
            </w:r>
          </w:p>
          <w:p w:rsidR="009B2A14" w:rsidRDefault="009B2A14" w:rsidP="009B2A14">
            <w:pPr>
              <w:spacing w:after="0"/>
              <w:jc w:val="center"/>
              <w:rPr>
                <w:sz w:val="18"/>
                <w:szCs w:val="18"/>
              </w:rPr>
            </w:pPr>
            <w:r>
              <w:rPr>
                <w:sz w:val="18"/>
                <w:szCs w:val="18"/>
              </w:rPr>
              <w:t>161</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181a-3p</w:t>
            </w:r>
          </w:p>
        </w:tc>
        <w:tc>
          <w:tcPr>
            <w:tcW w:w="2905" w:type="dxa"/>
          </w:tcPr>
          <w:p w:rsidR="009B2A14"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200c</w:t>
            </w:r>
          </w:p>
        </w:tc>
        <w:tc>
          <w:tcPr>
            <w:tcW w:w="2905" w:type="dxa"/>
          </w:tcPr>
          <w:p w:rsidR="009B2A14" w:rsidRDefault="009B2A14" w:rsidP="009B2A14">
            <w:pPr>
              <w:spacing w:after="0"/>
              <w:jc w:val="center"/>
              <w:rPr>
                <w:color w:val="000000"/>
                <w:sz w:val="18"/>
                <w:szCs w:val="18"/>
              </w:rPr>
            </w:pPr>
            <w:r w:rsidRPr="00946E8E">
              <w:rPr>
                <w:color w:val="000000"/>
                <w:sz w:val="18"/>
                <w:szCs w:val="18"/>
              </w:rPr>
              <w:t>Placenta (villi)</w:t>
            </w:r>
          </w:p>
          <w:p w:rsidR="009B2A14" w:rsidRDefault="009B2A14" w:rsidP="009B2A14">
            <w:pPr>
              <w:spacing w:after="0"/>
              <w:jc w:val="center"/>
            </w:pPr>
            <w:r>
              <w:rPr>
                <w:color w:val="000000"/>
                <w:sz w:val="18"/>
                <w:szCs w:val="18"/>
              </w:rPr>
              <w:t>Placenta</w:t>
            </w:r>
          </w:p>
        </w:tc>
        <w:tc>
          <w:tcPr>
            <w:tcW w:w="2976" w:type="dxa"/>
            <w:vAlign w:val="center"/>
          </w:tcPr>
          <w:p w:rsidR="009B2A14" w:rsidRDefault="009B2A14" w:rsidP="009B2A14">
            <w:pPr>
              <w:spacing w:after="0"/>
              <w:jc w:val="center"/>
              <w:rPr>
                <w:sz w:val="18"/>
                <w:szCs w:val="18"/>
              </w:rPr>
            </w:pPr>
            <w:r>
              <w:rPr>
                <w:sz w:val="18"/>
                <w:szCs w:val="18"/>
              </w:rPr>
              <w:t>NR</w:t>
            </w:r>
          </w:p>
          <w:p w:rsidR="009B2A14" w:rsidRPr="00DE5B46" w:rsidRDefault="009B2A14"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sz w:val="18"/>
                <w:szCs w:val="18"/>
              </w:rPr>
            </w:pPr>
            <w:r>
              <w:rPr>
                <w:sz w:val="18"/>
                <w:szCs w:val="18"/>
              </w:rPr>
              <w:t>NR</w:t>
            </w:r>
          </w:p>
          <w:p w:rsidR="009B2A14" w:rsidRPr="00DE5B46"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10</w:t>
            </w:r>
          </w:p>
          <w:p w:rsidR="009B2A14" w:rsidRPr="00DE5B46" w:rsidRDefault="009B2A14" w:rsidP="009B2A14">
            <w:pPr>
              <w:spacing w:after="0"/>
              <w:jc w:val="center"/>
              <w:rPr>
                <w:sz w:val="18"/>
                <w:szCs w:val="18"/>
              </w:rPr>
            </w:pPr>
            <w:r>
              <w:rPr>
                <w:sz w:val="18"/>
                <w:szCs w:val="18"/>
              </w:rPr>
              <w:t>67</w:t>
            </w:r>
          </w:p>
        </w:tc>
      </w:tr>
      <w:tr w:rsidR="009B2A14" w:rsidRPr="00DE5B46" w:rsidTr="0056680A">
        <w:trPr>
          <w:cantSplit/>
          <w:trHeight w:val="1098"/>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296-3p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 (villi)</w:t>
            </w:r>
          </w:p>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MPB (plasma)</w:t>
            </w:r>
          </w:p>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Up in PE</w:t>
            </w:r>
          </w:p>
          <w:p w:rsidR="009B2A14" w:rsidRDefault="009B2A14" w:rsidP="009B2A14">
            <w:pPr>
              <w:spacing w:after="0"/>
              <w:jc w:val="center"/>
              <w:rPr>
                <w:sz w:val="18"/>
                <w:szCs w:val="18"/>
              </w:rPr>
            </w:pPr>
            <w:r>
              <w:rPr>
                <w:sz w:val="18"/>
                <w:szCs w:val="18"/>
              </w:rPr>
              <w:t>Up at delivery</w:t>
            </w:r>
          </w:p>
          <w:p w:rsidR="009B2A14" w:rsidRPr="00DE5B46" w:rsidRDefault="009B2A14" w:rsidP="009B2A14">
            <w:pPr>
              <w:spacing w:after="0"/>
              <w:jc w:val="center"/>
              <w:rPr>
                <w:sz w:val="18"/>
                <w:szCs w:val="18"/>
              </w:rPr>
            </w:pPr>
            <w:r>
              <w:rPr>
                <w:sz w:val="18"/>
                <w:szCs w:val="18"/>
              </w:rPr>
              <w:t>No difference 1 year after delivery</w:t>
            </w:r>
          </w:p>
        </w:tc>
        <w:tc>
          <w:tcPr>
            <w:tcW w:w="709"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p w:rsidR="009B2A14" w:rsidRPr="00DE5B46" w:rsidRDefault="009B2A14" w:rsidP="009B2A14">
            <w:pPr>
              <w:spacing w:after="0"/>
              <w:jc w:val="center"/>
              <w:rPr>
                <w:sz w:val="18"/>
                <w:szCs w:val="18"/>
              </w:rPr>
            </w:pPr>
            <w:r>
              <w:rPr>
                <w:sz w:val="18"/>
                <w:szCs w:val="18"/>
              </w:rPr>
              <w:t>No</w:t>
            </w:r>
          </w:p>
        </w:tc>
        <w:tc>
          <w:tcPr>
            <w:tcW w:w="1805" w:type="dxa"/>
            <w:vAlign w:val="center"/>
          </w:tcPr>
          <w:p w:rsidR="009B2A14" w:rsidRDefault="009B2A14" w:rsidP="009B2A14">
            <w:pPr>
              <w:spacing w:after="0"/>
              <w:jc w:val="center"/>
              <w:rPr>
                <w:sz w:val="18"/>
                <w:szCs w:val="18"/>
              </w:rPr>
            </w:pPr>
            <w:r>
              <w:rPr>
                <w:sz w:val="18"/>
                <w:szCs w:val="18"/>
              </w:rPr>
              <w:t>10</w:t>
            </w:r>
          </w:p>
          <w:p w:rsidR="009B2A14" w:rsidRDefault="009B2A14" w:rsidP="009B2A14">
            <w:pPr>
              <w:spacing w:after="0"/>
              <w:jc w:val="center"/>
              <w:rPr>
                <w:sz w:val="18"/>
                <w:szCs w:val="18"/>
              </w:rPr>
            </w:pPr>
            <w:r>
              <w:rPr>
                <w:sz w:val="18"/>
                <w:szCs w:val="18"/>
              </w:rPr>
              <w:t>24</w:t>
            </w:r>
          </w:p>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296-5p</w:t>
            </w:r>
          </w:p>
        </w:tc>
        <w:tc>
          <w:tcPr>
            <w:tcW w:w="2905" w:type="dxa"/>
          </w:tcPr>
          <w:p w:rsidR="009B2A14" w:rsidRPr="00946E8E"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24</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377</w:t>
            </w:r>
          </w:p>
        </w:tc>
        <w:tc>
          <w:tcPr>
            <w:tcW w:w="2905" w:type="dxa"/>
          </w:tcPr>
          <w:p w:rsidR="009B2A14" w:rsidRDefault="009B2A14" w:rsidP="009B2A14">
            <w:pPr>
              <w:spacing w:after="0"/>
              <w:jc w:val="center"/>
              <w:rPr>
                <w:color w:val="000000"/>
                <w:sz w:val="18"/>
                <w:szCs w:val="18"/>
              </w:rPr>
            </w:pPr>
            <w:r w:rsidRPr="00946E8E">
              <w:rPr>
                <w:color w:val="000000"/>
                <w:sz w:val="18"/>
                <w:szCs w:val="18"/>
              </w:rPr>
              <w:t>Placenta (villi)</w:t>
            </w:r>
          </w:p>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pPr>
            <w:r>
              <w:rPr>
                <w:color w:val="000000"/>
                <w:sz w:val="18"/>
                <w:szCs w:val="18"/>
              </w:rPr>
              <w:t>MPB (plasma)</w:t>
            </w:r>
          </w:p>
        </w:tc>
        <w:tc>
          <w:tcPr>
            <w:tcW w:w="2976"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No difference</w:t>
            </w:r>
          </w:p>
          <w:p w:rsidR="009B2A14" w:rsidRPr="00DE5B46" w:rsidRDefault="009B2A14" w:rsidP="009B2A14">
            <w:pPr>
              <w:spacing w:after="0"/>
              <w:jc w:val="center"/>
              <w:rPr>
                <w:sz w:val="18"/>
                <w:szCs w:val="18"/>
              </w:rPr>
            </w:pPr>
            <w:r>
              <w:rPr>
                <w:sz w:val="18"/>
                <w:szCs w:val="18"/>
              </w:rPr>
              <w:t>No difference</w:t>
            </w:r>
          </w:p>
        </w:tc>
        <w:tc>
          <w:tcPr>
            <w:tcW w:w="709"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No</w:t>
            </w:r>
          </w:p>
          <w:p w:rsidR="009B2A14" w:rsidRPr="00DE5B46" w:rsidRDefault="009B2A14" w:rsidP="009B2A14">
            <w:pPr>
              <w:spacing w:after="0"/>
              <w:jc w:val="center"/>
              <w:rPr>
                <w:sz w:val="18"/>
                <w:szCs w:val="18"/>
              </w:rPr>
            </w:pPr>
            <w:r>
              <w:rPr>
                <w:sz w:val="18"/>
                <w:szCs w:val="18"/>
              </w:rPr>
              <w:t>No</w:t>
            </w:r>
          </w:p>
        </w:tc>
        <w:tc>
          <w:tcPr>
            <w:tcW w:w="1805" w:type="dxa"/>
            <w:vAlign w:val="center"/>
          </w:tcPr>
          <w:p w:rsidR="009B2A14" w:rsidRDefault="009B2A14" w:rsidP="009B2A14">
            <w:pPr>
              <w:spacing w:after="0"/>
              <w:jc w:val="center"/>
              <w:rPr>
                <w:sz w:val="18"/>
                <w:szCs w:val="18"/>
              </w:rPr>
            </w:pPr>
            <w:r>
              <w:rPr>
                <w:sz w:val="18"/>
                <w:szCs w:val="18"/>
              </w:rPr>
              <w:t>10</w:t>
            </w:r>
          </w:p>
          <w:p w:rsidR="009B2A14" w:rsidRDefault="009B2A14" w:rsidP="009B2A14">
            <w:pPr>
              <w:spacing w:after="0"/>
              <w:jc w:val="center"/>
              <w:rPr>
                <w:sz w:val="18"/>
                <w:szCs w:val="18"/>
              </w:rPr>
            </w:pPr>
            <w:r>
              <w:rPr>
                <w:sz w:val="18"/>
                <w:szCs w:val="18"/>
              </w:rPr>
              <w:t>57</w:t>
            </w:r>
          </w:p>
          <w:p w:rsidR="009B2A14" w:rsidRPr="00DE5B46" w:rsidRDefault="009B2A14" w:rsidP="009B2A14">
            <w:pPr>
              <w:spacing w:after="0"/>
              <w:jc w:val="center"/>
              <w:rPr>
                <w:sz w:val="18"/>
                <w:szCs w:val="18"/>
              </w:rPr>
            </w:pPr>
            <w:r>
              <w:rPr>
                <w:sz w:val="18"/>
                <w:szCs w:val="18"/>
              </w:rPr>
              <w:t>186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483-5p</w:t>
            </w:r>
          </w:p>
        </w:tc>
        <w:tc>
          <w:tcPr>
            <w:tcW w:w="2905" w:type="dxa"/>
          </w:tcPr>
          <w:p w:rsidR="009B2A14" w:rsidRDefault="009B2A14" w:rsidP="009B2A14">
            <w:pPr>
              <w:spacing w:after="0"/>
              <w:jc w:val="center"/>
            </w:pPr>
            <w:r w:rsidRPr="00946E8E">
              <w:rPr>
                <w:color w:val="000000"/>
                <w:sz w:val="18"/>
                <w:szCs w:val="18"/>
              </w:rPr>
              <w:t>Placenta (villi)</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493</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 (villi)</w:t>
            </w:r>
          </w:p>
        </w:tc>
        <w:tc>
          <w:tcPr>
            <w:tcW w:w="2976" w:type="dxa"/>
            <w:vAlign w:val="center"/>
          </w:tcPr>
          <w:p w:rsidR="009B2A14" w:rsidRPr="00DE5B46" w:rsidRDefault="009B2A14" w:rsidP="009B2A14">
            <w:pPr>
              <w:spacing w:after="0"/>
              <w:jc w:val="center"/>
              <w:rPr>
                <w:sz w:val="18"/>
                <w:szCs w:val="18"/>
              </w:rPr>
            </w:pPr>
            <w:r>
              <w:rPr>
                <w:sz w:val="18"/>
                <w:szCs w:val="18"/>
              </w:rPr>
              <w:t>NR</w:t>
            </w:r>
          </w:p>
        </w:tc>
        <w:tc>
          <w:tcPr>
            <w:tcW w:w="709" w:type="dxa"/>
            <w:vAlign w:val="center"/>
          </w:tcPr>
          <w:p w:rsidR="009B2A14" w:rsidRPr="00DE5B46" w:rsidRDefault="009B2A14" w:rsidP="009B2A14">
            <w:pPr>
              <w:spacing w:after="0"/>
              <w:jc w:val="center"/>
              <w:rPr>
                <w:sz w:val="18"/>
                <w:szCs w:val="18"/>
              </w:rPr>
            </w:pPr>
            <w:r>
              <w:rPr>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10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516-5p</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pPr>
            <w:r>
              <w:rPr>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13</w:t>
            </w:r>
          </w:p>
          <w:p w:rsidR="009B2A14" w:rsidRPr="00DE5B46" w:rsidRDefault="009B2A14" w:rsidP="009B2A14">
            <w:pPr>
              <w:spacing w:after="0"/>
              <w:jc w:val="center"/>
              <w:rPr>
                <w:sz w:val="18"/>
                <w:szCs w:val="18"/>
              </w:rPr>
            </w:pPr>
            <w:r>
              <w:rPr>
                <w:sz w:val="18"/>
                <w:szCs w:val="18"/>
              </w:rPr>
              <w:t>27</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516b-5p</w:t>
            </w:r>
          </w:p>
        </w:tc>
        <w:tc>
          <w:tcPr>
            <w:tcW w:w="2905" w:type="dxa"/>
          </w:tcPr>
          <w:p w:rsidR="009B2A14" w:rsidRDefault="009B2A14" w:rsidP="009B2A14">
            <w:pPr>
              <w:spacing w:after="0"/>
              <w:jc w:val="center"/>
              <w:rPr>
                <w:sz w:val="18"/>
                <w:szCs w:val="18"/>
              </w:rPr>
            </w:pPr>
            <w:r>
              <w:rPr>
                <w:sz w:val="18"/>
                <w:szCs w:val="18"/>
              </w:rPr>
              <w:t>Placenta (chorionic plate)</w:t>
            </w:r>
          </w:p>
          <w:p w:rsidR="009B2A14" w:rsidRPr="009E29D8" w:rsidRDefault="009B2A14" w:rsidP="009B2A14">
            <w:pPr>
              <w:spacing w:after="0"/>
              <w:jc w:val="center"/>
              <w:rPr>
                <w:sz w:val="18"/>
                <w:szCs w:val="18"/>
              </w:rPr>
            </w:pPr>
            <w:r>
              <w:rPr>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81</w:t>
            </w:r>
          </w:p>
          <w:p w:rsidR="009B2A14" w:rsidRDefault="009B2A14" w:rsidP="009B2A14">
            <w:pPr>
              <w:spacing w:after="0"/>
              <w:jc w:val="center"/>
              <w:rPr>
                <w:sz w:val="18"/>
                <w:szCs w:val="18"/>
              </w:rPr>
            </w:pPr>
            <w:r>
              <w:rPr>
                <w:sz w:val="18"/>
                <w:szCs w:val="18"/>
              </w:rPr>
              <w:t>159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517</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pPr>
            <w:r>
              <w:rPr>
                <w:sz w:val="18"/>
                <w:szCs w:val="18"/>
              </w:rPr>
              <w:t>MPB (plasma)</w:t>
            </w:r>
          </w:p>
        </w:tc>
        <w:tc>
          <w:tcPr>
            <w:tcW w:w="2976" w:type="dxa"/>
            <w:vAlign w:val="center"/>
          </w:tcPr>
          <w:p w:rsidR="009B2A14" w:rsidRDefault="009B2A14" w:rsidP="009B2A14">
            <w:pPr>
              <w:spacing w:after="0"/>
              <w:jc w:val="center"/>
              <w:rPr>
                <w:sz w:val="18"/>
                <w:szCs w:val="18"/>
              </w:rPr>
            </w:pPr>
            <w:r>
              <w:rPr>
                <w:sz w:val="18"/>
                <w:szCs w:val="18"/>
              </w:rPr>
              <w:t>NR</w:t>
            </w:r>
          </w:p>
          <w:p w:rsidR="009B2A14" w:rsidRPr="00DE5B46" w:rsidRDefault="009B2A14"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sz w:val="18"/>
                <w:szCs w:val="18"/>
              </w:rPr>
            </w:pPr>
            <w:r>
              <w:rPr>
                <w:sz w:val="18"/>
                <w:szCs w:val="18"/>
              </w:rPr>
              <w:t>NR</w:t>
            </w:r>
          </w:p>
          <w:p w:rsidR="009B2A14" w:rsidRPr="00DE5B46"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13</w:t>
            </w:r>
          </w:p>
          <w:p w:rsidR="009B2A14" w:rsidRPr="00DE5B46" w:rsidRDefault="009B2A14" w:rsidP="009B2A14">
            <w:pPr>
              <w:spacing w:after="0"/>
              <w:jc w:val="center"/>
              <w:rPr>
                <w:sz w:val="18"/>
                <w:szCs w:val="18"/>
              </w:rPr>
            </w:pPr>
            <w:r>
              <w:rPr>
                <w:sz w:val="18"/>
                <w:szCs w:val="18"/>
              </w:rPr>
              <w:t>27</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517-5p</w:t>
            </w:r>
          </w:p>
        </w:tc>
        <w:tc>
          <w:tcPr>
            <w:tcW w:w="2905" w:type="dxa"/>
          </w:tcPr>
          <w:p w:rsidR="009B2A14" w:rsidRDefault="009B2A14" w:rsidP="009B2A14">
            <w:pPr>
              <w:spacing w:after="0"/>
              <w:jc w:val="center"/>
              <w:rPr>
                <w:sz w:val="18"/>
                <w:szCs w:val="18"/>
              </w:rPr>
            </w:pPr>
            <w:r>
              <w:rPr>
                <w:sz w:val="18"/>
                <w:szCs w:val="18"/>
              </w:rPr>
              <w:t>Placenta</w:t>
            </w:r>
          </w:p>
          <w:p w:rsidR="009B2A14" w:rsidRPr="009E29D8" w:rsidRDefault="009B2A14" w:rsidP="009B2A14">
            <w:pPr>
              <w:spacing w:after="0"/>
              <w:jc w:val="center"/>
              <w:rPr>
                <w:sz w:val="18"/>
                <w:szCs w:val="18"/>
              </w:rPr>
            </w:pPr>
            <w:r>
              <w:rPr>
                <w:sz w:val="18"/>
                <w:szCs w:val="18"/>
              </w:rPr>
              <w:t>MPB (plasma exosomes)</w:t>
            </w:r>
          </w:p>
        </w:tc>
        <w:tc>
          <w:tcPr>
            <w:tcW w:w="2976" w:type="dxa"/>
            <w:vAlign w:val="center"/>
          </w:tcPr>
          <w:p w:rsidR="009B2A14" w:rsidRDefault="009B2A14" w:rsidP="009B2A14">
            <w:pPr>
              <w:spacing w:after="0"/>
              <w:jc w:val="center"/>
              <w:rPr>
                <w:sz w:val="18"/>
                <w:szCs w:val="18"/>
              </w:rPr>
            </w:pPr>
            <w:r>
              <w:rPr>
                <w:sz w:val="18"/>
                <w:szCs w:val="18"/>
              </w:rPr>
              <w:t>Down in PE</w:t>
            </w:r>
          </w:p>
          <w:p w:rsidR="009B2A14" w:rsidRDefault="009B2A14" w:rsidP="009B2A14">
            <w:pPr>
              <w:spacing w:after="0"/>
              <w:jc w:val="center"/>
              <w:rPr>
                <w:sz w:val="18"/>
                <w:szCs w:val="18"/>
              </w:rPr>
            </w:pPr>
            <w:r>
              <w:rPr>
                <w:sz w:val="18"/>
                <w:szCs w:val="18"/>
              </w:rPr>
              <w:t>Down in PE</w:t>
            </w:r>
          </w:p>
        </w:tc>
        <w:tc>
          <w:tcPr>
            <w:tcW w:w="709" w:type="dxa"/>
            <w:vAlign w:val="center"/>
          </w:tcPr>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53</w:t>
            </w:r>
          </w:p>
          <w:p w:rsidR="009B2A14" w:rsidRDefault="009B2A14" w:rsidP="009B2A14">
            <w:pPr>
              <w:spacing w:after="0"/>
              <w:jc w:val="center"/>
              <w:rPr>
                <w:sz w:val="18"/>
                <w:szCs w:val="18"/>
              </w:rPr>
            </w:pPr>
            <w:r>
              <w:rPr>
                <w:sz w:val="18"/>
                <w:szCs w:val="18"/>
              </w:rPr>
              <w:t>159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518b</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MPB (plasma exosomes)</w:t>
            </w:r>
          </w:p>
          <w:p w:rsidR="00E449F8" w:rsidRDefault="00E449F8" w:rsidP="009B2A14">
            <w:pPr>
              <w:spacing w:after="0"/>
              <w:jc w:val="center"/>
            </w:pPr>
            <w:r>
              <w:rPr>
                <w:sz w:val="18"/>
                <w:szCs w:val="18"/>
              </w:rPr>
              <w:t>MPB (leukocytes)</w:t>
            </w:r>
          </w:p>
        </w:tc>
        <w:tc>
          <w:tcPr>
            <w:tcW w:w="2976"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No difference</w:t>
            </w:r>
          </w:p>
          <w:p w:rsidR="009B2A14" w:rsidRDefault="009B2A14" w:rsidP="009B2A14">
            <w:pPr>
              <w:spacing w:after="0"/>
              <w:jc w:val="center"/>
              <w:rPr>
                <w:sz w:val="18"/>
                <w:szCs w:val="18"/>
              </w:rPr>
            </w:pPr>
            <w:r>
              <w:rPr>
                <w:sz w:val="18"/>
                <w:szCs w:val="18"/>
              </w:rPr>
              <w:t>Down in PE</w:t>
            </w:r>
          </w:p>
          <w:p w:rsidR="009B2A14" w:rsidRDefault="009B2A14" w:rsidP="009B2A14">
            <w:pPr>
              <w:spacing w:after="0"/>
              <w:jc w:val="center"/>
              <w:rPr>
                <w:sz w:val="18"/>
                <w:szCs w:val="18"/>
              </w:rPr>
            </w:pPr>
            <w:r>
              <w:rPr>
                <w:sz w:val="18"/>
                <w:szCs w:val="18"/>
              </w:rPr>
              <w:t>No difference</w:t>
            </w:r>
          </w:p>
          <w:p w:rsidR="00E449F8" w:rsidRPr="00DE5B46" w:rsidRDefault="00E449F8"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No</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No</w:t>
            </w:r>
          </w:p>
          <w:p w:rsidR="00E449F8" w:rsidRPr="00DE5B46" w:rsidRDefault="00E449F8"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13</w:t>
            </w:r>
          </w:p>
          <w:p w:rsidR="009B2A14" w:rsidRDefault="009B2A14" w:rsidP="009B2A14">
            <w:pPr>
              <w:spacing w:after="0"/>
              <w:jc w:val="center"/>
              <w:rPr>
                <w:sz w:val="18"/>
                <w:szCs w:val="18"/>
              </w:rPr>
            </w:pPr>
            <w:r>
              <w:rPr>
                <w:sz w:val="18"/>
                <w:szCs w:val="18"/>
              </w:rPr>
              <w:t>36</w:t>
            </w:r>
          </w:p>
          <w:p w:rsidR="009B2A14" w:rsidRDefault="009B2A14" w:rsidP="009B2A14">
            <w:pPr>
              <w:spacing w:after="0"/>
              <w:jc w:val="center"/>
              <w:rPr>
                <w:sz w:val="18"/>
                <w:szCs w:val="18"/>
              </w:rPr>
            </w:pPr>
            <w:r>
              <w:rPr>
                <w:sz w:val="18"/>
                <w:szCs w:val="18"/>
              </w:rPr>
              <w:t>53</w:t>
            </w:r>
          </w:p>
          <w:p w:rsidR="009B2A14" w:rsidRDefault="009B2A14" w:rsidP="009B2A14">
            <w:pPr>
              <w:spacing w:after="0"/>
              <w:jc w:val="center"/>
              <w:rPr>
                <w:sz w:val="18"/>
                <w:szCs w:val="18"/>
              </w:rPr>
            </w:pPr>
            <w:r>
              <w:rPr>
                <w:sz w:val="18"/>
                <w:szCs w:val="18"/>
              </w:rPr>
              <w:t>159</w:t>
            </w:r>
          </w:p>
          <w:p w:rsidR="00E449F8" w:rsidRPr="00DE5B46" w:rsidRDefault="00E449F8" w:rsidP="009B2A14">
            <w:pPr>
              <w:spacing w:after="0"/>
              <w:jc w:val="center"/>
              <w:rPr>
                <w:sz w:val="18"/>
                <w:szCs w:val="18"/>
              </w:rPr>
            </w:pPr>
            <w:r>
              <w:rPr>
                <w:sz w:val="18"/>
                <w:szCs w:val="18"/>
              </w:rPr>
              <w:t>Demirer 2019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lastRenderedPageBreak/>
              <w:t>520a</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pPr>
            <w:r>
              <w:rPr>
                <w:sz w:val="18"/>
                <w:szCs w:val="18"/>
              </w:rPr>
              <w:t>MPB (serum)</w:t>
            </w:r>
          </w:p>
        </w:tc>
        <w:tc>
          <w:tcPr>
            <w:tcW w:w="2976"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Up in PE</w:t>
            </w:r>
          </w:p>
          <w:p w:rsidR="009B2A14" w:rsidRPr="00DE5B46" w:rsidRDefault="009B2A14"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Yes</w:t>
            </w:r>
          </w:p>
          <w:p w:rsidR="009B2A14" w:rsidRPr="00DE5B46" w:rsidRDefault="009B2A14" w:rsidP="009B2A14">
            <w:pPr>
              <w:spacing w:after="0"/>
              <w:jc w:val="center"/>
              <w:rPr>
                <w:sz w:val="18"/>
                <w:szCs w:val="18"/>
              </w:rPr>
            </w:pPr>
            <w:r>
              <w:rPr>
                <w:sz w:val="18"/>
                <w:szCs w:val="18"/>
              </w:rPr>
              <w:t>NR</w:t>
            </w:r>
          </w:p>
        </w:tc>
        <w:tc>
          <w:tcPr>
            <w:tcW w:w="1805" w:type="dxa"/>
            <w:vAlign w:val="center"/>
          </w:tcPr>
          <w:p w:rsidR="009B2A14" w:rsidRDefault="009B2A14" w:rsidP="009B2A14">
            <w:pPr>
              <w:spacing w:after="0"/>
              <w:jc w:val="center"/>
              <w:rPr>
                <w:sz w:val="18"/>
                <w:szCs w:val="18"/>
              </w:rPr>
            </w:pPr>
            <w:r>
              <w:rPr>
                <w:sz w:val="18"/>
                <w:szCs w:val="18"/>
              </w:rPr>
              <w:t>13</w:t>
            </w:r>
          </w:p>
          <w:p w:rsidR="009B2A14" w:rsidRDefault="009B2A14" w:rsidP="009B2A14">
            <w:pPr>
              <w:spacing w:after="0"/>
              <w:jc w:val="center"/>
              <w:rPr>
                <w:sz w:val="18"/>
                <w:szCs w:val="18"/>
              </w:rPr>
            </w:pPr>
            <w:r>
              <w:rPr>
                <w:sz w:val="18"/>
                <w:szCs w:val="18"/>
              </w:rPr>
              <w:t>27</w:t>
            </w:r>
          </w:p>
          <w:p w:rsidR="009B2A14" w:rsidRPr="00DE5B46" w:rsidRDefault="009B2A14" w:rsidP="009B2A14">
            <w:pPr>
              <w:spacing w:after="0"/>
              <w:jc w:val="center"/>
              <w:rPr>
                <w:sz w:val="18"/>
                <w:szCs w:val="18"/>
              </w:rPr>
            </w:pPr>
            <w:r>
              <w:rPr>
                <w:sz w:val="18"/>
                <w:szCs w:val="18"/>
              </w:rPr>
              <w:t>41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520a-5p</w:t>
            </w:r>
          </w:p>
        </w:tc>
        <w:tc>
          <w:tcPr>
            <w:tcW w:w="2905" w:type="dxa"/>
          </w:tcPr>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rPr>
                <w:sz w:val="18"/>
                <w:szCs w:val="18"/>
              </w:rPr>
            </w:pPr>
            <w:r>
              <w:rPr>
                <w:sz w:val="18"/>
                <w:szCs w:val="18"/>
              </w:rPr>
              <w:t>Placenta (chorionic plate)</w:t>
            </w:r>
          </w:p>
          <w:p w:rsidR="009B2A14" w:rsidRPr="009E29D8" w:rsidRDefault="009B2A14" w:rsidP="009B2A14">
            <w:pPr>
              <w:spacing w:after="0"/>
              <w:jc w:val="center"/>
              <w:rPr>
                <w:sz w:val="18"/>
                <w:szCs w:val="18"/>
              </w:rPr>
            </w:pPr>
            <w:r>
              <w:rPr>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26</w:t>
            </w:r>
          </w:p>
          <w:p w:rsidR="009B2A14" w:rsidRDefault="009B2A14" w:rsidP="009B2A14">
            <w:pPr>
              <w:spacing w:after="0"/>
              <w:jc w:val="center"/>
              <w:rPr>
                <w:sz w:val="18"/>
                <w:szCs w:val="18"/>
              </w:rPr>
            </w:pPr>
            <w:r>
              <w:rPr>
                <w:sz w:val="18"/>
                <w:szCs w:val="18"/>
              </w:rPr>
              <w:t>53</w:t>
            </w:r>
          </w:p>
          <w:p w:rsidR="009B2A14" w:rsidRDefault="009B2A14" w:rsidP="009B2A14">
            <w:pPr>
              <w:spacing w:after="0"/>
              <w:jc w:val="center"/>
              <w:rPr>
                <w:sz w:val="18"/>
                <w:szCs w:val="18"/>
              </w:rPr>
            </w:pPr>
            <w:r>
              <w:rPr>
                <w:sz w:val="18"/>
                <w:szCs w:val="18"/>
              </w:rPr>
              <w:t>81</w:t>
            </w:r>
          </w:p>
          <w:p w:rsidR="009B2A14" w:rsidRDefault="009B2A14" w:rsidP="009B2A14">
            <w:pPr>
              <w:spacing w:after="0"/>
              <w:jc w:val="center"/>
              <w:rPr>
                <w:sz w:val="18"/>
                <w:szCs w:val="18"/>
              </w:rPr>
            </w:pPr>
            <w:r>
              <w:rPr>
                <w:sz w:val="18"/>
                <w:szCs w:val="18"/>
              </w:rPr>
              <w:t>159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520c-3p</w:t>
            </w:r>
          </w:p>
        </w:tc>
        <w:tc>
          <w:tcPr>
            <w:tcW w:w="2905" w:type="dxa"/>
          </w:tcPr>
          <w:p w:rsidR="009B2A14" w:rsidRPr="009E29D8" w:rsidRDefault="009B2A14" w:rsidP="009B2A14">
            <w:pPr>
              <w:spacing w:after="0"/>
              <w:jc w:val="center"/>
              <w:rPr>
                <w:sz w:val="18"/>
                <w:szCs w:val="18"/>
              </w:rPr>
            </w:pPr>
            <w:r>
              <w:rPr>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166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520h</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pPr>
            <w:r>
              <w:rPr>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Down in PE</w:t>
            </w:r>
          </w:p>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13</w:t>
            </w:r>
          </w:p>
          <w:p w:rsidR="009B2A14" w:rsidRDefault="009B2A14" w:rsidP="009B2A14">
            <w:pPr>
              <w:spacing w:after="0"/>
              <w:jc w:val="center"/>
              <w:rPr>
                <w:sz w:val="18"/>
                <w:szCs w:val="18"/>
              </w:rPr>
            </w:pPr>
            <w:r>
              <w:rPr>
                <w:sz w:val="18"/>
                <w:szCs w:val="18"/>
              </w:rPr>
              <w:t>53</w:t>
            </w:r>
          </w:p>
          <w:p w:rsidR="009B2A14" w:rsidRPr="00DE5B46" w:rsidRDefault="009B2A14" w:rsidP="009B2A14">
            <w:pPr>
              <w:spacing w:after="0"/>
              <w:jc w:val="center"/>
              <w:rPr>
                <w:sz w:val="18"/>
                <w:szCs w:val="18"/>
              </w:rPr>
            </w:pPr>
            <w:r>
              <w:rPr>
                <w:sz w:val="18"/>
                <w:szCs w:val="18"/>
              </w:rPr>
              <w:t>159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525</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pPr>
            <w:r>
              <w:rPr>
                <w:sz w:val="18"/>
                <w:szCs w:val="18"/>
              </w:rPr>
              <w:t>Placenta</w:t>
            </w:r>
          </w:p>
        </w:tc>
        <w:tc>
          <w:tcPr>
            <w:tcW w:w="2976"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Up in PE</w:t>
            </w:r>
          </w:p>
          <w:p w:rsidR="009B2A14" w:rsidRPr="00DE5B46" w:rsidRDefault="009B2A14" w:rsidP="009B2A14">
            <w:pPr>
              <w:spacing w:after="0"/>
              <w:jc w:val="center"/>
              <w:rPr>
                <w:sz w:val="18"/>
                <w:szCs w:val="18"/>
              </w:rPr>
            </w:pPr>
            <w:r>
              <w:rPr>
                <w:sz w:val="18"/>
                <w:szCs w:val="18"/>
              </w:rPr>
              <w:t>Down in PE</w:t>
            </w:r>
          </w:p>
        </w:tc>
        <w:tc>
          <w:tcPr>
            <w:tcW w:w="709"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Yes</w:t>
            </w:r>
          </w:p>
          <w:p w:rsidR="009B2A14" w:rsidRPr="00DE5B46" w:rsidRDefault="009B2A14"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13</w:t>
            </w:r>
          </w:p>
          <w:p w:rsidR="009B2A14" w:rsidRDefault="009B2A14" w:rsidP="009B2A14">
            <w:pPr>
              <w:spacing w:after="0"/>
              <w:jc w:val="center"/>
              <w:rPr>
                <w:sz w:val="18"/>
                <w:szCs w:val="18"/>
              </w:rPr>
            </w:pPr>
            <w:r>
              <w:rPr>
                <w:sz w:val="18"/>
                <w:szCs w:val="18"/>
              </w:rPr>
              <w:t>27</w:t>
            </w:r>
          </w:p>
          <w:p w:rsidR="009B2A14" w:rsidRPr="00DE5B46" w:rsidRDefault="009B2A14" w:rsidP="009B2A14">
            <w:pPr>
              <w:spacing w:after="0"/>
              <w:jc w:val="center"/>
              <w:rPr>
                <w:sz w:val="18"/>
                <w:szCs w:val="18"/>
              </w:rPr>
            </w:pPr>
            <w:r>
              <w:rPr>
                <w:sz w:val="18"/>
                <w:szCs w:val="18"/>
              </w:rPr>
              <w:t>53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525-5p</w:t>
            </w:r>
          </w:p>
        </w:tc>
        <w:tc>
          <w:tcPr>
            <w:tcW w:w="2905" w:type="dxa"/>
          </w:tcPr>
          <w:p w:rsidR="009B2A14" w:rsidRDefault="009B2A14" w:rsidP="009B2A14">
            <w:pPr>
              <w:spacing w:after="0"/>
              <w:jc w:val="center"/>
              <w:rPr>
                <w:sz w:val="18"/>
                <w:szCs w:val="18"/>
              </w:rPr>
            </w:pPr>
            <w:r>
              <w:rPr>
                <w:sz w:val="18"/>
                <w:szCs w:val="18"/>
              </w:rPr>
              <w:t>Placenta</w:t>
            </w:r>
          </w:p>
          <w:p w:rsidR="009B2A14" w:rsidRPr="009E29D8" w:rsidRDefault="009B2A14" w:rsidP="009B2A14">
            <w:pPr>
              <w:spacing w:after="0"/>
              <w:jc w:val="center"/>
              <w:rPr>
                <w:sz w:val="18"/>
                <w:szCs w:val="18"/>
              </w:rPr>
            </w:pPr>
            <w:r>
              <w:rPr>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14</w:t>
            </w:r>
          </w:p>
          <w:p w:rsidR="009B2A14" w:rsidRDefault="009B2A14" w:rsidP="009B2A14">
            <w:pPr>
              <w:spacing w:after="0"/>
              <w:jc w:val="center"/>
              <w:rPr>
                <w:sz w:val="18"/>
                <w:szCs w:val="18"/>
              </w:rPr>
            </w:pPr>
            <w:r>
              <w:rPr>
                <w:sz w:val="18"/>
                <w:szCs w:val="18"/>
              </w:rPr>
              <w:t>159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526-5p</w:t>
            </w:r>
          </w:p>
        </w:tc>
        <w:tc>
          <w:tcPr>
            <w:tcW w:w="2905" w:type="dxa"/>
          </w:tcPr>
          <w:p w:rsidR="009B2A14" w:rsidRPr="009E29D8" w:rsidRDefault="009B2A14" w:rsidP="009B2A14">
            <w:pPr>
              <w:spacing w:after="0"/>
              <w:jc w:val="center"/>
              <w:rPr>
                <w:sz w:val="18"/>
                <w:szCs w:val="18"/>
              </w:rPr>
            </w:pPr>
            <w:r>
              <w:rPr>
                <w:sz w:val="18"/>
                <w:szCs w:val="18"/>
              </w:rPr>
              <w:t>Placenta (trophoblast debris)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526a</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pPr>
            <w:r>
              <w:rPr>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Up in PE</w:t>
            </w:r>
          </w:p>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13</w:t>
            </w:r>
          </w:p>
          <w:p w:rsidR="009B2A14" w:rsidRDefault="009B2A14" w:rsidP="009B2A14">
            <w:pPr>
              <w:spacing w:after="0"/>
              <w:jc w:val="center"/>
              <w:rPr>
                <w:sz w:val="18"/>
                <w:szCs w:val="18"/>
              </w:rPr>
            </w:pPr>
            <w:r>
              <w:rPr>
                <w:sz w:val="18"/>
                <w:szCs w:val="18"/>
              </w:rPr>
              <w:t>27</w:t>
            </w:r>
          </w:p>
          <w:p w:rsidR="009B2A14" w:rsidRPr="00DE5B46" w:rsidRDefault="009B2A14" w:rsidP="009B2A14">
            <w:pPr>
              <w:spacing w:after="0"/>
              <w:jc w:val="center"/>
              <w:rPr>
                <w:sz w:val="18"/>
                <w:szCs w:val="18"/>
              </w:rPr>
            </w:pPr>
            <w:r>
              <w:rPr>
                <w:sz w:val="18"/>
                <w:szCs w:val="18"/>
              </w:rPr>
              <w:t>53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16</w:t>
            </w:r>
          </w:p>
        </w:tc>
        <w:tc>
          <w:tcPr>
            <w:tcW w:w="2905" w:type="dxa"/>
          </w:tcPr>
          <w:p w:rsidR="009B2A14" w:rsidRDefault="009B2A14" w:rsidP="009B2A14">
            <w:pPr>
              <w:spacing w:after="0"/>
              <w:jc w:val="center"/>
              <w:rPr>
                <w:sz w:val="18"/>
                <w:szCs w:val="18"/>
              </w:rPr>
            </w:pPr>
            <w:r w:rsidRPr="009E29D8">
              <w:rPr>
                <w:sz w:val="18"/>
                <w:szCs w:val="18"/>
              </w:rPr>
              <w:t>MPB (plasma)</w:t>
            </w:r>
          </w:p>
          <w:p w:rsidR="009B2A14" w:rsidRDefault="009B2A14" w:rsidP="009B2A14">
            <w:pPr>
              <w:spacing w:after="0"/>
              <w:jc w:val="center"/>
              <w:rPr>
                <w:sz w:val="18"/>
                <w:szCs w:val="18"/>
              </w:rPr>
            </w:pPr>
            <w:r>
              <w:rPr>
                <w:sz w:val="18"/>
                <w:szCs w:val="18"/>
              </w:rPr>
              <w:t>MPB</w:t>
            </w:r>
          </w:p>
          <w:p w:rsidR="009B2A14" w:rsidRDefault="009B2A14" w:rsidP="009B2A14">
            <w:pPr>
              <w:spacing w:after="0"/>
              <w:jc w:val="center"/>
              <w:rPr>
                <w:sz w:val="18"/>
                <w:szCs w:val="18"/>
              </w:rPr>
            </w:pPr>
            <w:r>
              <w:rPr>
                <w:sz w:val="18"/>
                <w:szCs w:val="18"/>
              </w:rPr>
              <w:t>MPB</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rPr>
                <w:sz w:val="18"/>
                <w:szCs w:val="18"/>
              </w:rPr>
            </w:pPr>
            <w:r>
              <w:rPr>
                <w:sz w:val="18"/>
                <w:szCs w:val="18"/>
              </w:rPr>
              <w:t>Placenta</w:t>
            </w:r>
          </w:p>
          <w:p w:rsidR="0081596A" w:rsidRDefault="0081596A" w:rsidP="009B2A14">
            <w:pPr>
              <w:spacing w:after="0"/>
              <w:jc w:val="center"/>
              <w:rPr>
                <w:sz w:val="18"/>
                <w:szCs w:val="18"/>
              </w:rPr>
            </w:pPr>
            <w:r>
              <w:rPr>
                <w:sz w:val="18"/>
                <w:szCs w:val="18"/>
              </w:rPr>
              <w:t>Placenta</w:t>
            </w:r>
          </w:p>
          <w:p w:rsidR="00D41466" w:rsidRDefault="00D41466" w:rsidP="009B2A14">
            <w:pPr>
              <w:spacing w:after="0"/>
              <w:jc w:val="center"/>
              <w:rPr>
                <w:sz w:val="18"/>
                <w:szCs w:val="18"/>
              </w:rPr>
            </w:pPr>
            <w:r>
              <w:rPr>
                <w:sz w:val="18"/>
                <w:szCs w:val="18"/>
              </w:rPr>
              <w:t>MPB</w:t>
            </w:r>
          </w:p>
          <w:p w:rsidR="00471A27" w:rsidRDefault="00471A27" w:rsidP="009B2A14">
            <w:pPr>
              <w:spacing w:after="0"/>
              <w:jc w:val="center"/>
              <w:rPr>
                <w:sz w:val="18"/>
                <w:szCs w:val="18"/>
              </w:rPr>
            </w:pPr>
            <w:r>
              <w:rPr>
                <w:sz w:val="18"/>
                <w:szCs w:val="18"/>
              </w:rPr>
              <w:t>MPB (whole blood)</w:t>
            </w:r>
          </w:p>
          <w:p w:rsidR="002A46C5" w:rsidRDefault="002A46C5" w:rsidP="009B2A14">
            <w:pPr>
              <w:spacing w:after="0"/>
              <w:jc w:val="center"/>
              <w:rPr>
                <w:sz w:val="18"/>
                <w:szCs w:val="18"/>
              </w:rPr>
            </w:pPr>
            <w:r>
              <w:rPr>
                <w:sz w:val="18"/>
                <w:szCs w:val="18"/>
              </w:rPr>
              <w:t>MPB (whole blood)</w:t>
            </w:r>
          </w:p>
          <w:p w:rsidR="00E975AD" w:rsidRDefault="00E975AD" w:rsidP="009B2A14">
            <w:pPr>
              <w:spacing w:after="0"/>
              <w:jc w:val="center"/>
              <w:rPr>
                <w:sz w:val="18"/>
                <w:szCs w:val="18"/>
              </w:rPr>
            </w:pPr>
            <w:r>
              <w:rPr>
                <w:sz w:val="18"/>
                <w:szCs w:val="18"/>
              </w:rPr>
              <w:t>MPB (serum)</w:t>
            </w:r>
          </w:p>
          <w:p w:rsidR="007B1867" w:rsidRDefault="007B1867" w:rsidP="009B2A14">
            <w:pPr>
              <w:spacing w:after="0"/>
              <w:jc w:val="center"/>
            </w:pPr>
            <w:r>
              <w:rPr>
                <w:sz w:val="18"/>
                <w:szCs w:val="18"/>
              </w:rPr>
              <w:t>Placenta</w:t>
            </w:r>
          </w:p>
        </w:tc>
        <w:tc>
          <w:tcPr>
            <w:tcW w:w="2976"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Up in PE vs. preconceptional</w:t>
            </w:r>
          </w:p>
          <w:p w:rsidR="0081596A" w:rsidRDefault="009B2A14" w:rsidP="009B2A14">
            <w:pPr>
              <w:spacing w:after="0"/>
              <w:jc w:val="center"/>
              <w:rPr>
                <w:sz w:val="18"/>
                <w:szCs w:val="18"/>
              </w:rPr>
            </w:pPr>
            <w:r>
              <w:rPr>
                <w:sz w:val="18"/>
                <w:szCs w:val="18"/>
              </w:rPr>
              <w:t>Down in PE vs. 1</w:t>
            </w:r>
            <w:r w:rsidR="00E33D6E" w:rsidRPr="00E33D6E">
              <w:rPr>
                <w:sz w:val="18"/>
                <w:szCs w:val="18"/>
                <w:vertAlign w:val="superscript"/>
              </w:rPr>
              <w:t>st</w:t>
            </w:r>
            <w:r>
              <w:rPr>
                <w:sz w:val="18"/>
                <w:szCs w:val="18"/>
              </w:rPr>
              <w:t xml:space="preserve"> trimester control</w:t>
            </w:r>
          </w:p>
          <w:p w:rsidR="009B2A14" w:rsidRDefault="009B2A14" w:rsidP="009B2A14">
            <w:pPr>
              <w:spacing w:after="0"/>
              <w:jc w:val="center"/>
              <w:rPr>
                <w:sz w:val="18"/>
                <w:szCs w:val="18"/>
              </w:rPr>
            </w:pPr>
            <w:r>
              <w:rPr>
                <w:sz w:val="18"/>
                <w:szCs w:val="18"/>
              </w:rPr>
              <w:t>No difference</w:t>
            </w:r>
          </w:p>
          <w:p w:rsidR="009B2A14" w:rsidRDefault="009B2A14" w:rsidP="009B2A14">
            <w:pPr>
              <w:spacing w:after="0"/>
              <w:jc w:val="center"/>
              <w:rPr>
                <w:sz w:val="18"/>
                <w:szCs w:val="18"/>
              </w:rPr>
            </w:pPr>
            <w:r>
              <w:rPr>
                <w:sz w:val="18"/>
                <w:szCs w:val="18"/>
              </w:rPr>
              <w:t>No difference</w:t>
            </w:r>
          </w:p>
          <w:p w:rsidR="0081596A" w:rsidRDefault="0081596A" w:rsidP="009B2A14">
            <w:pPr>
              <w:spacing w:after="0"/>
              <w:jc w:val="center"/>
              <w:rPr>
                <w:sz w:val="18"/>
                <w:szCs w:val="18"/>
              </w:rPr>
            </w:pPr>
            <w:r>
              <w:rPr>
                <w:sz w:val="18"/>
                <w:szCs w:val="18"/>
              </w:rPr>
              <w:t>Up in PE</w:t>
            </w:r>
          </w:p>
          <w:p w:rsidR="00D41466" w:rsidRDefault="00D41466" w:rsidP="009B2A14">
            <w:pPr>
              <w:spacing w:after="0"/>
              <w:jc w:val="center"/>
              <w:rPr>
                <w:sz w:val="18"/>
                <w:szCs w:val="18"/>
              </w:rPr>
            </w:pPr>
            <w:r>
              <w:rPr>
                <w:sz w:val="18"/>
                <w:szCs w:val="18"/>
              </w:rPr>
              <w:t>No difference</w:t>
            </w:r>
          </w:p>
          <w:p w:rsidR="00471A27" w:rsidRDefault="00471A27" w:rsidP="009B2A14">
            <w:pPr>
              <w:spacing w:after="0"/>
              <w:jc w:val="center"/>
              <w:rPr>
                <w:sz w:val="18"/>
                <w:szCs w:val="18"/>
              </w:rPr>
            </w:pPr>
            <w:r>
              <w:rPr>
                <w:sz w:val="18"/>
                <w:szCs w:val="18"/>
              </w:rPr>
              <w:t>Down in PE</w:t>
            </w:r>
            <w:r w:rsidR="002A46C5">
              <w:rPr>
                <w:sz w:val="18"/>
                <w:szCs w:val="18"/>
              </w:rPr>
              <w:t xml:space="preserve"> 36GW</w:t>
            </w:r>
          </w:p>
          <w:p w:rsidR="002A46C5" w:rsidRDefault="002A46C5" w:rsidP="009B2A14">
            <w:pPr>
              <w:spacing w:after="0"/>
              <w:jc w:val="center"/>
              <w:rPr>
                <w:sz w:val="18"/>
                <w:szCs w:val="18"/>
              </w:rPr>
            </w:pPr>
            <w:r>
              <w:rPr>
                <w:sz w:val="18"/>
                <w:szCs w:val="18"/>
              </w:rPr>
              <w:t>No difference 28GW</w:t>
            </w:r>
          </w:p>
          <w:p w:rsidR="00E975AD" w:rsidRDefault="00E975AD" w:rsidP="009B2A14">
            <w:pPr>
              <w:spacing w:after="0"/>
              <w:jc w:val="center"/>
              <w:rPr>
                <w:sz w:val="18"/>
                <w:szCs w:val="18"/>
              </w:rPr>
            </w:pPr>
            <w:r>
              <w:rPr>
                <w:sz w:val="18"/>
                <w:szCs w:val="18"/>
              </w:rPr>
              <w:t>Up in PE</w:t>
            </w:r>
          </w:p>
          <w:p w:rsidR="007B1867" w:rsidRPr="00DE5B46" w:rsidRDefault="007B1867"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sz w:val="18"/>
                <w:szCs w:val="18"/>
              </w:rPr>
            </w:pPr>
            <w:r>
              <w:rPr>
                <w:sz w:val="18"/>
                <w:szCs w:val="18"/>
              </w:rPr>
              <w:t>NR</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Yes</w:t>
            </w:r>
          </w:p>
          <w:p w:rsidR="009B2A14" w:rsidRDefault="009B2A14" w:rsidP="009B2A14">
            <w:pPr>
              <w:spacing w:after="0"/>
              <w:jc w:val="center"/>
              <w:rPr>
                <w:sz w:val="18"/>
                <w:szCs w:val="18"/>
              </w:rPr>
            </w:pPr>
            <w:r>
              <w:rPr>
                <w:sz w:val="18"/>
                <w:szCs w:val="18"/>
              </w:rPr>
              <w:t>No</w:t>
            </w:r>
          </w:p>
          <w:p w:rsidR="009B2A14" w:rsidRDefault="009B2A14" w:rsidP="009B2A14">
            <w:pPr>
              <w:spacing w:after="0"/>
              <w:jc w:val="center"/>
              <w:rPr>
                <w:sz w:val="18"/>
                <w:szCs w:val="18"/>
              </w:rPr>
            </w:pPr>
            <w:r>
              <w:rPr>
                <w:sz w:val="18"/>
                <w:szCs w:val="18"/>
              </w:rPr>
              <w:t>No</w:t>
            </w:r>
          </w:p>
          <w:p w:rsidR="0081596A" w:rsidRDefault="0081596A" w:rsidP="009B2A14">
            <w:pPr>
              <w:spacing w:after="0"/>
              <w:jc w:val="center"/>
              <w:rPr>
                <w:sz w:val="18"/>
                <w:szCs w:val="18"/>
              </w:rPr>
            </w:pPr>
            <w:r>
              <w:rPr>
                <w:sz w:val="18"/>
                <w:szCs w:val="18"/>
              </w:rPr>
              <w:t>Yes</w:t>
            </w:r>
          </w:p>
          <w:p w:rsidR="00D41466" w:rsidRDefault="00D41466" w:rsidP="009B2A14">
            <w:pPr>
              <w:spacing w:after="0"/>
              <w:jc w:val="center"/>
              <w:rPr>
                <w:sz w:val="18"/>
                <w:szCs w:val="18"/>
              </w:rPr>
            </w:pPr>
            <w:r>
              <w:rPr>
                <w:sz w:val="18"/>
                <w:szCs w:val="18"/>
              </w:rPr>
              <w:t>No</w:t>
            </w:r>
          </w:p>
          <w:p w:rsidR="00471A27" w:rsidRDefault="002A46C5" w:rsidP="009B2A14">
            <w:pPr>
              <w:spacing w:after="0"/>
              <w:jc w:val="center"/>
              <w:rPr>
                <w:sz w:val="18"/>
                <w:szCs w:val="18"/>
              </w:rPr>
            </w:pPr>
            <w:r>
              <w:rPr>
                <w:sz w:val="18"/>
                <w:szCs w:val="18"/>
              </w:rPr>
              <w:t>Ye</w:t>
            </w:r>
            <w:r w:rsidR="00471A27">
              <w:rPr>
                <w:sz w:val="18"/>
                <w:szCs w:val="18"/>
              </w:rPr>
              <w:t>s</w:t>
            </w:r>
          </w:p>
          <w:p w:rsidR="002A46C5" w:rsidRDefault="002A46C5" w:rsidP="009B2A14">
            <w:pPr>
              <w:spacing w:after="0"/>
              <w:jc w:val="center"/>
              <w:rPr>
                <w:sz w:val="18"/>
                <w:szCs w:val="18"/>
              </w:rPr>
            </w:pPr>
            <w:r>
              <w:rPr>
                <w:sz w:val="18"/>
                <w:szCs w:val="18"/>
              </w:rPr>
              <w:t>No</w:t>
            </w:r>
          </w:p>
          <w:p w:rsidR="00E975AD" w:rsidRDefault="00E975AD" w:rsidP="009B2A14">
            <w:pPr>
              <w:spacing w:after="0"/>
              <w:jc w:val="center"/>
              <w:rPr>
                <w:sz w:val="18"/>
                <w:szCs w:val="18"/>
              </w:rPr>
            </w:pPr>
            <w:r>
              <w:rPr>
                <w:sz w:val="18"/>
                <w:szCs w:val="18"/>
              </w:rPr>
              <w:t>Yes</w:t>
            </w:r>
          </w:p>
          <w:p w:rsidR="007B1867" w:rsidRPr="00DE5B46" w:rsidRDefault="007B1867" w:rsidP="009B2A14">
            <w:pPr>
              <w:spacing w:after="0"/>
              <w:jc w:val="center"/>
              <w:rPr>
                <w:sz w:val="18"/>
                <w:szCs w:val="18"/>
              </w:rPr>
            </w:pPr>
            <w:r>
              <w:rPr>
                <w:sz w:val="18"/>
                <w:szCs w:val="18"/>
              </w:rPr>
              <w:t>Yes</w:t>
            </w:r>
          </w:p>
        </w:tc>
        <w:tc>
          <w:tcPr>
            <w:tcW w:w="1805" w:type="dxa"/>
            <w:vAlign w:val="center"/>
          </w:tcPr>
          <w:p w:rsidR="009B2A14" w:rsidRDefault="009B2A14" w:rsidP="009B2A14">
            <w:pPr>
              <w:spacing w:after="0"/>
              <w:jc w:val="center"/>
              <w:rPr>
                <w:sz w:val="18"/>
                <w:szCs w:val="18"/>
              </w:rPr>
            </w:pPr>
            <w:r>
              <w:rPr>
                <w:sz w:val="18"/>
                <w:szCs w:val="18"/>
              </w:rPr>
              <w:t>13</w:t>
            </w: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r>
              <w:rPr>
                <w:sz w:val="18"/>
                <w:szCs w:val="18"/>
              </w:rPr>
              <w:t>63</w:t>
            </w:r>
          </w:p>
          <w:p w:rsidR="009B2A14" w:rsidRDefault="0081596A" w:rsidP="009B2A14">
            <w:pPr>
              <w:spacing w:after="0"/>
              <w:jc w:val="center"/>
              <w:rPr>
                <w:sz w:val="18"/>
                <w:szCs w:val="18"/>
              </w:rPr>
            </w:pPr>
            <w:r>
              <w:rPr>
                <w:sz w:val="18"/>
                <w:szCs w:val="18"/>
              </w:rPr>
              <w:t>151</w:t>
            </w:r>
          </w:p>
          <w:p w:rsidR="009B2A14" w:rsidRDefault="009B2A14" w:rsidP="009B2A14">
            <w:pPr>
              <w:spacing w:after="0"/>
              <w:jc w:val="center"/>
              <w:rPr>
                <w:sz w:val="18"/>
                <w:szCs w:val="18"/>
              </w:rPr>
            </w:pPr>
            <w:r>
              <w:rPr>
                <w:sz w:val="18"/>
                <w:szCs w:val="18"/>
              </w:rPr>
              <w:t>151</w:t>
            </w:r>
          </w:p>
          <w:p w:rsidR="0081596A" w:rsidRDefault="0081596A" w:rsidP="009B2A14">
            <w:pPr>
              <w:spacing w:after="0"/>
              <w:jc w:val="center"/>
              <w:rPr>
                <w:sz w:val="18"/>
                <w:szCs w:val="18"/>
              </w:rPr>
            </w:pPr>
            <w:r>
              <w:rPr>
                <w:sz w:val="18"/>
                <w:szCs w:val="18"/>
              </w:rPr>
              <w:t>Yuan 2019</w:t>
            </w:r>
          </w:p>
          <w:p w:rsidR="00D41466" w:rsidRDefault="00D41466" w:rsidP="009B2A14">
            <w:pPr>
              <w:spacing w:after="0"/>
              <w:jc w:val="center"/>
              <w:rPr>
                <w:sz w:val="18"/>
                <w:szCs w:val="18"/>
              </w:rPr>
            </w:pPr>
            <w:r>
              <w:rPr>
                <w:sz w:val="18"/>
                <w:szCs w:val="18"/>
              </w:rPr>
              <w:t>Dong 2020</w:t>
            </w:r>
          </w:p>
          <w:p w:rsidR="00471A27" w:rsidRDefault="00471A27" w:rsidP="009B2A14">
            <w:pPr>
              <w:spacing w:after="0"/>
              <w:jc w:val="center"/>
              <w:rPr>
                <w:sz w:val="18"/>
                <w:szCs w:val="18"/>
              </w:rPr>
            </w:pPr>
            <w:r>
              <w:rPr>
                <w:sz w:val="18"/>
                <w:szCs w:val="18"/>
              </w:rPr>
              <w:t>Whigham 2020</w:t>
            </w:r>
          </w:p>
          <w:p w:rsidR="002A46C5" w:rsidRDefault="002A46C5" w:rsidP="009B2A14">
            <w:pPr>
              <w:spacing w:after="0"/>
              <w:jc w:val="center"/>
              <w:rPr>
                <w:sz w:val="18"/>
                <w:szCs w:val="18"/>
              </w:rPr>
            </w:pPr>
            <w:r>
              <w:rPr>
                <w:sz w:val="18"/>
                <w:szCs w:val="18"/>
              </w:rPr>
              <w:t>Whigham 2020</w:t>
            </w:r>
          </w:p>
          <w:p w:rsidR="00E975AD" w:rsidRDefault="00E975AD" w:rsidP="009B2A14">
            <w:pPr>
              <w:spacing w:after="0"/>
              <w:jc w:val="center"/>
              <w:rPr>
                <w:sz w:val="18"/>
                <w:szCs w:val="18"/>
              </w:rPr>
            </w:pPr>
            <w:r>
              <w:rPr>
                <w:sz w:val="18"/>
                <w:szCs w:val="18"/>
              </w:rPr>
              <w:t>Ali 2021</w:t>
            </w:r>
          </w:p>
          <w:p w:rsidR="007B1867" w:rsidRPr="00DE5B46" w:rsidRDefault="007B1867" w:rsidP="009B2A14">
            <w:pPr>
              <w:spacing w:after="0"/>
              <w:jc w:val="center"/>
              <w:rPr>
                <w:sz w:val="18"/>
                <w:szCs w:val="18"/>
              </w:rPr>
            </w:pPr>
            <w:r>
              <w:rPr>
                <w:sz w:val="18"/>
                <w:szCs w:val="18"/>
              </w:rPr>
              <w:t>Zhao 2021</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16-5p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000000" w:rsidRDefault="009B2A14">
            <w:pPr>
              <w:spacing w:after="0"/>
              <w:jc w:val="center"/>
              <w:rPr>
                <w:color w:val="000000"/>
                <w:sz w:val="18"/>
                <w:szCs w:val="18"/>
              </w:rPr>
            </w:pPr>
            <w:r w:rsidRPr="00D95F2C">
              <w:rPr>
                <w:color w:val="000000"/>
                <w:sz w:val="18"/>
                <w:szCs w:val="18"/>
              </w:rPr>
              <w:t>MPB (plasma)</w:t>
            </w:r>
          </w:p>
          <w:p w:rsidR="009B2A14" w:rsidRDefault="009B2A14" w:rsidP="00DE142C">
            <w:pPr>
              <w:spacing w:after="0"/>
              <w:jc w:val="center"/>
              <w:rPr>
                <w:color w:val="000000"/>
                <w:sz w:val="18"/>
                <w:szCs w:val="18"/>
              </w:rPr>
            </w:pPr>
            <w:r>
              <w:rPr>
                <w:color w:val="000000"/>
                <w:sz w:val="18"/>
                <w:szCs w:val="18"/>
              </w:rPr>
              <w:t>MPB (leukocytes)</w:t>
            </w:r>
          </w:p>
          <w:p w:rsidR="00DE142C" w:rsidRPr="00DE5B46" w:rsidRDefault="00DE142C"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Down in PE</w:t>
            </w:r>
          </w:p>
          <w:p w:rsidR="00DE142C" w:rsidRPr="00DE5B46" w:rsidRDefault="00DE142C"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DE142C">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DE142C" w:rsidRPr="00DE5B46" w:rsidRDefault="00DE142C"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157</w:t>
            </w:r>
          </w:p>
          <w:p w:rsidR="00DE142C" w:rsidRPr="00DE5B46" w:rsidRDefault="00DE142C" w:rsidP="009B2A14">
            <w:pPr>
              <w:spacing w:after="0"/>
              <w:jc w:val="center"/>
              <w:rPr>
                <w:sz w:val="18"/>
                <w:szCs w:val="18"/>
              </w:rPr>
            </w:pPr>
            <w:r>
              <w:rPr>
                <w:sz w:val="18"/>
                <w:szCs w:val="18"/>
              </w:rPr>
              <w:t>Kolkova 2021</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16-2-3p</w:t>
            </w:r>
          </w:p>
        </w:tc>
        <w:tc>
          <w:tcPr>
            <w:tcW w:w="2905" w:type="dxa"/>
            <w:vAlign w:val="center"/>
          </w:tcPr>
          <w:p w:rsidR="009B2A14" w:rsidRPr="00D95F2C"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Default="007B1867" w:rsidP="009B2A14">
            <w:pPr>
              <w:spacing w:after="0"/>
              <w:jc w:val="center"/>
              <w:rPr>
                <w:color w:val="000000"/>
                <w:sz w:val="18"/>
                <w:szCs w:val="18"/>
              </w:rPr>
            </w:pPr>
            <w:r>
              <w:rPr>
                <w:color w:val="000000"/>
                <w:sz w:val="18"/>
                <w:szCs w:val="18"/>
              </w:rPr>
              <w:t>l</w:t>
            </w:r>
            <w:r w:rsidR="009B2A14">
              <w:rPr>
                <w:color w:val="000000"/>
                <w:sz w:val="18"/>
                <w:szCs w:val="18"/>
              </w:rPr>
              <w:t>et-7a-5p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let-7d</w:t>
            </w:r>
          </w:p>
        </w:tc>
        <w:tc>
          <w:tcPr>
            <w:tcW w:w="2905" w:type="dxa"/>
          </w:tcPr>
          <w:p w:rsidR="009B2A14" w:rsidRDefault="009B2A14" w:rsidP="009B2A14">
            <w:pPr>
              <w:spacing w:after="0"/>
              <w:jc w:val="center"/>
              <w:rPr>
                <w:sz w:val="18"/>
                <w:szCs w:val="18"/>
              </w:rPr>
            </w:pPr>
            <w:r w:rsidRPr="009E29D8">
              <w:rPr>
                <w:sz w:val="18"/>
                <w:szCs w:val="18"/>
              </w:rPr>
              <w:t>MPB (plasma)</w:t>
            </w:r>
          </w:p>
          <w:p w:rsidR="00431C2B" w:rsidRDefault="00431C2B" w:rsidP="009B2A14">
            <w:pPr>
              <w:spacing w:after="0"/>
              <w:jc w:val="center"/>
            </w:pPr>
            <w:r>
              <w:rPr>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p w:rsidR="00431C2B" w:rsidRPr="00DE5B46" w:rsidRDefault="00431C2B"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431C2B" w:rsidRPr="00DE5B46" w:rsidRDefault="00431C2B"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13</w:t>
            </w:r>
          </w:p>
          <w:p w:rsidR="00431C2B" w:rsidRPr="00DE5B46" w:rsidRDefault="00431C2B" w:rsidP="009B2A14">
            <w:pPr>
              <w:spacing w:after="0"/>
              <w:jc w:val="center"/>
              <w:rPr>
                <w:sz w:val="18"/>
                <w:szCs w:val="18"/>
              </w:rPr>
            </w:pPr>
            <w:r>
              <w:rPr>
                <w:sz w:val="18"/>
                <w:szCs w:val="18"/>
              </w:rPr>
              <w:t>Xu 2021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lastRenderedPageBreak/>
              <w:t>193b</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144</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rPr>
                <w:sz w:val="18"/>
                <w:szCs w:val="18"/>
              </w:rPr>
            </w:pPr>
            <w:r>
              <w:rPr>
                <w:sz w:val="18"/>
                <w:szCs w:val="18"/>
              </w:rPr>
              <w:t>MPB (serum)</w:t>
            </w:r>
          </w:p>
          <w:p w:rsidR="009B2A14" w:rsidRDefault="009B2A14" w:rsidP="009B2A14">
            <w:pPr>
              <w:spacing w:after="0"/>
              <w:jc w:val="center"/>
              <w:rPr>
                <w:sz w:val="18"/>
                <w:szCs w:val="18"/>
              </w:rPr>
            </w:pPr>
            <w:r>
              <w:rPr>
                <w:sz w:val="18"/>
                <w:szCs w:val="18"/>
              </w:rPr>
              <w:t>Placenta</w:t>
            </w:r>
          </w:p>
          <w:p w:rsidR="0019571B" w:rsidRDefault="0019571B" w:rsidP="009B2A14">
            <w:pPr>
              <w:spacing w:after="0"/>
              <w:jc w:val="center"/>
            </w:pPr>
            <w:r>
              <w:rPr>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p w:rsidR="0019571B" w:rsidRPr="00585202" w:rsidRDefault="0019571B"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Yes</w:t>
            </w:r>
          </w:p>
          <w:p w:rsidR="0019571B" w:rsidRDefault="0019571B" w:rsidP="009B2A14">
            <w:pPr>
              <w:spacing w:after="0"/>
              <w:jc w:val="center"/>
            </w:pPr>
            <w:r>
              <w:rPr>
                <w:color w:val="000000"/>
                <w:sz w:val="18"/>
                <w:szCs w:val="18"/>
              </w:rPr>
              <w:t>Yes</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rPr>
                <w:sz w:val="18"/>
                <w:szCs w:val="18"/>
              </w:rPr>
            </w:pPr>
            <w:r>
              <w:rPr>
                <w:sz w:val="18"/>
                <w:szCs w:val="18"/>
              </w:rPr>
              <w:t>41</w:t>
            </w:r>
          </w:p>
          <w:p w:rsidR="009B2A14" w:rsidRDefault="009B2A14" w:rsidP="009B2A14">
            <w:pPr>
              <w:spacing w:after="0"/>
              <w:jc w:val="center"/>
              <w:rPr>
                <w:sz w:val="18"/>
                <w:szCs w:val="18"/>
              </w:rPr>
            </w:pPr>
            <w:r>
              <w:rPr>
                <w:sz w:val="18"/>
                <w:szCs w:val="18"/>
              </w:rPr>
              <w:t>115</w:t>
            </w:r>
          </w:p>
          <w:p w:rsidR="0019571B" w:rsidRDefault="0019571B" w:rsidP="009B2A14">
            <w:pPr>
              <w:spacing w:after="0"/>
              <w:jc w:val="center"/>
            </w:pPr>
            <w:r>
              <w:rPr>
                <w:sz w:val="18"/>
                <w:szCs w:val="18"/>
              </w:rPr>
              <w:t>Zhu 2020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144-3p</w:t>
            </w:r>
          </w:p>
        </w:tc>
        <w:tc>
          <w:tcPr>
            <w:tcW w:w="2905" w:type="dxa"/>
          </w:tcPr>
          <w:p w:rsidR="009B2A14" w:rsidRDefault="009B2A14" w:rsidP="009B2A14">
            <w:pPr>
              <w:spacing w:after="0"/>
              <w:jc w:val="center"/>
              <w:rPr>
                <w:sz w:val="18"/>
                <w:szCs w:val="18"/>
              </w:rPr>
            </w:pPr>
            <w:r>
              <w:rPr>
                <w:sz w:val="18"/>
                <w:szCs w:val="18"/>
              </w:rPr>
              <w:t>MPB</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MPB</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MPB (serum)</w:t>
            </w:r>
          </w:p>
          <w:p w:rsidR="009B2A14" w:rsidRDefault="009B2A14" w:rsidP="009B2A14">
            <w:pPr>
              <w:spacing w:after="0"/>
              <w:jc w:val="center"/>
              <w:rPr>
                <w:sz w:val="18"/>
                <w:szCs w:val="18"/>
              </w:rPr>
            </w:pPr>
            <w:r>
              <w:rPr>
                <w:sz w:val="18"/>
                <w:szCs w:val="18"/>
              </w:rPr>
              <w:t>MPB (plasma exosomes)</w:t>
            </w:r>
          </w:p>
          <w:p w:rsidR="009B2A14" w:rsidRPr="000910A1" w:rsidRDefault="009B2A14" w:rsidP="009B2A14">
            <w:pPr>
              <w:spacing w:after="0"/>
              <w:jc w:val="center"/>
              <w:rPr>
                <w:sz w:val="18"/>
                <w:szCs w:val="18"/>
              </w:rPr>
            </w:pPr>
            <w:r>
              <w:rPr>
                <w:sz w:val="18"/>
                <w:szCs w:val="18"/>
              </w:rPr>
              <w:t>Placenta</w:t>
            </w:r>
          </w:p>
        </w:tc>
        <w:tc>
          <w:tcPr>
            <w:tcW w:w="2976" w:type="dxa"/>
            <w:vAlign w:val="bottom"/>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Down in PE</w:t>
            </w:r>
          </w:p>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Pr="00402AFC" w:rsidRDefault="009B2A14" w:rsidP="009B2A14">
            <w:pPr>
              <w:spacing w:after="0"/>
              <w:jc w:val="center"/>
              <w:rPr>
                <w:color w:val="000000"/>
                <w:sz w:val="18"/>
                <w:szCs w:val="18"/>
              </w:rPr>
            </w:pPr>
            <w:r>
              <w:rPr>
                <w:color w:val="000000"/>
                <w:sz w:val="18"/>
                <w:szCs w:val="18"/>
              </w:rPr>
              <w:t>Yes</w:t>
            </w:r>
          </w:p>
        </w:tc>
        <w:tc>
          <w:tcPr>
            <w:tcW w:w="1805" w:type="dxa"/>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70</w:t>
            </w:r>
          </w:p>
          <w:p w:rsidR="009B2A14" w:rsidRDefault="009B2A14" w:rsidP="009B2A14">
            <w:pPr>
              <w:spacing w:after="0"/>
              <w:jc w:val="center"/>
              <w:rPr>
                <w:sz w:val="18"/>
                <w:szCs w:val="18"/>
              </w:rPr>
            </w:pPr>
            <w:r>
              <w:rPr>
                <w:sz w:val="18"/>
                <w:szCs w:val="18"/>
              </w:rPr>
              <w:t>110</w:t>
            </w:r>
          </w:p>
          <w:p w:rsidR="009B2A14" w:rsidRPr="0073574B" w:rsidRDefault="009B2A14" w:rsidP="009B2A14">
            <w:pPr>
              <w:spacing w:after="0"/>
              <w:jc w:val="center"/>
              <w:rPr>
                <w:sz w:val="18"/>
                <w:szCs w:val="18"/>
              </w:rPr>
            </w:pPr>
            <w:r>
              <w:rPr>
                <w:sz w:val="18"/>
                <w:szCs w:val="18"/>
              </w:rPr>
              <w:t>160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18a</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pPr>
            <w:r>
              <w:rPr>
                <w:sz w:val="18"/>
                <w:szCs w:val="18"/>
              </w:rPr>
              <w:t>MPB (plasma)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pPr>
            <w:r>
              <w:rPr>
                <w:color w:val="000000"/>
                <w:sz w:val="18"/>
                <w:szCs w:val="18"/>
              </w:rPr>
              <w:t>Yes</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pPr>
            <w:r>
              <w:rPr>
                <w:sz w:val="18"/>
                <w:szCs w:val="18"/>
              </w:rPr>
              <w:t>95</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18a-5p</w:t>
            </w:r>
          </w:p>
        </w:tc>
        <w:tc>
          <w:tcPr>
            <w:tcW w:w="2905" w:type="dxa"/>
          </w:tcPr>
          <w:p w:rsidR="009B2A14" w:rsidRDefault="009B2A14" w:rsidP="009B2A14">
            <w:pPr>
              <w:spacing w:after="0"/>
              <w:jc w:val="center"/>
              <w:rPr>
                <w:sz w:val="18"/>
                <w:szCs w:val="18"/>
              </w:rPr>
            </w:pPr>
            <w:r>
              <w:rPr>
                <w:sz w:val="18"/>
                <w:szCs w:val="18"/>
              </w:rPr>
              <w:t>MPB (plasma)</w:t>
            </w:r>
          </w:p>
          <w:p w:rsidR="009B2A14" w:rsidRPr="000910A1" w:rsidRDefault="009B2A14" w:rsidP="009B2A14">
            <w:pPr>
              <w:spacing w:after="0"/>
              <w:jc w:val="center"/>
              <w:rPr>
                <w:sz w:val="18"/>
                <w:szCs w:val="18"/>
              </w:rPr>
            </w:pPr>
            <w:r>
              <w:rPr>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185</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19a</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19a-3p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Down in PE</w:t>
            </w:r>
          </w:p>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178</w:t>
            </w:r>
          </w:p>
          <w:p w:rsidR="009B2A14" w:rsidRPr="00DE5B46" w:rsidRDefault="009B2A14" w:rsidP="009B2A14">
            <w:pPr>
              <w:spacing w:after="0"/>
              <w:jc w:val="center"/>
              <w:rPr>
                <w:sz w:val="18"/>
                <w:szCs w:val="18"/>
              </w:rPr>
            </w:pPr>
            <w:r>
              <w:rPr>
                <w:sz w:val="18"/>
                <w:szCs w:val="18"/>
              </w:rPr>
              <w:t>178</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590-5p</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pPr>
            <w:r>
              <w:rPr>
                <w:sz w:val="18"/>
                <w:szCs w:val="18"/>
              </w:rPr>
              <w:t>MPB (plasma exosomes)</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pPr>
            <w:r>
              <w:rPr>
                <w:color w:val="000000"/>
                <w:sz w:val="18"/>
                <w:szCs w:val="18"/>
              </w:rPr>
              <w:t>Yes</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pPr>
            <w:r>
              <w:rPr>
                <w:sz w:val="18"/>
                <w:szCs w:val="18"/>
              </w:rPr>
              <w:t>153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142-3p</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rPr>
                <w:sz w:val="18"/>
                <w:szCs w:val="18"/>
              </w:rPr>
            </w:pPr>
            <w:r>
              <w:rPr>
                <w:sz w:val="18"/>
                <w:szCs w:val="18"/>
              </w:rPr>
              <w:t>Placenta</w:t>
            </w:r>
          </w:p>
          <w:p w:rsidR="004E444E" w:rsidRDefault="004E444E" w:rsidP="009B2A14">
            <w:pPr>
              <w:spacing w:after="0"/>
              <w:jc w:val="center"/>
              <w:rPr>
                <w:sz w:val="18"/>
                <w:szCs w:val="18"/>
              </w:rPr>
            </w:pPr>
            <w:r>
              <w:rPr>
                <w:sz w:val="18"/>
                <w:szCs w:val="18"/>
              </w:rPr>
              <w:t>MPB (plasma)</w:t>
            </w:r>
          </w:p>
          <w:p w:rsidR="008B1514" w:rsidRDefault="008B1514" w:rsidP="009B2A14">
            <w:pPr>
              <w:spacing w:after="0"/>
              <w:jc w:val="center"/>
            </w:pPr>
            <w:r>
              <w:rPr>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4E444E" w:rsidRDefault="00E409EB" w:rsidP="009B2A14">
            <w:pPr>
              <w:spacing w:after="0"/>
              <w:jc w:val="center"/>
              <w:rPr>
                <w:color w:val="000000"/>
                <w:sz w:val="18"/>
                <w:szCs w:val="18"/>
              </w:rPr>
            </w:pPr>
            <w:r>
              <w:rPr>
                <w:color w:val="000000"/>
                <w:sz w:val="18"/>
                <w:szCs w:val="18"/>
              </w:rPr>
              <w:t>No difference</w:t>
            </w:r>
          </w:p>
          <w:p w:rsidR="008B1514" w:rsidRPr="00585202" w:rsidRDefault="008B1514"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4E444E" w:rsidRDefault="004E444E" w:rsidP="009B2A14">
            <w:pPr>
              <w:spacing w:after="0"/>
              <w:jc w:val="center"/>
              <w:rPr>
                <w:color w:val="000000"/>
                <w:sz w:val="18"/>
                <w:szCs w:val="18"/>
              </w:rPr>
            </w:pPr>
            <w:r>
              <w:rPr>
                <w:color w:val="000000"/>
                <w:sz w:val="18"/>
                <w:szCs w:val="18"/>
              </w:rPr>
              <w:t>No</w:t>
            </w:r>
          </w:p>
          <w:p w:rsidR="008B1514" w:rsidRDefault="008B1514" w:rsidP="009B2A14">
            <w:pPr>
              <w:spacing w:after="0"/>
              <w:jc w:val="center"/>
            </w:pPr>
            <w:r>
              <w:rPr>
                <w:color w:val="000000"/>
                <w:sz w:val="18"/>
                <w:szCs w:val="18"/>
              </w:rPr>
              <w:t>Yes</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rPr>
                <w:sz w:val="18"/>
                <w:szCs w:val="18"/>
              </w:rPr>
            </w:pPr>
            <w:r>
              <w:rPr>
                <w:sz w:val="18"/>
                <w:szCs w:val="18"/>
              </w:rPr>
              <w:t>164</w:t>
            </w:r>
          </w:p>
          <w:p w:rsidR="004E444E" w:rsidRDefault="004E444E" w:rsidP="009B2A14">
            <w:pPr>
              <w:spacing w:after="0"/>
              <w:jc w:val="center"/>
              <w:rPr>
                <w:sz w:val="18"/>
                <w:szCs w:val="18"/>
              </w:rPr>
            </w:pPr>
            <w:r>
              <w:rPr>
                <w:sz w:val="18"/>
                <w:szCs w:val="18"/>
              </w:rPr>
              <w:t>Akgor 2020</w:t>
            </w:r>
          </w:p>
          <w:p w:rsidR="008B1514" w:rsidRDefault="008B1514" w:rsidP="009B2A14">
            <w:pPr>
              <w:spacing w:after="0"/>
              <w:jc w:val="center"/>
            </w:pPr>
            <w:r>
              <w:rPr>
                <w:sz w:val="18"/>
                <w:szCs w:val="18"/>
              </w:rPr>
              <w:t>Mao 2021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451</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451a</w:t>
            </w:r>
          </w:p>
        </w:tc>
        <w:tc>
          <w:tcPr>
            <w:tcW w:w="2905" w:type="dxa"/>
          </w:tcPr>
          <w:p w:rsidR="009B2A14" w:rsidRDefault="009B2A14" w:rsidP="009B2A14">
            <w:pPr>
              <w:spacing w:after="0"/>
              <w:jc w:val="center"/>
              <w:rPr>
                <w:sz w:val="18"/>
                <w:szCs w:val="18"/>
              </w:rPr>
            </w:pPr>
            <w:r>
              <w:rPr>
                <w:sz w:val="18"/>
                <w:szCs w:val="18"/>
              </w:rPr>
              <w:t>MPB</w:t>
            </w:r>
          </w:p>
          <w:p w:rsidR="009B2A14" w:rsidRPr="000910A1" w:rsidRDefault="009B2A14" w:rsidP="009B2A14">
            <w:pPr>
              <w:spacing w:after="0"/>
              <w:jc w:val="center"/>
              <w:rPr>
                <w:sz w:val="18"/>
                <w:szCs w:val="18"/>
              </w:rPr>
            </w:pPr>
            <w:r>
              <w:rPr>
                <w:sz w:val="18"/>
                <w:szCs w:val="18"/>
              </w:rPr>
              <w:t>MPB (plasma exosomes)</w:t>
            </w:r>
          </w:p>
        </w:tc>
        <w:tc>
          <w:tcPr>
            <w:tcW w:w="2976" w:type="dxa"/>
            <w:vAlign w:val="bottom"/>
          </w:tcPr>
          <w:p w:rsidR="009B2A14" w:rsidRDefault="009B2A14" w:rsidP="009B2A14">
            <w:pPr>
              <w:spacing w:after="0"/>
              <w:jc w:val="center"/>
              <w:rPr>
                <w:color w:val="000000"/>
                <w:sz w:val="18"/>
                <w:szCs w:val="18"/>
              </w:rPr>
            </w:pPr>
            <w:r>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Default="009B2A14" w:rsidP="009B2A14">
            <w:pPr>
              <w:spacing w:after="0"/>
              <w:jc w:val="center"/>
              <w:rPr>
                <w:color w:val="000000"/>
                <w:sz w:val="18"/>
                <w:szCs w:val="18"/>
              </w:rPr>
            </w:pPr>
            <w:r>
              <w:rPr>
                <w:color w:val="000000"/>
                <w:sz w:val="18"/>
                <w:szCs w:val="18"/>
              </w:rPr>
              <w:t>Yes</w:t>
            </w:r>
          </w:p>
          <w:p w:rsidR="009B2A14" w:rsidRPr="00402AFC" w:rsidRDefault="009B2A14" w:rsidP="009B2A14">
            <w:pPr>
              <w:spacing w:after="0"/>
              <w:jc w:val="center"/>
              <w:rPr>
                <w:color w:val="000000"/>
                <w:sz w:val="18"/>
                <w:szCs w:val="18"/>
              </w:rPr>
            </w:pPr>
            <w:r>
              <w:rPr>
                <w:color w:val="000000"/>
                <w:sz w:val="18"/>
                <w:szCs w:val="18"/>
              </w:rPr>
              <w:t>Yes</w:t>
            </w:r>
          </w:p>
        </w:tc>
        <w:tc>
          <w:tcPr>
            <w:tcW w:w="1805" w:type="dxa"/>
          </w:tcPr>
          <w:p w:rsidR="009B2A14" w:rsidRDefault="009B2A14" w:rsidP="009B2A14">
            <w:pPr>
              <w:spacing w:after="0"/>
              <w:jc w:val="center"/>
              <w:rPr>
                <w:sz w:val="18"/>
                <w:szCs w:val="18"/>
              </w:rPr>
            </w:pPr>
            <w:r>
              <w:rPr>
                <w:sz w:val="18"/>
                <w:szCs w:val="18"/>
              </w:rPr>
              <w:t>76</w:t>
            </w:r>
          </w:p>
          <w:p w:rsidR="009B2A14" w:rsidRPr="0073574B"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22</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526b</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pPr>
            <w:r>
              <w:rPr>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No difference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pPr>
            <w:r>
              <w:rPr>
                <w:color w:val="000000"/>
                <w:sz w:val="18"/>
                <w:szCs w:val="18"/>
              </w:rPr>
              <w:t>No</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pPr>
            <w:r>
              <w:rPr>
                <w:sz w:val="18"/>
                <w:szCs w:val="18"/>
              </w:rPr>
              <w:t>36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520-3p</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10b</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10b-3p</w:t>
            </w:r>
          </w:p>
        </w:tc>
        <w:tc>
          <w:tcPr>
            <w:tcW w:w="2905" w:type="dxa"/>
          </w:tcPr>
          <w:p w:rsidR="009B2A14" w:rsidRPr="000910A1" w:rsidRDefault="009B2A14" w:rsidP="009B2A14">
            <w:pPr>
              <w:spacing w:after="0"/>
              <w:jc w:val="center"/>
              <w:rPr>
                <w:sz w:val="18"/>
                <w:szCs w:val="18"/>
              </w:rPr>
            </w:pPr>
            <w:r>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Pr="00402AFC" w:rsidRDefault="009B2A14" w:rsidP="009B2A14">
            <w:pPr>
              <w:spacing w:after="0"/>
              <w:jc w:val="center"/>
              <w:rPr>
                <w:color w:val="000000"/>
                <w:sz w:val="18"/>
                <w:szCs w:val="18"/>
              </w:rPr>
            </w:pPr>
            <w:r>
              <w:rPr>
                <w:color w:val="000000"/>
                <w:sz w:val="18"/>
                <w:szCs w:val="18"/>
              </w:rPr>
              <w:t>Yes</w:t>
            </w:r>
          </w:p>
        </w:tc>
        <w:tc>
          <w:tcPr>
            <w:tcW w:w="1805" w:type="dxa"/>
          </w:tcPr>
          <w:p w:rsidR="009B2A14" w:rsidRPr="0073574B" w:rsidRDefault="009B2A14" w:rsidP="009B2A14">
            <w:pPr>
              <w:spacing w:after="0"/>
              <w:jc w:val="center"/>
              <w:rPr>
                <w:sz w:val="18"/>
                <w:szCs w:val="18"/>
              </w:rPr>
            </w:pPr>
            <w:r>
              <w:rPr>
                <w:sz w:val="18"/>
                <w:szCs w:val="18"/>
              </w:rPr>
              <w:t>163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lastRenderedPageBreak/>
              <w:t>20a</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rPr>
                <w:sz w:val="18"/>
                <w:szCs w:val="18"/>
              </w:rPr>
            </w:pPr>
            <w:r>
              <w:rPr>
                <w:sz w:val="18"/>
                <w:szCs w:val="18"/>
              </w:rPr>
              <w:t>Placenta</w:t>
            </w:r>
          </w:p>
          <w:p w:rsidR="009B2A14" w:rsidRDefault="009B2A14" w:rsidP="009B2A14">
            <w:pPr>
              <w:spacing w:after="0"/>
              <w:jc w:val="center"/>
            </w:pPr>
            <w:r>
              <w:rPr>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r>
              <w:rPr>
                <w:color w:val="000000"/>
                <w:sz w:val="18"/>
                <w:szCs w:val="18"/>
              </w:rPr>
              <w:br/>
              <w:t>Yes</w:t>
            </w:r>
          </w:p>
          <w:p w:rsidR="009B2A14" w:rsidRDefault="009B2A14" w:rsidP="009B2A14">
            <w:pPr>
              <w:spacing w:after="0"/>
              <w:jc w:val="center"/>
            </w:pPr>
            <w:r>
              <w:rPr>
                <w:color w:val="000000"/>
                <w:sz w:val="18"/>
                <w:szCs w:val="18"/>
              </w:rPr>
              <w:t>Yes</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rPr>
                <w:sz w:val="18"/>
                <w:szCs w:val="18"/>
              </w:rPr>
            </w:pPr>
            <w:r>
              <w:rPr>
                <w:sz w:val="18"/>
                <w:szCs w:val="18"/>
              </w:rPr>
              <w:t>42</w:t>
            </w:r>
          </w:p>
          <w:p w:rsidR="009B2A14" w:rsidRDefault="009B2A14" w:rsidP="009B2A14">
            <w:pPr>
              <w:spacing w:after="0"/>
              <w:jc w:val="center"/>
            </w:pPr>
            <w:r>
              <w:rPr>
                <w:sz w:val="18"/>
                <w:szCs w:val="18"/>
              </w:rPr>
              <w:t>67</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20a-5p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158</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518f</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518f-5p</w:t>
            </w:r>
          </w:p>
        </w:tc>
        <w:tc>
          <w:tcPr>
            <w:tcW w:w="2905" w:type="dxa"/>
          </w:tcPr>
          <w:p w:rsidR="009B2A14" w:rsidRPr="000910A1" w:rsidRDefault="009B2A14" w:rsidP="009B2A14">
            <w:pPr>
              <w:spacing w:after="0"/>
              <w:jc w:val="center"/>
              <w:rPr>
                <w:sz w:val="18"/>
                <w:szCs w:val="18"/>
              </w:rPr>
            </w:pPr>
            <w:r>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Pr="00402AFC" w:rsidRDefault="009B2A14" w:rsidP="009B2A14">
            <w:pPr>
              <w:spacing w:after="0"/>
              <w:jc w:val="center"/>
              <w:rPr>
                <w:color w:val="000000"/>
                <w:sz w:val="18"/>
                <w:szCs w:val="18"/>
              </w:rPr>
            </w:pPr>
            <w:r>
              <w:rPr>
                <w:color w:val="000000"/>
                <w:sz w:val="18"/>
                <w:szCs w:val="18"/>
              </w:rPr>
              <w:t>Yes</w:t>
            </w:r>
          </w:p>
        </w:tc>
        <w:tc>
          <w:tcPr>
            <w:tcW w:w="1805" w:type="dxa"/>
          </w:tcPr>
          <w:p w:rsidR="009B2A14" w:rsidRPr="0073574B" w:rsidRDefault="009B2A14" w:rsidP="009B2A14">
            <w:pPr>
              <w:spacing w:after="0"/>
              <w:jc w:val="center"/>
              <w:rPr>
                <w:sz w:val="18"/>
                <w:szCs w:val="18"/>
              </w:rPr>
            </w:pPr>
            <w:r>
              <w:rPr>
                <w:sz w:val="18"/>
                <w:szCs w:val="18"/>
              </w:rPr>
              <w:t>53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146b-5p</w:t>
            </w:r>
          </w:p>
        </w:tc>
        <w:tc>
          <w:tcPr>
            <w:tcW w:w="2905" w:type="dxa"/>
          </w:tcPr>
          <w:p w:rsidR="009B2A14" w:rsidRDefault="009B2A14" w:rsidP="009B2A14">
            <w:pPr>
              <w:spacing w:after="0"/>
              <w:jc w:val="center"/>
            </w:pPr>
            <w:r w:rsidRPr="000910A1">
              <w:rPr>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517c</w:t>
            </w:r>
          </w:p>
        </w:tc>
        <w:tc>
          <w:tcPr>
            <w:tcW w:w="2905" w:type="dxa"/>
          </w:tcPr>
          <w:p w:rsidR="009B2A14" w:rsidRDefault="009B2A14" w:rsidP="009B2A14">
            <w:pPr>
              <w:spacing w:after="0"/>
              <w:jc w:val="center"/>
              <w:rPr>
                <w:sz w:val="18"/>
                <w:szCs w:val="18"/>
              </w:rPr>
            </w:pPr>
            <w:r w:rsidRPr="000910A1">
              <w:rPr>
                <w:sz w:val="18"/>
                <w:szCs w:val="18"/>
              </w:rPr>
              <w:t>Placenta</w:t>
            </w:r>
          </w:p>
          <w:p w:rsidR="009B2A14" w:rsidRDefault="009B2A14" w:rsidP="009B2A14">
            <w:pPr>
              <w:spacing w:after="0"/>
              <w:jc w:val="center"/>
              <w:rPr>
                <w:sz w:val="18"/>
                <w:szCs w:val="18"/>
              </w:rPr>
            </w:pPr>
            <w:r>
              <w:rPr>
                <w:sz w:val="18"/>
                <w:szCs w:val="18"/>
              </w:rPr>
              <w:t>MPB (plasma)</w:t>
            </w:r>
          </w:p>
          <w:p w:rsidR="009B2A14" w:rsidRDefault="009B2A14" w:rsidP="009B2A14">
            <w:pPr>
              <w:spacing w:after="0"/>
              <w:jc w:val="center"/>
            </w:pPr>
            <w:r>
              <w:rPr>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pPr>
            <w:r>
              <w:rPr>
                <w:color w:val="000000"/>
                <w:sz w:val="18"/>
                <w:szCs w:val="18"/>
              </w:rPr>
              <w:t>Yes</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rPr>
                <w:sz w:val="18"/>
                <w:szCs w:val="18"/>
              </w:rPr>
            </w:pPr>
            <w:r>
              <w:rPr>
                <w:sz w:val="18"/>
                <w:szCs w:val="18"/>
              </w:rPr>
              <w:t>151</w:t>
            </w:r>
          </w:p>
          <w:p w:rsidR="009B2A14" w:rsidRDefault="009B2A14" w:rsidP="009B2A14">
            <w:pPr>
              <w:spacing w:after="0"/>
              <w:jc w:val="center"/>
            </w:pPr>
            <w:r>
              <w:rPr>
                <w:sz w:val="18"/>
                <w:szCs w:val="18"/>
              </w:rPr>
              <w:t>151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517c-3p</w:t>
            </w:r>
          </w:p>
        </w:tc>
        <w:tc>
          <w:tcPr>
            <w:tcW w:w="2905" w:type="dxa"/>
          </w:tcPr>
          <w:p w:rsidR="009B2A14" w:rsidRPr="000910A1" w:rsidRDefault="009B2A14" w:rsidP="009B2A14">
            <w:pPr>
              <w:spacing w:after="0"/>
              <w:jc w:val="center"/>
              <w:rPr>
                <w:sz w:val="18"/>
                <w:szCs w:val="18"/>
              </w:rPr>
            </w:pPr>
            <w:r>
              <w:rPr>
                <w:sz w:val="18"/>
                <w:szCs w:val="18"/>
              </w:rPr>
              <w:t>MPB (plasma)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Pr="00402AFC" w:rsidRDefault="009B2A14" w:rsidP="009B2A14">
            <w:pPr>
              <w:spacing w:after="0"/>
              <w:jc w:val="center"/>
              <w:rPr>
                <w:color w:val="000000"/>
                <w:sz w:val="18"/>
                <w:szCs w:val="18"/>
              </w:rPr>
            </w:pPr>
            <w:r>
              <w:rPr>
                <w:color w:val="000000"/>
                <w:sz w:val="18"/>
                <w:szCs w:val="18"/>
              </w:rPr>
              <w:t>Yes</w:t>
            </w:r>
          </w:p>
        </w:tc>
        <w:tc>
          <w:tcPr>
            <w:tcW w:w="1805" w:type="dxa"/>
          </w:tcPr>
          <w:p w:rsidR="009B2A14" w:rsidRPr="0073574B" w:rsidRDefault="009B2A14" w:rsidP="009B2A14">
            <w:pPr>
              <w:spacing w:after="0"/>
              <w:jc w:val="center"/>
              <w:rPr>
                <w:sz w:val="18"/>
                <w:szCs w:val="18"/>
              </w:rPr>
            </w:pPr>
            <w:r>
              <w:rPr>
                <w:sz w:val="18"/>
                <w:szCs w:val="18"/>
              </w:rPr>
              <w:t>170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519e</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tcPr>
          <w:p w:rsidR="009B2A14" w:rsidRDefault="009B2A14" w:rsidP="009B2A14">
            <w:pPr>
              <w:spacing w:after="0"/>
              <w:jc w:val="center"/>
            </w:pPr>
            <w:r w:rsidRPr="0073574B">
              <w:rPr>
                <w:sz w:val="18"/>
                <w:szCs w:val="18"/>
              </w:rPr>
              <w:t>14</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126</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Placenta</w:t>
            </w:r>
          </w:p>
          <w:p w:rsidR="00627C5B" w:rsidRDefault="00627C5B" w:rsidP="009B2A14">
            <w:pPr>
              <w:spacing w:after="0"/>
              <w:jc w:val="center"/>
              <w:rPr>
                <w:color w:val="000000"/>
                <w:sz w:val="18"/>
                <w:szCs w:val="18"/>
              </w:rPr>
            </w:pPr>
            <w:r>
              <w:rPr>
                <w:color w:val="000000"/>
                <w:sz w:val="18"/>
                <w:szCs w:val="18"/>
              </w:rPr>
              <w:t>Subcutaneous adipose tissue</w:t>
            </w:r>
          </w:p>
          <w:p w:rsidR="001C70B8" w:rsidRPr="00DE5B46" w:rsidRDefault="001C70B8" w:rsidP="009B2A14">
            <w:pPr>
              <w:spacing w:after="0"/>
              <w:jc w:val="center"/>
              <w:rPr>
                <w:color w:val="000000"/>
                <w:sz w:val="18"/>
                <w:szCs w:val="18"/>
              </w:rPr>
            </w:pPr>
            <w:r>
              <w:rPr>
                <w:color w:val="000000"/>
                <w:sz w:val="18"/>
                <w:szCs w:val="18"/>
              </w:rPr>
              <w:t>MPB</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p w:rsidR="00627C5B" w:rsidRDefault="00627C5B" w:rsidP="009B2A14">
            <w:pPr>
              <w:spacing w:after="0"/>
              <w:jc w:val="center"/>
              <w:rPr>
                <w:color w:val="000000"/>
                <w:sz w:val="18"/>
                <w:szCs w:val="18"/>
              </w:rPr>
            </w:pPr>
            <w:r>
              <w:rPr>
                <w:color w:val="000000"/>
                <w:sz w:val="18"/>
                <w:szCs w:val="18"/>
              </w:rPr>
              <w:t>Down in PE</w:t>
            </w:r>
          </w:p>
          <w:p w:rsidR="001C70B8" w:rsidRPr="00585202" w:rsidRDefault="001C70B8" w:rsidP="009B2A14">
            <w:pPr>
              <w:spacing w:after="0"/>
              <w:jc w:val="center"/>
              <w:rPr>
                <w:color w:val="000000"/>
                <w:sz w:val="18"/>
                <w:szCs w:val="18"/>
              </w:rPr>
            </w:pPr>
            <w:r>
              <w:rPr>
                <w:color w:val="000000"/>
                <w:sz w:val="18"/>
                <w:szCs w:val="18"/>
              </w:rPr>
              <w:t>No difference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627C5B" w:rsidRDefault="00627C5B" w:rsidP="009B2A14">
            <w:pPr>
              <w:spacing w:after="0"/>
              <w:jc w:val="center"/>
              <w:rPr>
                <w:color w:val="000000"/>
                <w:sz w:val="18"/>
                <w:szCs w:val="18"/>
              </w:rPr>
            </w:pPr>
            <w:r>
              <w:rPr>
                <w:color w:val="000000"/>
                <w:sz w:val="18"/>
                <w:szCs w:val="18"/>
              </w:rPr>
              <w:t>Yes</w:t>
            </w:r>
          </w:p>
          <w:p w:rsidR="001C70B8" w:rsidRDefault="001C70B8" w:rsidP="009B2A14">
            <w:pPr>
              <w:spacing w:after="0"/>
              <w:jc w:val="center"/>
            </w:pPr>
            <w:r>
              <w:rPr>
                <w:color w:val="000000"/>
                <w:sz w:val="18"/>
                <w:szCs w:val="18"/>
              </w:rPr>
              <w:t>No</w:t>
            </w:r>
          </w:p>
        </w:tc>
        <w:tc>
          <w:tcPr>
            <w:tcW w:w="1805" w:type="dxa"/>
          </w:tcPr>
          <w:p w:rsidR="009B2A14" w:rsidRDefault="009B2A14" w:rsidP="009B2A14">
            <w:pPr>
              <w:spacing w:after="0"/>
              <w:jc w:val="center"/>
              <w:rPr>
                <w:sz w:val="18"/>
                <w:szCs w:val="18"/>
              </w:rPr>
            </w:pPr>
            <w:r w:rsidRPr="0073574B">
              <w:rPr>
                <w:sz w:val="18"/>
                <w:szCs w:val="18"/>
              </w:rPr>
              <w:t>14</w:t>
            </w:r>
          </w:p>
          <w:p w:rsidR="009B2A14" w:rsidRDefault="009B2A14" w:rsidP="009B2A14">
            <w:pPr>
              <w:spacing w:after="0"/>
              <w:jc w:val="center"/>
              <w:rPr>
                <w:sz w:val="18"/>
                <w:szCs w:val="18"/>
              </w:rPr>
            </w:pPr>
            <w:r>
              <w:rPr>
                <w:sz w:val="18"/>
                <w:szCs w:val="18"/>
              </w:rPr>
              <w:t>31</w:t>
            </w:r>
          </w:p>
          <w:p w:rsidR="009B2A14" w:rsidRDefault="009B2A14" w:rsidP="009B2A14">
            <w:pPr>
              <w:spacing w:after="0"/>
              <w:jc w:val="center"/>
              <w:rPr>
                <w:sz w:val="18"/>
                <w:szCs w:val="18"/>
              </w:rPr>
            </w:pPr>
            <w:r>
              <w:rPr>
                <w:sz w:val="18"/>
                <w:szCs w:val="18"/>
              </w:rPr>
              <w:t>35</w:t>
            </w:r>
          </w:p>
          <w:p w:rsidR="00627C5B" w:rsidRDefault="00627C5B" w:rsidP="009B2A14">
            <w:pPr>
              <w:spacing w:after="0"/>
              <w:jc w:val="center"/>
              <w:rPr>
                <w:sz w:val="18"/>
                <w:szCs w:val="18"/>
              </w:rPr>
            </w:pPr>
            <w:r>
              <w:rPr>
                <w:sz w:val="18"/>
                <w:szCs w:val="18"/>
              </w:rPr>
              <w:t>Xu 2019</w:t>
            </w:r>
          </w:p>
          <w:p w:rsidR="001C70B8" w:rsidRDefault="001C70B8" w:rsidP="009B2A14">
            <w:pPr>
              <w:spacing w:after="0"/>
              <w:jc w:val="center"/>
            </w:pPr>
            <w:r>
              <w:rPr>
                <w:sz w:val="18"/>
                <w:szCs w:val="18"/>
              </w:rPr>
              <w:t>Dong 2020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126-3p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w:t>
            </w:r>
          </w:p>
          <w:p w:rsidR="00000000" w:rsidRDefault="009B2A14">
            <w:pPr>
              <w:spacing w:after="0"/>
              <w:jc w:val="center"/>
              <w:rPr>
                <w:color w:val="000000"/>
                <w:sz w:val="18"/>
                <w:szCs w:val="18"/>
              </w:rPr>
            </w:pPr>
            <w:r>
              <w:rPr>
                <w:color w:val="000000"/>
                <w:sz w:val="18"/>
                <w:szCs w:val="18"/>
              </w:rPr>
              <w:t>MPB (plasma)</w:t>
            </w:r>
          </w:p>
          <w:p w:rsidR="009B2A14" w:rsidRDefault="009B2A14" w:rsidP="001B388E">
            <w:pPr>
              <w:spacing w:after="0"/>
              <w:jc w:val="center"/>
              <w:rPr>
                <w:color w:val="000000"/>
                <w:sz w:val="18"/>
                <w:szCs w:val="18"/>
              </w:rPr>
            </w:pPr>
            <w:r>
              <w:rPr>
                <w:color w:val="000000"/>
                <w:sz w:val="18"/>
                <w:szCs w:val="18"/>
              </w:rPr>
              <w:t>MPB</w:t>
            </w:r>
          </w:p>
          <w:p w:rsidR="00367203" w:rsidRDefault="00367203" w:rsidP="009B2A14">
            <w:pPr>
              <w:spacing w:after="0"/>
              <w:jc w:val="center"/>
              <w:rPr>
                <w:color w:val="000000"/>
                <w:sz w:val="18"/>
                <w:szCs w:val="18"/>
              </w:rPr>
            </w:pPr>
            <w:r>
              <w:rPr>
                <w:color w:val="000000"/>
                <w:sz w:val="18"/>
                <w:szCs w:val="18"/>
              </w:rPr>
              <w:t>Placenta</w:t>
            </w:r>
          </w:p>
        </w:tc>
        <w:tc>
          <w:tcPr>
            <w:tcW w:w="2976" w:type="dxa"/>
            <w:vAlign w:val="bottom"/>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No difference</w:t>
            </w:r>
          </w:p>
          <w:p w:rsidR="00367203" w:rsidRPr="00585202" w:rsidRDefault="00367203" w:rsidP="009B2A14">
            <w:pPr>
              <w:spacing w:after="0"/>
              <w:jc w:val="center"/>
              <w:rPr>
                <w:color w:val="000000"/>
                <w:sz w:val="18"/>
                <w:szCs w:val="18"/>
              </w:rPr>
            </w:pPr>
            <w:r>
              <w:rPr>
                <w:color w:val="000000"/>
                <w:sz w:val="18"/>
                <w:szCs w:val="18"/>
              </w:rPr>
              <w:t>Down in PE</w:t>
            </w:r>
          </w:p>
        </w:tc>
        <w:tc>
          <w:tcPr>
            <w:tcW w:w="709" w:type="dxa"/>
          </w:tcPr>
          <w:p w:rsidR="009B2A14" w:rsidRDefault="009B2A14" w:rsidP="009B2A14">
            <w:pPr>
              <w:spacing w:after="0"/>
              <w:jc w:val="center"/>
              <w:rPr>
                <w:color w:val="000000"/>
                <w:sz w:val="18"/>
                <w:szCs w:val="18"/>
              </w:rPr>
            </w:pPr>
            <w:r>
              <w:rPr>
                <w:color w:val="000000"/>
                <w:sz w:val="18"/>
                <w:szCs w:val="18"/>
              </w:rPr>
              <w:t>No</w:t>
            </w:r>
          </w:p>
          <w:p w:rsidR="009B2A14" w:rsidRDefault="009B2A14" w:rsidP="001B388E">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367203" w:rsidRPr="00402AFC" w:rsidRDefault="00367203"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1B388E">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158</w:t>
            </w:r>
          </w:p>
          <w:p w:rsidR="00367203" w:rsidRDefault="00367203" w:rsidP="009B2A14">
            <w:pPr>
              <w:spacing w:after="0"/>
              <w:jc w:val="center"/>
              <w:rPr>
                <w:sz w:val="18"/>
                <w:szCs w:val="18"/>
              </w:rPr>
            </w:pPr>
            <w:r>
              <w:rPr>
                <w:sz w:val="18"/>
                <w:szCs w:val="18"/>
              </w:rPr>
              <w:t>Chu 2021</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182</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MPB (serum)</w:t>
            </w:r>
          </w:p>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 in 1</w:t>
            </w:r>
            <w:r w:rsidR="00E33D6E" w:rsidRPr="00E33D6E">
              <w:rPr>
                <w:color w:val="000000"/>
                <w:sz w:val="18"/>
                <w:szCs w:val="18"/>
                <w:vertAlign w:val="superscript"/>
              </w:rPr>
              <w:t>st</w:t>
            </w:r>
            <w:r>
              <w:rPr>
                <w:color w:val="000000"/>
                <w:sz w:val="18"/>
                <w:szCs w:val="18"/>
              </w:rPr>
              <w:t xml:space="preserve"> and 2</w:t>
            </w:r>
            <w:r w:rsidR="00E33D6E" w:rsidRPr="00E33D6E">
              <w:rPr>
                <w:color w:val="000000"/>
                <w:sz w:val="18"/>
                <w:szCs w:val="18"/>
                <w:vertAlign w:val="superscript"/>
              </w:rPr>
              <w:t>nd</w:t>
            </w:r>
            <w:r>
              <w:rPr>
                <w:color w:val="000000"/>
                <w:sz w:val="18"/>
                <w:szCs w:val="18"/>
              </w:rPr>
              <w:t xml:space="preserve"> trimester</w:t>
            </w:r>
          </w:p>
          <w:p w:rsidR="009B2A14" w:rsidRPr="00585202" w:rsidRDefault="009B2A14" w:rsidP="009B2A14">
            <w:pPr>
              <w:spacing w:after="0"/>
              <w:jc w:val="center"/>
              <w:rPr>
                <w:color w:val="000000"/>
                <w:sz w:val="18"/>
                <w:szCs w:val="18"/>
              </w:rPr>
            </w:pPr>
            <w:r>
              <w:rPr>
                <w:color w:val="000000"/>
                <w:sz w:val="18"/>
                <w:szCs w:val="18"/>
              </w:rPr>
              <w:t>Up in 3</w:t>
            </w:r>
            <w:r w:rsidR="00E33D6E" w:rsidRPr="00E33D6E">
              <w:rPr>
                <w:color w:val="000000"/>
                <w:sz w:val="18"/>
                <w:szCs w:val="18"/>
                <w:vertAlign w:val="superscript"/>
              </w:rPr>
              <w:t>rd</w:t>
            </w:r>
            <w:r>
              <w:rPr>
                <w:color w:val="000000"/>
                <w:sz w:val="18"/>
                <w:szCs w:val="18"/>
              </w:rPr>
              <w:t xml:space="preserve"> trimester</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23</w:t>
            </w:r>
          </w:p>
          <w:p w:rsidR="009B2A14" w:rsidRDefault="009B2A14" w:rsidP="009B2A14">
            <w:pPr>
              <w:spacing w:after="0"/>
              <w:jc w:val="center"/>
              <w:rPr>
                <w:sz w:val="18"/>
                <w:szCs w:val="18"/>
              </w:rPr>
            </w:pPr>
            <w:r>
              <w:rPr>
                <w:sz w:val="18"/>
                <w:szCs w:val="18"/>
              </w:rPr>
              <w:t>57</w:t>
            </w:r>
          </w:p>
          <w:p w:rsidR="009B2A14" w:rsidRPr="00DE5B46" w:rsidRDefault="009B2A14" w:rsidP="009B2A14">
            <w:pPr>
              <w:spacing w:after="0"/>
              <w:jc w:val="center"/>
              <w:rPr>
                <w:sz w:val="18"/>
                <w:szCs w:val="18"/>
              </w:rPr>
            </w:pPr>
            <w:r>
              <w:rPr>
                <w:sz w:val="18"/>
                <w:szCs w:val="18"/>
              </w:rPr>
              <w:t>57</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182-5p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Pr="00402AFC"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123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30a-3p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23</w:t>
            </w:r>
          </w:p>
          <w:p w:rsidR="009B2A14" w:rsidRDefault="009B2A14" w:rsidP="009B2A14">
            <w:pPr>
              <w:spacing w:after="0"/>
              <w:jc w:val="center"/>
              <w:rPr>
                <w:sz w:val="18"/>
                <w:szCs w:val="18"/>
              </w:rPr>
            </w:pPr>
            <w:r>
              <w:rPr>
                <w:sz w:val="18"/>
                <w:szCs w:val="18"/>
              </w:rPr>
              <w:t>138</w:t>
            </w:r>
          </w:p>
          <w:p w:rsidR="009B2A14" w:rsidRPr="00DE5B46" w:rsidRDefault="009B2A14" w:rsidP="009B2A14">
            <w:pPr>
              <w:spacing w:after="0"/>
              <w:jc w:val="center"/>
              <w:rPr>
                <w:sz w:val="18"/>
                <w:szCs w:val="18"/>
              </w:rPr>
            </w:pPr>
            <w:r>
              <w:rPr>
                <w:sz w:val="18"/>
                <w:szCs w:val="18"/>
              </w:rPr>
              <w:t>144</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30a</w:t>
            </w:r>
          </w:p>
        </w:tc>
        <w:tc>
          <w:tcPr>
            <w:tcW w:w="2905" w:type="dxa"/>
            <w:vAlign w:val="center"/>
          </w:tcPr>
          <w:p w:rsidR="009B2A14" w:rsidRDefault="009B2A14" w:rsidP="009B2A14">
            <w:pPr>
              <w:spacing w:after="0"/>
              <w:jc w:val="center"/>
              <w:rPr>
                <w:color w:val="000000"/>
                <w:sz w:val="18"/>
                <w:szCs w:val="18"/>
              </w:rPr>
            </w:pPr>
            <w:r>
              <w:rPr>
                <w:color w:val="000000"/>
                <w:sz w:val="18"/>
                <w:szCs w:val="18"/>
              </w:rPr>
              <w:t>UC veins</w:t>
            </w:r>
          </w:p>
          <w:p w:rsidR="009B2A14" w:rsidRDefault="009B2A14" w:rsidP="009B2A14">
            <w:pPr>
              <w:spacing w:after="0"/>
              <w:jc w:val="center"/>
              <w:rPr>
                <w:color w:val="000000"/>
                <w:sz w:val="18"/>
                <w:szCs w:val="18"/>
              </w:rPr>
            </w:pPr>
            <w:r>
              <w:rPr>
                <w:color w:val="000000"/>
                <w:sz w:val="18"/>
                <w:szCs w:val="18"/>
              </w:rPr>
              <w:t>UC-MSCs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54</w:t>
            </w:r>
          </w:p>
          <w:p w:rsidR="009B2A14" w:rsidRDefault="009B2A14" w:rsidP="009B2A14">
            <w:pPr>
              <w:spacing w:after="0"/>
              <w:jc w:val="center"/>
              <w:rPr>
                <w:sz w:val="18"/>
                <w:szCs w:val="18"/>
              </w:rPr>
            </w:pPr>
            <w:r>
              <w:rPr>
                <w:sz w:val="18"/>
                <w:szCs w:val="18"/>
              </w:rPr>
              <w:t>54</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30c-5p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92b</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24</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197</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24</w:t>
            </w:r>
          </w:p>
        </w:tc>
      </w:tr>
      <w:tr w:rsidR="00EF389B" w:rsidRPr="00DE5B46" w:rsidTr="0056680A">
        <w:trPr>
          <w:cantSplit/>
          <w:jc w:val="center"/>
        </w:trPr>
        <w:tc>
          <w:tcPr>
            <w:tcW w:w="0" w:type="auto"/>
            <w:vAlign w:val="bottom"/>
          </w:tcPr>
          <w:p w:rsidR="00EF389B" w:rsidRDefault="00EF389B" w:rsidP="009B2A14">
            <w:pPr>
              <w:spacing w:after="0"/>
              <w:jc w:val="center"/>
              <w:rPr>
                <w:color w:val="000000"/>
                <w:sz w:val="18"/>
                <w:szCs w:val="18"/>
              </w:rPr>
            </w:pPr>
            <w:r>
              <w:rPr>
                <w:color w:val="000000"/>
                <w:sz w:val="18"/>
                <w:szCs w:val="18"/>
              </w:rPr>
              <w:t>197-3p</w:t>
            </w:r>
          </w:p>
        </w:tc>
        <w:tc>
          <w:tcPr>
            <w:tcW w:w="2905" w:type="dxa"/>
            <w:vAlign w:val="center"/>
          </w:tcPr>
          <w:p w:rsidR="00EF389B" w:rsidRDefault="00EF389B" w:rsidP="009B2A14">
            <w:pPr>
              <w:spacing w:after="0"/>
              <w:jc w:val="center"/>
              <w:rPr>
                <w:color w:val="000000"/>
                <w:sz w:val="18"/>
                <w:szCs w:val="18"/>
              </w:rPr>
            </w:pPr>
            <w:r>
              <w:rPr>
                <w:color w:val="000000"/>
                <w:sz w:val="18"/>
                <w:szCs w:val="18"/>
              </w:rPr>
              <w:t>MPB (plasma)</w:t>
            </w:r>
          </w:p>
        </w:tc>
        <w:tc>
          <w:tcPr>
            <w:tcW w:w="2976" w:type="dxa"/>
            <w:vAlign w:val="bottom"/>
          </w:tcPr>
          <w:p w:rsidR="00EF389B" w:rsidRDefault="00EF389B" w:rsidP="009B2A14">
            <w:pPr>
              <w:spacing w:after="0"/>
              <w:jc w:val="center"/>
              <w:rPr>
                <w:color w:val="000000"/>
                <w:sz w:val="18"/>
                <w:szCs w:val="18"/>
              </w:rPr>
            </w:pPr>
            <w:r>
              <w:rPr>
                <w:color w:val="000000"/>
                <w:sz w:val="18"/>
                <w:szCs w:val="18"/>
              </w:rPr>
              <w:t>Down in PE</w:t>
            </w:r>
          </w:p>
        </w:tc>
        <w:tc>
          <w:tcPr>
            <w:tcW w:w="709" w:type="dxa"/>
          </w:tcPr>
          <w:p w:rsidR="00EF389B" w:rsidRDefault="00EF389B" w:rsidP="009B2A14">
            <w:pPr>
              <w:spacing w:after="0"/>
              <w:jc w:val="center"/>
              <w:rPr>
                <w:color w:val="000000"/>
                <w:sz w:val="18"/>
                <w:szCs w:val="18"/>
              </w:rPr>
            </w:pPr>
            <w:r>
              <w:rPr>
                <w:color w:val="000000"/>
                <w:sz w:val="18"/>
                <w:szCs w:val="18"/>
              </w:rPr>
              <w:t>Yes</w:t>
            </w:r>
          </w:p>
        </w:tc>
        <w:tc>
          <w:tcPr>
            <w:tcW w:w="1805" w:type="dxa"/>
            <w:vAlign w:val="center"/>
          </w:tcPr>
          <w:p w:rsidR="00EF389B" w:rsidRDefault="00EF389B"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342</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Pr="00402AFC"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187</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lastRenderedPageBreak/>
              <w:t>342-3p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MPB (serum)</w:t>
            </w:r>
          </w:p>
          <w:p w:rsidR="00DF5D8B" w:rsidRPr="00DE5B46" w:rsidRDefault="00DF5D8B" w:rsidP="009B2A14">
            <w:pPr>
              <w:spacing w:after="0"/>
              <w:jc w:val="center"/>
              <w:rPr>
                <w:color w:val="000000"/>
                <w:sz w:val="18"/>
                <w:szCs w:val="18"/>
              </w:rPr>
            </w:pPr>
            <w:r>
              <w:rPr>
                <w:color w:val="000000"/>
                <w:sz w:val="18"/>
                <w:szCs w:val="18"/>
              </w:rPr>
              <w:t>MPB (plasma)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DF5D8B" w:rsidRPr="00585202" w:rsidRDefault="00DF5D8B" w:rsidP="009B2A14">
            <w:pPr>
              <w:spacing w:after="0"/>
              <w:jc w:val="center"/>
              <w:rPr>
                <w:color w:val="000000"/>
                <w:sz w:val="18"/>
                <w:szCs w:val="18"/>
              </w:rPr>
            </w:pPr>
            <w:r>
              <w:rPr>
                <w:color w:val="000000"/>
                <w:sz w:val="18"/>
                <w:szCs w:val="18"/>
              </w:rPr>
              <w:t>No difference</w:t>
            </w:r>
          </w:p>
        </w:tc>
        <w:tc>
          <w:tcPr>
            <w:tcW w:w="709" w:type="dxa"/>
          </w:tcPr>
          <w:p w:rsidR="009B2A14" w:rsidRDefault="009B2A14" w:rsidP="009B2A14">
            <w:pPr>
              <w:spacing w:after="0"/>
              <w:jc w:val="center"/>
              <w:rPr>
                <w:color w:val="000000"/>
                <w:sz w:val="18"/>
                <w:szCs w:val="18"/>
              </w:rPr>
            </w:pPr>
            <w:r w:rsidRPr="00402AFC">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DF5D8B" w:rsidRDefault="00DF5D8B" w:rsidP="009B2A14">
            <w:pPr>
              <w:spacing w:after="0"/>
              <w:jc w:val="cente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24</w:t>
            </w:r>
          </w:p>
          <w:p w:rsidR="009B2A14" w:rsidRDefault="009B2A14" w:rsidP="009B2A14">
            <w:pPr>
              <w:spacing w:after="0"/>
              <w:jc w:val="center"/>
              <w:rPr>
                <w:sz w:val="18"/>
                <w:szCs w:val="18"/>
              </w:rPr>
            </w:pPr>
            <w:r>
              <w:rPr>
                <w:sz w:val="18"/>
                <w:szCs w:val="18"/>
              </w:rPr>
              <w:t>70</w:t>
            </w:r>
          </w:p>
          <w:p w:rsidR="00DF5D8B" w:rsidRPr="00DE5B46" w:rsidRDefault="00DF5D8B" w:rsidP="009B2A14">
            <w:pPr>
              <w:spacing w:after="0"/>
              <w:jc w:val="center"/>
              <w:rPr>
                <w:sz w:val="18"/>
                <w:szCs w:val="18"/>
              </w:rPr>
            </w:pPr>
            <w:r>
              <w:rPr>
                <w:sz w:val="18"/>
                <w:szCs w:val="18"/>
              </w:rPr>
              <w:t>Akgor 2020</w:t>
            </w:r>
          </w:p>
        </w:tc>
      </w:tr>
      <w:tr w:rsidR="009B2A14" w:rsidRPr="00DE5B46" w:rsidTr="0056680A">
        <w:trPr>
          <w:cantSplit/>
          <w:trHeight w:val="631"/>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26a-5p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 exosomes)</w:t>
            </w:r>
          </w:p>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Pr="00402AFC"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Pr="00402AFC"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p w:rsidR="009B2A14" w:rsidRDefault="009B2A14" w:rsidP="009B2A14">
            <w:pPr>
              <w:spacing w:after="0"/>
              <w:jc w:val="center"/>
              <w:rPr>
                <w:sz w:val="18"/>
                <w:szCs w:val="18"/>
              </w:rPr>
            </w:pPr>
            <w:r>
              <w:rPr>
                <w:sz w:val="18"/>
                <w:szCs w:val="18"/>
              </w:rPr>
              <w:t>70</w:t>
            </w:r>
          </w:p>
          <w:p w:rsidR="009B2A14" w:rsidRDefault="009B2A14" w:rsidP="009B2A14">
            <w:pPr>
              <w:spacing w:after="0"/>
              <w:jc w:val="center"/>
              <w:rPr>
                <w:sz w:val="18"/>
                <w:szCs w:val="18"/>
              </w:rPr>
            </w:pPr>
            <w:r>
              <w:rPr>
                <w:sz w:val="18"/>
                <w:szCs w:val="18"/>
              </w:rPr>
              <w:t>190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26b</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24</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26b-5p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No difference</w:t>
            </w:r>
          </w:p>
        </w:tc>
        <w:tc>
          <w:tcPr>
            <w:tcW w:w="709" w:type="dxa"/>
          </w:tcPr>
          <w:p w:rsidR="009B2A14" w:rsidRPr="00402AFC"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160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25</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Up in PE</w:t>
            </w:r>
          </w:p>
        </w:tc>
        <w:tc>
          <w:tcPr>
            <w:tcW w:w="709" w:type="dxa"/>
          </w:tcPr>
          <w:p w:rsidR="009B2A14" w:rsidRDefault="009B2A14" w:rsidP="009B2A14">
            <w:pPr>
              <w:spacing w:after="0"/>
              <w:jc w:val="center"/>
            </w:pPr>
            <w:r w:rsidRPr="00402AFC">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24</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376c</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MPB (plasma exosomes)</w:t>
            </w:r>
          </w:p>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Up in PE</w:t>
            </w:r>
          </w:p>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25</w:t>
            </w:r>
          </w:p>
          <w:p w:rsidR="009B2A14" w:rsidRDefault="009B2A14" w:rsidP="009B2A14">
            <w:pPr>
              <w:spacing w:after="0"/>
              <w:jc w:val="center"/>
              <w:rPr>
                <w:sz w:val="18"/>
                <w:szCs w:val="18"/>
              </w:rPr>
            </w:pPr>
            <w:r>
              <w:rPr>
                <w:sz w:val="18"/>
                <w:szCs w:val="18"/>
              </w:rPr>
              <w:t>25</w:t>
            </w:r>
          </w:p>
          <w:p w:rsidR="009B2A14" w:rsidRDefault="009B2A14" w:rsidP="009B2A14">
            <w:pPr>
              <w:spacing w:after="0"/>
              <w:jc w:val="center"/>
              <w:rPr>
                <w:sz w:val="18"/>
                <w:szCs w:val="18"/>
              </w:rPr>
            </w:pPr>
            <w:r>
              <w:rPr>
                <w:sz w:val="18"/>
                <w:szCs w:val="18"/>
              </w:rPr>
              <w:t>153</w:t>
            </w:r>
          </w:p>
          <w:p w:rsidR="009B2A14" w:rsidRPr="00DE5B46" w:rsidRDefault="009B2A14" w:rsidP="009B2A14">
            <w:pPr>
              <w:spacing w:after="0"/>
              <w:jc w:val="center"/>
              <w:rPr>
                <w:sz w:val="18"/>
                <w:szCs w:val="18"/>
              </w:rPr>
            </w:pPr>
            <w:r>
              <w:rPr>
                <w:sz w:val="18"/>
                <w:szCs w:val="18"/>
              </w:rPr>
              <w:t>186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149</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471A27" w:rsidRDefault="00471A27" w:rsidP="009B2A14">
            <w:pPr>
              <w:spacing w:after="0"/>
              <w:jc w:val="center"/>
              <w:rPr>
                <w:color w:val="000000"/>
                <w:sz w:val="18"/>
                <w:szCs w:val="18"/>
              </w:rPr>
            </w:pPr>
            <w:r>
              <w:rPr>
                <w:color w:val="000000"/>
                <w:sz w:val="18"/>
                <w:szCs w:val="18"/>
              </w:rPr>
              <w:t>MPB (whole blood)</w:t>
            </w:r>
          </w:p>
          <w:p w:rsidR="002A46C5" w:rsidRPr="00DE5B46" w:rsidRDefault="002A46C5" w:rsidP="009B2A14">
            <w:pPr>
              <w:spacing w:after="0"/>
              <w:jc w:val="center"/>
              <w:rPr>
                <w:color w:val="000000"/>
                <w:sz w:val="18"/>
                <w:szCs w:val="18"/>
              </w:rPr>
            </w:pPr>
            <w:r>
              <w:rPr>
                <w:color w:val="000000"/>
                <w:sz w:val="18"/>
                <w:szCs w:val="18"/>
              </w:rPr>
              <w:t>MPB (whole blood)</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471A27" w:rsidRDefault="00471A27" w:rsidP="009B2A14">
            <w:pPr>
              <w:spacing w:after="0"/>
              <w:jc w:val="center"/>
              <w:rPr>
                <w:color w:val="000000"/>
                <w:sz w:val="18"/>
                <w:szCs w:val="18"/>
              </w:rPr>
            </w:pPr>
            <w:r>
              <w:rPr>
                <w:color w:val="000000"/>
                <w:sz w:val="18"/>
                <w:szCs w:val="18"/>
              </w:rPr>
              <w:t>Down in PE</w:t>
            </w:r>
            <w:r w:rsidR="002A46C5">
              <w:rPr>
                <w:color w:val="000000"/>
                <w:sz w:val="18"/>
                <w:szCs w:val="18"/>
              </w:rPr>
              <w:t xml:space="preserve"> 36GW</w:t>
            </w:r>
          </w:p>
          <w:p w:rsidR="002A46C5" w:rsidRPr="00DE5B46" w:rsidRDefault="002A46C5" w:rsidP="009B2A14">
            <w:pPr>
              <w:spacing w:after="0"/>
              <w:jc w:val="center"/>
              <w:rPr>
                <w:color w:val="000000"/>
                <w:sz w:val="18"/>
                <w:szCs w:val="18"/>
              </w:rPr>
            </w:pPr>
            <w:r>
              <w:rPr>
                <w:color w:val="000000"/>
                <w:sz w:val="18"/>
                <w:szCs w:val="18"/>
              </w:rPr>
              <w:t>No difference 28GW</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471A27" w:rsidRDefault="00471A27" w:rsidP="009B2A14">
            <w:pPr>
              <w:spacing w:after="0"/>
              <w:jc w:val="center"/>
              <w:rPr>
                <w:color w:val="000000"/>
                <w:sz w:val="18"/>
                <w:szCs w:val="18"/>
              </w:rPr>
            </w:pPr>
            <w:r>
              <w:rPr>
                <w:color w:val="000000"/>
                <w:sz w:val="18"/>
                <w:szCs w:val="18"/>
              </w:rPr>
              <w:t>Yes</w:t>
            </w:r>
          </w:p>
          <w:p w:rsidR="002A46C5" w:rsidRPr="00DE5B46" w:rsidRDefault="002A46C5"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26</w:t>
            </w:r>
            <w:r w:rsidR="00471A27">
              <w:rPr>
                <w:sz w:val="18"/>
                <w:szCs w:val="18"/>
              </w:rPr>
              <w:br/>
              <w:t>Whigham 2020</w:t>
            </w:r>
          </w:p>
          <w:p w:rsidR="002A46C5" w:rsidRPr="00DE5B46" w:rsidRDefault="002A46C5" w:rsidP="009B2A14">
            <w:pPr>
              <w:spacing w:after="0"/>
              <w:jc w:val="center"/>
              <w:rPr>
                <w:sz w:val="18"/>
                <w:szCs w:val="18"/>
              </w:rPr>
            </w:pPr>
            <w:r>
              <w:rPr>
                <w:sz w:val="18"/>
                <w:szCs w:val="18"/>
              </w:rPr>
              <w:t>Whigham 2020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149-5p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Pr="00052FE8"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182</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106a</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7C7219" w:rsidRPr="00DE5B46" w:rsidRDefault="007C7219" w:rsidP="009B2A14">
            <w:pPr>
              <w:spacing w:after="0"/>
              <w:jc w:val="center"/>
              <w:rPr>
                <w:color w:val="000000"/>
                <w:sz w:val="18"/>
                <w:szCs w:val="18"/>
              </w:rPr>
            </w:pPr>
            <w:r>
              <w:rPr>
                <w:color w:val="000000"/>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7C7219" w:rsidRPr="00585202" w:rsidRDefault="007C7219" w:rsidP="009B2A14">
            <w:pPr>
              <w:spacing w:after="0"/>
              <w:jc w:val="center"/>
              <w:rPr>
                <w:color w:val="000000"/>
                <w:sz w:val="18"/>
                <w:szCs w:val="18"/>
              </w:rPr>
            </w:pPr>
            <w:r>
              <w:rPr>
                <w:color w:val="000000"/>
                <w:sz w:val="18"/>
                <w:szCs w:val="18"/>
              </w:rPr>
              <w:t>Down in PE</w:t>
            </w:r>
          </w:p>
        </w:tc>
        <w:tc>
          <w:tcPr>
            <w:tcW w:w="709" w:type="dxa"/>
          </w:tcPr>
          <w:p w:rsidR="009B2A14" w:rsidRDefault="009B2A14" w:rsidP="009B2A14">
            <w:pPr>
              <w:spacing w:after="0"/>
              <w:jc w:val="center"/>
              <w:rPr>
                <w:color w:val="000000"/>
                <w:sz w:val="18"/>
                <w:szCs w:val="18"/>
              </w:rPr>
            </w:pPr>
            <w:r w:rsidRPr="00052FE8">
              <w:rPr>
                <w:color w:val="000000"/>
                <w:sz w:val="18"/>
                <w:szCs w:val="18"/>
              </w:rPr>
              <w:t>Yes</w:t>
            </w:r>
          </w:p>
          <w:p w:rsidR="007C7219" w:rsidRDefault="007C7219" w:rsidP="009B2A14">
            <w:pPr>
              <w:spacing w:after="0"/>
              <w:jc w:val="cente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28</w:t>
            </w:r>
          </w:p>
          <w:p w:rsidR="007C7219" w:rsidRPr="00DE5B46" w:rsidRDefault="007C7219" w:rsidP="009B2A14">
            <w:pPr>
              <w:spacing w:after="0"/>
              <w:jc w:val="center"/>
              <w:rPr>
                <w:sz w:val="18"/>
                <w:szCs w:val="18"/>
              </w:rPr>
            </w:pPr>
            <w:r>
              <w:rPr>
                <w:sz w:val="18"/>
                <w:szCs w:val="18"/>
              </w:rPr>
              <w:t>Zhao 2020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106b</w:t>
            </w:r>
          </w:p>
        </w:tc>
        <w:tc>
          <w:tcPr>
            <w:tcW w:w="2905" w:type="dxa"/>
            <w:vAlign w:val="center"/>
          </w:tcPr>
          <w:p w:rsidR="009B2A14" w:rsidRDefault="009B2A14" w:rsidP="009B2A14">
            <w:pPr>
              <w:spacing w:after="0"/>
              <w:jc w:val="center"/>
              <w:rPr>
                <w:color w:val="000000"/>
                <w:sz w:val="18"/>
                <w:szCs w:val="18"/>
              </w:rPr>
            </w:pPr>
            <w:r>
              <w:rPr>
                <w:color w:val="000000"/>
                <w:sz w:val="18"/>
                <w:szCs w:val="18"/>
              </w:rPr>
              <w:t>MPB (mononuclear cells)</w:t>
            </w:r>
          </w:p>
        </w:tc>
        <w:tc>
          <w:tcPr>
            <w:tcW w:w="2976" w:type="dxa"/>
            <w:vAlign w:val="bottom"/>
          </w:tcPr>
          <w:p w:rsidR="009B2A14" w:rsidRPr="00585202" w:rsidRDefault="009B2A14" w:rsidP="009B2A14">
            <w:pPr>
              <w:spacing w:after="0"/>
              <w:jc w:val="center"/>
              <w:rPr>
                <w:color w:val="000000"/>
                <w:sz w:val="18"/>
                <w:szCs w:val="18"/>
              </w:rPr>
            </w:pPr>
            <w:r>
              <w:rPr>
                <w:color w:val="000000"/>
                <w:sz w:val="18"/>
                <w:szCs w:val="18"/>
              </w:rPr>
              <w:t>Up in PE</w:t>
            </w:r>
          </w:p>
        </w:tc>
        <w:tc>
          <w:tcPr>
            <w:tcW w:w="709" w:type="dxa"/>
          </w:tcPr>
          <w:p w:rsidR="009B2A14" w:rsidRPr="00052FE8"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155</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19b</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Down in PE</w:t>
            </w:r>
          </w:p>
        </w:tc>
        <w:tc>
          <w:tcPr>
            <w:tcW w:w="709" w:type="dxa"/>
          </w:tcPr>
          <w:p w:rsidR="009B2A14" w:rsidRDefault="009B2A14" w:rsidP="009B2A14">
            <w:pPr>
              <w:spacing w:after="0"/>
              <w:jc w:val="center"/>
              <w:rPr>
                <w:color w:val="000000"/>
                <w:sz w:val="18"/>
                <w:szCs w:val="18"/>
              </w:rPr>
            </w:pPr>
            <w:r w:rsidRPr="00052FE8">
              <w:rPr>
                <w:color w:val="000000"/>
                <w:sz w:val="18"/>
                <w:szCs w:val="18"/>
              </w:rPr>
              <w:t>Yes</w:t>
            </w:r>
          </w:p>
          <w:p w:rsidR="009B2A14" w:rsidRDefault="009B2A14" w:rsidP="009B2A14">
            <w:pPr>
              <w:spacing w:after="0"/>
              <w:jc w:val="cente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28</w:t>
            </w:r>
          </w:p>
          <w:p w:rsidR="009B2A14" w:rsidRPr="00DE5B46" w:rsidRDefault="009B2A14" w:rsidP="009B2A14">
            <w:pPr>
              <w:spacing w:after="0"/>
              <w:jc w:val="center"/>
              <w:rPr>
                <w:sz w:val="18"/>
                <w:szCs w:val="18"/>
              </w:rPr>
            </w:pPr>
            <w:r>
              <w:rPr>
                <w:sz w:val="18"/>
                <w:szCs w:val="18"/>
              </w:rPr>
              <w:t>95</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125b</w:t>
            </w:r>
          </w:p>
        </w:tc>
        <w:tc>
          <w:tcPr>
            <w:tcW w:w="2905" w:type="dxa"/>
          </w:tcPr>
          <w:p w:rsidR="009B2A14" w:rsidRDefault="009B2A14" w:rsidP="009B2A14">
            <w:pPr>
              <w:spacing w:after="0"/>
              <w:jc w:val="center"/>
              <w:rPr>
                <w:color w:val="000000"/>
                <w:sz w:val="18"/>
                <w:szCs w:val="18"/>
              </w:rPr>
            </w:pPr>
            <w:r w:rsidRPr="00AE43D1">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Placenta (chorionic plate)</w:t>
            </w:r>
          </w:p>
          <w:p w:rsidR="009B2A14" w:rsidRDefault="009B2A14" w:rsidP="009B2A14">
            <w:pPr>
              <w:spacing w:after="0"/>
              <w:jc w:val="center"/>
              <w:rPr>
                <w:color w:val="000000"/>
                <w:sz w:val="18"/>
                <w:szCs w:val="18"/>
              </w:rPr>
            </w:pPr>
            <w:r>
              <w:rPr>
                <w:color w:val="000000"/>
                <w:sz w:val="18"/>
                <w:szCs w:val="18"/>
              </w:rPr>
              <w:t>Placenta (basal plate)</w:t>
            </w:r>
          </w:p>
          <w:p w:rsidR="009B2A14" w:rsidRDefault="009B2A14" w:rsidP="009B2A14">
            <w:pPr>
              <w:spacing w:after="0"/>
              <w:jc w:val="center"/>
              <w:rPr>
                <w:color w:val="000000"/>
                <w:sz w:val="18"/>
                <w:szCs w:val="18"/>
              </w:rPr>
            </w:pPr>
            <w:r>
              <w:rPr>
                <w:color w:val="000000"/>
                <w:sz w:val="18"/>
                <w:szCs w:val="18"/>
              </w:rPr>
              <w:t>MPB (plasma)</w:t>
            </w:r>
          </w:p>
          <w:p w:rsidR="00040A9A" w:rsidRDefault="00040A9A" w:rsidP="009B2A14">
            <w:pPr>
              <w:spacing w:after="0"/>
              <w:jc w:val="cente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040A9A" w:rsidRPr="00DE5B46" w:rsidRDefault="00040A9A"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040A9A" w:rsidRPr="00DE5B46" w:rsidRDefault="00040A9A"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32</w:t>
            </w:r>
          </w:p>
          <w:p w:rsidR="009B2A14" w:rsidRDefault="009B2A14" w:rsidP="009B2A14">
            <w:pPr>
              <w:spacing w:after="0"/>
              <w:jc w:val="center"/>
              <w:rPr>
                <w:sz w:val="18"/>
                <w:szCs w:val="18"/>
              </w:rPr>
            </w:pPr>
            <w:r>
              <w:rPr>
                <w:sz w:val="18"/>
                <w:szCs w:val="18"/>
              </w:rPr>
              <w:t>79</w:t>
            </w:r>
          </w:p>
          <w:p w:rsidR="009B2A14" w:rsidRDefault="009B2A14" w:rsidP="009B2A14">
            <w:pPr>
              <w:spacing w:after="0"/>
              <w:jc w:val="center"/>
              <w:rPr>
                <w:sz w:val="18"/>
                <w:szCs w:val="18"/>
              </w:rPr>
            </w:pPr>
            <w:r>
              <w:rPr>
                <w:sz w:val="18"/>
                <w:szCs w:val="18"/>
              </w:rPr>
              <w:t>79</w:t>
            </w:r>
          </w:p>
          <w:p w:rsidR="009B2A14" w:rsidRDefault="009B2A14" w:rsidP="009B2A14">
            <w:pPr>
              <w:spacing w:after="0"/>
              <w:jc w:val="center"/>
              <w:rPr>
                <w:sz w:val="18"/>
                <w:szCs w:val="18"/>
              </w:rPr>
            </w:pPr>
            <w:r>
              <w:rPr>
                <w:sz w:val="18"/>
                <w:szCs w:val="18"/>
              </w:rPr>
              <w:t>79</w:t>
            </w:r>
          </w:p>
          <w:p w:rsidR="00040A9A" w:rsidRPr="00DE5B46" w:rsidRDefault="00040A9A" w:rsidP="009B2A14">
            <w:pPr>
              <w:spacing w:after="0"/>
              <w:jc w:val="center"/>
              <w:rPr>
                <w:sz w:val="18"/>
                <w:szCs w:val="18"/>
              </w:rPr>
            </w:pPr>
            <w:r>
              <w:rPr>
                <w:sz w:val="18"/>
                <w:szCs w:val="18"/>
              </w:rPr>
              <w:t>Licini, 2020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125b-5p</w:t>
            </w:r>
          </w:p>
        </w:tc>
        <w:tc>
          <w:tcPr>
            <w:tcW w:w="2905" w:type="dxa"/>
          </w:tcPr>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Urine</w:t>
            </w:r>
          </w:p>
          <w:p w:rsidR="00E409EB" w:rsidRDefault="00E409EB" w:rsidP="009B2A14">
            <w:pPr>
              <w:spacing w:after="0"/>
              <w:jc w:val="center"/>
              <w:rPr>
                <w:color w:val="000000"/>
                <w:sz w:val="18"/>
                <w:szCs w:val="18"/>
              </w:rPr>
            </w:pPr>
            <w:r>
              <w:rPr>
                <w:color w:val="000000"/>
                <w:sz w:val="18"/>
                <w:szCs w:val="18"/>
              </w:rPr>
              <w:t>MPB (plasma)</w:t>
            </w:r>
          </w:p>
          <w:p w:rsidR="00362934" w:rsidRPr="00AE43D1" w:rsidRDefault="00362934"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No difference</w:t>
            </w:r>
          </w:p>
          <w:p w:rsidR="00E409EB" w:rsidRDefault="00E409EB" w:rsidP="009B2A14">
            <w:pPr>
              <w:spacing w:after="0"/>
              <w:jc w:val="center"/>
              <w:rPr>
                <w:color w:val="000000"/>
                <w:sz w:val="18"/>
                <w:szCs w:val="18"/>
              </w:rPr>
            </w:pPr>
            <w:r>
              <w:rPr>
                <w:color w:val="000000"/>
                <w:sz w:val="18"/>
                <w:szCs w:val="18"/>
              </w:rPr>
              <w:t>No difference</w:t>
            </w:r>
          </w:p>
          <w:p w:rsidR="00362934" w:rsidRDefault="0036293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E409EB" w:rsidRDefault="00E409EB" w:rsidP="009B2A14">
            <w:pPr>
              <w:spacing w:after="0"/>
              <w:jc w:val="center"/>
              <w:rPr>
                <w:color w:val="000000"/>
                <w:sz w:val="18"/>
                <w:szCs w:val="18"/>
              </w:rPr>
            </w:pPr>
            <w:r>
              <w:rPr>
                <w:color w:val="000000"/>
                <w:sz w:val="18"/>
                <w:szCs w:val="18"/>
              </w:rPr>
              <w:t>No</w:t>
            </w:r>
          </w:p>
          <w:p w:rsidR="00362934" w:rsidRDefault="0036293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86</w:t>
            </w:r>
          </w:p>
          <w:p w:rsidR="009B2A14" w:rsidRDefault="009B2A14" w:rsidP="009B2A14">
            <w:pPr>
              <w:spacing w:after="0"/>
              <w:jc w:val="center"/>
              <w:rPr>
                <w:sz w:val="18"/>
                <w:szCs w:val="18"/>
              </w:rPr>
            </w:pPr>
            <w:r>
              <w:rPr>
                <w:sz w:val="18"/>
                <w:szCs w:val="18"/>
              </w:rPr>
              <w:t>86</w:t>
            </w:r>
          </w:p>
          <w:p w:rsidR="00E409EB" w:rsidRDefault="00E409EB" w:rsidP="009B2A14">
            <w:pPr>
              <w:spacing w:after="0"/>
              <w:jc w:val="center"/>
              <w:rPr>
                <w:sz w:val="18"/>
                <w:szCs w:val="18"/>
              </w:rPr>
            </w:pPr>
            <w:r>
              <w:rPr>
                <w:sz w:val="18"/>
                <w:szCs w:val="18"/>
              </w:rPr>
              <w:t>Akgor 2020</w:t>
            </w:r>
          </w:p>
          <w:p w:rsidR="00362934" w:rsidRDefault="00362934" w:rsidP="009B2A14">
            <w:pPr>
              <w:spacing w:after="0"/>
              <w:jc w:val="center"/>
              <w:rPr>
                <w:sz w:val="18"/>
                <w:szCs w:val="18"/>
              </w:rPr>
            </w:pPr>
            <w:r>
              <w:rPr>
                <w:sz w:val="18"/>
                <w:szCs w:val="18"/>
              </w:rPr>
              <w:t>Li Q 2020</w:t>
            </w:r>
          </w:p>
        </w:tc>
      </w:tr>
      <w:tr w:rsidR="009B2A14" w:rsidRPr="00DE5B46" w:rsidTr="0056680A">
        <w:trPr>
          <w:cantSplit/>
          <w:jc w:val="center"/>
        </w:trPr>
        <w:tc>
          <w:tcPr>
            <w:tcW w:w="0" w:type="auto"/>
            <w:vAlign w:val="bottom"/>
          </w:tcPr>
          <w:p w:rsidR="009B2A14" w:rsidRDefault="009B2A14" w:rsidP="009B2A14">
            <w:pPr>
              <w:spacing w:after="0"/>
              <w:jc w:val="center"/>
              <w:rPr>
                <w:color w:val="000000"/>
                <w:sz w:val="18"/>
                <w:szCs w:val="18"/>
              </w:rPr>
            </w:pPr>
            <w:r>
              <w:rPr>
                <w:color w:val="000000"/>
                <w:sz w:val="18"/>
                <w:szCs w:val="18"/>
              </w:rPr>
              <w:t>125b-2-3p</w:t>
            </w:r>
          </w:p>
        </w:tc>
        <w:tc>
          <w:tcPr>
            <w:tcW w:w="2905" w:type="dxa"/>
          </w:tcPr>
          <w:p w:rsidR="009B2A14"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146a</w:t>
            </w:r>
          </w:p>
        </w:tc>
        <w:tc>
          <w:tcPr>
            <w:tcW w:w="2905" w:type="dxa"/>
          </w:tcPr>
          <w:p w:rsidR="009B2A14" w:rsidRDefault="009B2A14" w:rsidP="009B2A14">
            <w:pPr>
              <w:tabs>
                <w:tab w:val="center" w:pos="1365"/>
                <w:tab w:val="right" w:pos="2731"/>
              </w:tabs>
              <w:spacing w:after="0"/>
              <w:jc w:val="center"/>
              <w:rPr>
                <w:color w:val="000000"/>
                <w:sz w:val="18"/>
                <w:szCs w:val="18"/>
              </w:rPr>
            </w:pPr>
            <w:r w:rsidRPr="00AE43D1">
              <w:rPr>
                <w:color w:val="000000"/>
                <w:sz w:val="18"/>
                <w:szCs w:val="18"/>
              </w:rPr>
              <w:t>MPB (plasma)</w:t>
            </w:r>
          </w:p>
          <w:p w:rsidR="009B2A14" w:rsidRDefault="009B2A14" w:rsidP="009B2A14">
            <w:pPr>
              <w:tabs>
                <w:tab w:val="center" w:pos="1365"/>
                <w:tab w:val="right" w:pos="2731"/>
              </w:tabs>
              <w:spacing w:after="0"/>
              <w:jc w:val="center"/>
              <w:rPr>
                <w:color w:val="000000"/>
                <w:sz w:val="18"/>
                <w:szCs w:val="18"/>
              </w:rPr>
            </w:pPr>
            <w:r>
              <w:rPr>
                <w:color w:val="000000"/>
                <w:sz w:val="18"/>
                <w:szCs w:val="18"/>
              </w:rPr>
              <w:t>MPB</w:t>
            </w:r>
          </w:p>
          <w:p w:rsidR="009B2A14" w:rsidRDefault="009B2A14" w:rsidP="009B2A14">
            <w:pPr>
              <w:tabs>
                <w:tab w:val="center" w:pos="1365"/>
                <w:tab w:val="right" w:pos="2731"/>
              </w:tabs>
              <w:spacing w:after="0"/>
              <w:jc w:val="center"/>
              <w:rPr>
                <w:color w:val="000000"/>
                <w:sz w:val="18"/>
                <w:szCs w:val="18"/>
              </w:rPr>
            </w:pPr>
          </w:p>
          <w:p w:rsidR="009B2A14" w:rsidRDefault="009B2A14" w:rsidP="009B2A14">
            <w:pPr>
              <w:tabs>
                <w:tab w:val="center" w:pos="1365"/>
                <w:tab w:val="right" w:pos="2731"/>
              </w:tabs>
              <w:spacing w:after="0"/>
              <w:jc w:val="cente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32</w:t>
            </w: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146a-5p</w:t>
            </w:r>
          </w:p>
        </w:tc>
        <w:tc>
          <w:tcPr>
            <w:tcW w:w="2905" w:type="dxa"/>
          </w:tcPr>
          <w:p w:rsidR="009B2A14" w:rsidRDefault="009B2A14" w:rsidP="009B2A14">
            <w:pPr>
              <w:tabs>
                <w:tab w:val="center" w:pos="1365"/>
                <w:tab w:val="right" w:pos="2731"/>
              </w:tabs>
              <w:spacing w:after="0"/>
              <w:jc w:val="center"/>
              <w:rPr>
                <w:color w:val="000000"/>
                <w:sz w:val="18"/>
                <w:szCs w:val="18"/>
              </w:rPr>
            </w:pPr>
            <w:r>
              <w:rPr>
                <w:color w:val="000000"/>
                <w:sz w:val="18"/>
                <w:szCs w:val="18"/>
              </w:rPr>
              <w:t>MPB (whole blood)</w:t>
            </w:r>
          </w:p>
          <w:p w:rsidR="009B2A14" w:rsidRDefault="009B2A14" w:rsidP="009B2A14">
            <w:pPr>
              <w:tabs>
                <w:tab w:val="center" w:pos="1365"/>
                <w:tab w:val="right" w:pos="2731"/>
              </w:tabs>
              <w:spacing w:after="0"/>
              <w:jc w:val="center"/>
              <w:rPr>
                <w:color w:val="000000"/>
                <w:sz w:val="18"/>
                <w:szCs w:val="18"/>
              </w:rPr>
            </w:pPr>
            <w:r>
              <w:rPr>
                <w:color w:val="000000"/>
                <w:sz w:val="18"/>
                <w:szCs w:val="18"/>
              </w:rPr>
              <w:t>MPB</w:t>
            </w:r>
          </w:p>
          <w:p w:rsidR="00F24FA2" w:rsidRPr="00AE43D1" w:rsidRDefault="00F24FA2" w:rsidP="009B2A14">
            <w:pPr>
              <w:tabs>
                <w:tab w:val="center" w:pos="1365"/>
                <w:tab w:val="right" w:pos="2731"/>
              </w:tabs>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No difference</w:t>
            </w:r>
          </w:p>
          <w:p w:rsidR="00F24FA2" w:rsidRDefault="00F24FA2"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F24FA2" w:rsidRDefault="00F24FA2"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66</w:t>
            </w:r>
          </w:p>
          <w:p w:rsidR="009B2A14" w:rsidRDefault="009B2A14" w:rsidP="009B2A14">
            <w:pPr>
              <w:spacing w:after="0"/>
              <w:jc w:val="center"/>
              <w:rPr>
                <w:sz w:val="18"/>
                <w:szCs w:val="18"/>
              </w:rPr>
            </w:pPr>
            <w:r>
              <w:rPr>
                <w:sz w:val="18"/>
                <w:szCs w:val="18"/>
              </w:rPr>
              <w:t>158</w:t>
            </w:r>
          </w:p>
          <w:p w:rsidR="00F24FA2" w:rsidRDefault="00F24FA2" w:rsidP="009B2A14">
            <w:pPr>
              <w:spacing w:after="0"/>
              <w:jc w:val="center"/>
              <w:rPr>
                <w:sz w:val="18"/>
                <w:szCs w:val="18"/>
              </w:rPr>
            </w:pPr>
            <w:r>
              <w:rPr>
                <w:sz w:val="18"/>
                <w:szCs w:val="18"/>
              </w:rPr>
              <w:t>Peng 2021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lastRenderedPageBreak/>
              <w:t>196b</w:t>
            </w:r>
          </w:p>
        </w:tc>
        <w:tc>
          <w:tcPr>
            <w:tcW w:w="2905" w:type="dxa"/>
          </w:tcPr>
          <w:p w:rsidR="009B2A14" w:rsidRDefault="009B2A14" w:rsidP="009B2A14">
            <w:pPr>
              <w:spacing w:after="0"/>
              <w:jc w:val="center"/>
              <w:rPr>
                <w:color w:val="000000"/>
                <w:sz w:val="18"/>
                <w:szCs w:val="18"/>
              </w:rPr>
            </w:pPr>
            <w:r w:rsidRPr="00AE43D1">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pPr>
            <w:r>
              <w:rPr>
                <w:color w:val="000000"/>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32</w:t>
            </w:r>
          </w:p>
          <w:p w:rsidR="009B2A14" w:rsidRDefault="009B2A14" w:rsidP="009B2A14">
            <w:pPr>
              <w:spacing w:after="0"/>
              <w:jc w:val="center"/>
              <w:rPr>
                <w:sz w:val="18"/>
                <w:szCs w:val="18"/>
              </w:rPr>
            </w:pPr>
            <w:r>
              <w:rPr>
                <w:sz w:val="18"/>
                <w:szCs w:val="18"/>
              </w:rPr>
              <w:t>48</w:t>
            </w:r>
          </w:p>
          <w:p w:rsidR="009B2A14" w:rsidRPr="00DE5B46" w:rsidRDefault="009B2A14" w:rsidP="009B2A14">
            <w:pPr>
              <w:spacing w:after="0"/>
              <w:jc w:val="center"/>
              <w:rPr>
                <w:sz w:val="18"/>
                <w:szCs w:val="18"/>
              </w:rPr>
            </w:pPr>
            <w:r>
              <w:rPr>
                <w:sz w:val="18"/>
                <w:szCs w:val="18"/>
              </w:rPr>
              <w:t>153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181b</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33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34a</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34</w:t>
            </w:r>
          </w:p>
          <w:p w:rsidR="009B2A14" w:rsidRDefault="009B2A14" w:rsidP="009B2A14">
            <w:pPr>
              <w:spacing w:after="0"/>
              <w:jc w:val="center"/>
              <w:rPr>
                <w:sz w:val="18"/>
                <w:szCs w:val="18"/>
              </w:rPr>
            </w:pPr>
            <w:r>
              <w:rPr>
                <w:sz w:val="18"/>
                <w:szCs w:val="18"/>
              </w:rPr>
              <w:t>62</w:t>
            </w:r>
          </w:p>
          <w:p w:rsidR="009B2A14" w:rsidRPr="00DE5B46" w:rsidRDefault="009B2A14" w:rsidP="009B2A14">
            <w:pPr>
              <w:spacing w:after="0"/>
              <w:jc w:val="center"/>
              <w:rPr>
                <w:sz w:val="18"/>
                <w:szCs w:val="18"/>
              </w:rPr>
            </w:pPr>
            <w:r>
              <w:rPr>
                <w:sz w:val="18"/>
                <w:szCs w:val="18"/>
              </w:rPr>
              <w:t>90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34a-5p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MPB (serum)</w:t>
            </w:r>
          </w:p>
        </w:tc>
        <w:tc>
          <w:tcPr>
            <w:tcW w:w="2976" w:type="dxa"/>
            <w:vAlign w:val="bottom"/>
          </w:tcPr>
          <w:p w:rsidR="009B2A14" w:rsidRDefault="009B2A14" w:rsidP="009B2A14">
            <w:pPr>
              <w:spacing w:after="0"/>
              <w:jc w:val="center"/>
              <w:rPr>
                <w:color w:val="000000"/>
                <w:sz w:val="18"/>
                <w:szCs w:val="18"/>
              </w:rPr>
            </w:pPr>
            <w:r>
              <w:rPr>
                <w:color w:val="000000"/>
                <w:sz w:val="18"/>
                <w:szCs w:val="18"/>
              </w:rPr>
              <w:t>Up in PE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185</w:t>
            </w:r>
          </w:p>
          <w:p w:rsidR="009B2A14" w:rsidRDefault="009B2A14" w:rsidP="009B2A14">
            <w:pPr>
              <w:spacing w:after="0"/>
              <w:jc w:val="center"/>
              <w:rPr>
                <w:sz w:val="18"/>
                <w:szCs w:val="18"/>
              </w:rPr>
            </w:pPr>
            <w:r>
              <w:rPr>
                <w:sz w:val="18"/>
                <w:szCs w:val="18"/>
              </w:rPr>
              <w:t>185</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455-5p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Placenta (trophoblast debris)</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9B2A14" w:rsidRPr="00585202"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36</w:t>
            </w:r>
          </w:p>
          <w:p w:rsidR="009B2A14" w:rsidRPr="00DE5B46" w:rsidRDefault="009B2A14" w:rsidP="009B2A14">
            <w:pPr>
              <w:spacing w:after="0"/>
              <w:jc w:val="center"/>
              <w:rPr>
                <w:sz w:val="18"/>
                <w:szCs w:val="18"/>
              </w:rPr>
            </w:pPr>
            <w:r>
              <w:rPr>
                <w:sz w:val="18"/>
                <w:szCs w:val="18"/>
              </w:rPr>
              <w:t>113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455-3p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36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517a</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36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1233</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Pr="00DE5B46" w:rsidRDefault="009B2A14" w:rsidP="009B2A14">
            <w:pPr>
              <w:spacing w:after="0"/>
              <w:jc w:val="center"/>
              <w:rPr>
                <w:sz w:val="18"/>
                <w:szCs w:val="18"/>
              </w:rPr>
            </w:pPr>
            <w:r>
              <w:rPr>
                <w:sz w:val="18"/>
                <w:szCs w:val="18"/>
              </w:rPr>
              <w:t>41</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1233-3p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1233-5p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101</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47</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206</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Myometrium</w:t>
            </w:r>
          </w:p>
          <w:p w:rsidR="009B2A14" w:rsidRDefault="009B2A14" w:rsidP="009B2A14">
            <w:pPr>
              <w:spacing w:after="0"/>
              <w:jc w:val="center"/>
              <w:rPr>
                <w:color w:val="000000"/>
                <w:sz w:val="18"/>
                <w:szCs w:val="18"/>
              </w:rPr>
            </w:pPr>
            <w:r>
              <w:rPr>
                <w:color w:val="000000"/>
                <w:sz w:val="18"/>
                <w:szCs w:val="18"/>
              </w:rPr>
              <w:t>MPB (serum)</w:t>
            </w:r>
          </w:p>
          <w:p w:rsidR="00836DE5" w:rsidRPr="00DE5B46" w:rsidRDefault="00836DE5"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Up in PE</w:t>
            </w:r>
          </w:p>
          <w:p w:rsidR="00836DE5" w:rsidRPr="00DE5B46" w:rsidRDefault="00836DE5"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Yes</w:t>
            </w:r>
          </w:p>
          <w:p w:rsidR="00836DE5" w:rsidRPr="00DE5B46" w:rsidRDefault="00836DE5"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48</w:t>
            </w:r>
          </w:p>
          <w:p w:rsidR="009B2A14" w:rsidRDefault="009B2A14" w:rsidP="009B2A14">
            <w:pPr>
              <w:spacing w:after="0"/>
              <w:jc w:val="center"/>
              <w:rPr>
                <w:sz w:val="18"/>
                <w:szCs w:val="18"/>
              </w:rPr>
            </w:pPr>
            <w:r>
              <w:rPr>
                <w:sz w:val="18"/>
                <w:szCs w:val="18"/>
              </w:rPr>
              <w:t>48</w:t>
            </w:r>
          </w:p>
          <w:p w:rsidR="009B2A14" w:rsidRDefault="009B2A14" w:rsidP="009B2A14">
            <w:pPr>
              <w:spacing w:after="0"/>
              <w:jc w:val="center"/>
              <w:rPr>
                <w:sz w:val="18"/>
                <w:szCs w:val="18"/>
              </w:rPr>
            </w:pPr>
            <w:r>
              <w:rPr>
                <w:sz w:val="18"/>
                <w:szCs w:val="18"/>
              </w:rPr>
              <w:t>48</w:t>
            </w:r>
          </w:p>
          <w:p w:rsidR="009B2A14" w:rsidRDefault="009B2A14" w:rsidP="009B2A14">
            <w:pPr>
              <w:spacing w:after="0"/>
              <w:jc w:val="center"/>
              <w:rPr>
                <w:sz w:val="18"/>
                <w:szCs w:val="18"/>
              </w:rPr>
            </w:pPr>
            <w:r>
              <w:rPr>
                <w:sz w:val="18"/>
                <w:szCs w:val="18"/>
              </w:rPr>
              <w:t>167</w:t>
            </w:r>
          </w:p>
          <w:p w:rsidR="00836DE5" w:rsidRPr="00DE5B46" w:rsidRDefault="00836DE5" w:rsidP="009B2A14">
            <w:pPr>
              <w:spacing w:after="0"/>
              <w:jc w:val="center"/>
              <w:rPr>
                <w:sz w:val="18"/>
                <w:szCs w:val="18"/>
              </w:rPr>
            </w:pPr>
            <w:r>
              <w:rPr>
                <w:sz w:val="18"/>
                <w:szCs w:val="18"/>
              </w:rPr>
              <w:t>Sheng 2020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502</w:t>
            </w:r>
          </w:p>
        </w:tc>
        <w:tc>
          <w:tcPr>
            <w:tcW w:w="2905" w:type="dxa"/>
          </w:tcPr>
          <w:p w:rsidR="009B2A14" w:rsidRDefault="009B2A14" w:rsidP="009B2A14">
            <w:pPr>
              <w:spacing w:after="0"/>
              <w:jc w:val="center"/>
            </w:pPr>
            <w:r w:rsidRPr="0014098F">
              <w:rPr>
                <w:color w:val="000000"/>
                <w:sz w:val="18"/>
                <w:szCs w:val="18"/>
              </w:rPr>
              <w:t>MPB (plasma)</w:t>
            </w:r>
          </w:p>
        </w:tc>
        <w:tc>
          <w:tcPr>
            <w:tcW w:w="2976" w:type="dxa"/>
          </w:tcPr>
          <w:p w:rsidR="009B2A14" w:rsidRDefault="009B2A14" w:rsidP="009B2A14">
            <w:pPr>
              <w:spacing w:after="0"/>
              <w:jc w:val="center"/>
            </w:pPr>
            <w:r w:rsidRPr="00352A05">
              <w:rPr>
                <w:color w:val="000000"/>
                <w:sz w:val="18"/>
                <w:szCs w:val="18"/>
              </w:rPr>
              <w:t>No difference</w:t>
            </w:r>
          </w:p>
        </w:tc>
        <w:tc>
          <w:tcPr>
            <w:tcW w:w="709" w:type="dxa"/>
          </w:tcPr>
          <w:p w:rsidR="009B2A14" w:rsidRDefault="009B2A14" w:rsidP="009B2A14">
            <w:pPr>
              <w:spacing w:after="0"/>
              <w:jc w:val="center"/>
            </w:pPr>
            <w:r w:rsidRPr="00E91B8E">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48</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503</w:t>
            </w:r>
          </w:p>
        </w:tc>
        <w:tc>
          <w:tcPr>
            <w:tcW w:w="2905" w:type="dxa"/>
          </w:tcPr>
          <w:p w:rsidR="009B2A14" w:rsidRDefault="009B2A14" w:rsidP="009B2A14">
            <w:pPr>
              <w:spacing w:after="0"/>
              <w:jc w:val="center"/>
            </w:pPr>
            <w:r w:rsidRPr="0014098F">
              <w:rPr>
                <w:color w:val="000000"/>
                <w:sz w:val="18"/>
                <w:szCs w:val="18"/>
              </w:rPr>
              <w:t>MPB (plasma)</w:t>
            </w:r>
          </w:p>
        </w:tc>
        <w:tc>
          <w:tcPr>
            <w:tcW w:w="2976" w:type="dxa"/>
          </w:tcPr>
          <w:p w:rsidR="009B2A14" w:rsidRDefault="009B2A14" w:rsidP="009B2A14">
            <w:pPr>
              <w:spacing w:after="0"/>
              <w:jc w:val="center"/>
            </w:pPr>
            <w:r w:rsidRPr="00352A05">
              <w:rPr>
                <w:color w:val="000000"/>
                <w:sz w:val="18"/>
                <w:szCs w:val="18"/>
              </w:rPr>
              <w:t>No difference</w:t>
            </w:r>
          </w:p>
        </w:tc>
        <w:tc>
          <w:tcPr>
            <w:tcW w:w="709" w:type="dxa"/>
          </w:tcPr>
          <w:p w:rsidR="009B2A14" w:rsidRDefault="009B2A14" w:rsidP="009B2A14">
            <w:pPr>
              <w:spacing w:after="0"/>
              <w:jc w:val="center"/>
            </w:pPr>
            <w:r w:rsidRPr="00E91B8E">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48</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758</w:t>
            </w:r>
          </w:p>
        </w:tc>
        <w:tc>
          <w:tcPr>
            <w:tcW w:w="2905" w:type="dxa"/>
          </w:tcPr>
          <w:p w:rsidR="009B2A14" w:rsidRDefault="009B2A14" w:rsidP="009B2A14">
            <w:pPr>
              <w:spacing w:after="0"/>
              <w:jc w:val="center"/>
            </w:pPr>
            <w:r w:rsidRPr="0014098F">
              <w:rPr>
                <w:color w:val="000000"/>
                <w:sz w:val="18"/>
                <w:szCs w:val="18"/>
              </w:rPr>
              <w:t>MPB (plasma)</w:t>
            </w:r>
          </w:p>
        </w:tc>
        <w:tc>
          <w:tcPr>
            <w:tcW w:w="2976" w:type="dxa"/>
          </w:tcPr>
          <w:p w:rsidR="009B2A14" w:rsidRDefault="009B2A14" w:rsidP="009B2A14">
            <w:pPr>
              <w:spacing w:after="0"/>
              <w:jc w:val="center"/>
            </w:pPr>
            <w:r w:rsidRPr="00352A05">
              <w:rPr>
                <w:color w:val="000000"/>
                <w:sz w:val="18"/>
                <w:szCs w:val="18"/>
              </w:rPr>
              <w:t>No difference</w:t>
            </w:r>
          </w:p>
        </w:tc>
        <w:tc>
          <w:tcPr>
            <w:tcW w:w="709" w:type="dxa"/>
          </w:tcPr>
          <w:p w:rsidR="009B2A14" w:rsidRDefault="009B2A14" w:rsidP="009B2A14">
            <w:pPr>
              <w:spacing w:after="0"/>
              <w:jc w:val="center"/>
            </w:pPr>
            <w:r w:rsidRPr="00E91B8E">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48</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494</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 (deciduas MSCs)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50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499-5p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MPB (whole blood)</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52</w:t>
            </w:r>
          </w:p>
          <w:p w:rsidR="009B2A14" w:rsidRPr="00DE5B46" w:rsidRDefault="009B2A14" w:rsidP="009B2A14">
            <w:pPr>
              <w:spacing w:after="0"/>
              <w:jc w:val="center"/>
              <w:rPr>
                <w:sz w:val="18"/>
                <w:szCs w:val="18"/>
              </w:rPr>
            </w:pPr>
            <w:r>
              <w:rPr>
                <w:sz w:val="18"/>
                <w:szCs w:val="18"/>
              </w:rPr>
              <w:t>66</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499a-5p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158</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519a</w:t>
            </w:r>
          </w:p>
        </w:tc>
        <w:tc>
          <w:tcPr>
            <w:tcW w:w="2905" w:type="dxa"/>
          </w:tcPr>
          <w:p w:rsidR="009B2A14" w:rsidRDefault="009B2A14" w:rsidP="009B2A14">
            <w:pPr>
              <w:spacing w:after="0"/>
              <w:jc w:val="center"/>
            </w:pPr>
            <w:r w:rsidRPr="0076795A">
              <w:rPr>
                <w:color w:val="000000"/>
                <w:sz w:val="18"/>
                <w:szCs w:val="18"/>
              </w:rPr>
              <w:t>Placenta</w:t>
            </w:r>
          </w:p>
        </w:tc>
        <w:tc>
          <w:tcPr>
            <w:tcW w:w="2976" w:type="dxa"/>
            <w:vAlign w:val="bottom"/>
          </w:tcPr>
          <w:p w:rsidR="009B2A14" w:rsidRPr="00585202" w:rsidRDefault="009B2A14" w:rsidP="009B2A14">
            <w:pPr>
              <w:spacing w:after="0"/>
              <w:jc w:val="center"/>
              <w:rPr>
                <w:color w:val="000000"/>
                <w:sz w:val="18"/>
                <w:szCs w:val="18"/>
              </w:rPr>
            </w:pPr>
            <w:r w:rsidRPr="00585202">
              <w:rPr>
                <w:color w:val="000000"/>
                <w:sz w:val="18"/>
                <w:szCs w:val="18"/>
              </w:rPr>
              <w:t>Down in PE</w:t>
            </w:r>
          </w:p>
        </w:tc>
        <w:tc>
          <w:tcPr>
            <w:tcW w:w="709" w:type="dxa"/>
            <w:vAlign w:val="bottom"/>
          </w:tcPr>
          <w:p w:rsidR="009B2A14" w:rsidRPr="00585202" w:rsidRDefault="009B2A14" w:rsidP="009B2A14">
            <w:pPr>
              <w:spacing w:after="0"/>
              <w:jc w:val="center"/>
              <w:rPr>
                <w:color w:val="000000"/>
                <w:sz w:val="18"/>
                <w:szCs w:val="18"/>
              </w:rPr>
            </w:pPr>
            <w:r w:rsidRPr="00585202">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53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519d</w:t>
            </w:r>
          </w:p>
        </w:tc>
        <w:tc>
          <w:tcPr>
            <w:tcW w:w="2905" w:type="dxa"/>
          </w:tcPr>
          <w:p w:rsidR="009B2A14" w:rsidRDefault="009B2A14" w:rsidP="009B2A14">
            <w:pPr>
              <w:spacing w:after="0"/>
              <w:jc w:val="center"/>
              <w:rPr>
                <w:color w:val="000000"/>
                <w:sz w:val="18"/>
                <w:szCs w:val="18"/>
              </w:rPr>
            </w:pPr>
            <w:r w:rsidRPr="0076795A">
              <w:rPr>
                <w:color w:val="000000"/>
                <w:sz w:val="18"/>
                <w:szCs w:val="18"/>
              </w:rPr>
              <w:t>Placenta</w:t>
            </w:r>
          </w:p>
          <w:p w:rsidR="00855D4A" w:rsidRDefault="00855D4A" w:rsidP="009B2A14">
            <w:pPr>
              <w:spacing w:after="0"/>
              <w:jc w:val="center"/>
            </w:pPr>
            <w:r>
              <w:rPr>
                <w:color w:val="000000"/>
                <w:sz w:val="18"/>
                <w:szCs w:val="18"/>
              </w:rPr>
              <w:t>Placenta</w:t>
            </w:r>
          </w:p>
        </w:tc>
        <w:tc>
          <w:tcPr>
            <w:tcW w:w="2976" w:type="dxa"/>
            <w:vAlign w:val="bottom"/>
          </w:tcPr>
          <w:p w:rsidR="009B2A14" w:rsidRDefault="009B2A14" w:rsidP="009B2A14">
            <w:pPr>
              <w:spacing w:after="0"/>
              <w:jc w:val="center"/>
              <w:rPr>
                <w:color w:val="000000"/>
                <w:sz w:val="18"/>
                <w:szCs w:val="18"/>
              </w:rPr>
            </w:pPr>
            <w:r w:rsidRPr="00585202">
              <w:rPr>
                <w:color w:val="000000"/>
                <w:sz w:val="18"/>
                <w:szCs w:val="18"/>
              </w:rPr>
              <w:t>Down in PE</w:t>
            </w:r>
          </w:p>
          <w:p w:rsidR="00855D4A" w:rsidRPr="00585202" w:rsidRDefault="00855D4A" w:rsidP="009B2A14">
            <w:pPr>
              <w:spacing w:after="0"/>
              <w:jc w:val="center"/>
              <w:rPr>
                <w:color w:val="000000"/>
                <w:sz w:val="18"/>
                <w:szCs w:val="18"/>
              </w:rPr>
            </w:pPr>
            <w:r>
              <w:rPr>
                <w:color w:val="000000"/>
                <w:sz w:val="18"/>
                <w:szCs w:val="18"/>
              </w:rPr>
              <w:t>Down in PE</w:t>
            </w:r>
          </w:p>
        </w:tc>
        <w:tc>
          <w:tcPr>
            <w:tcW w:w="709" w:type="dxa"/>
            <w:vAlign w:val="bottom"/>
          </w:tcPr>
          <w:p w:rsidR="009B2A14" w:rsidRDefault="00855D4A" w:rsidP="009B2A14">
            <w:pPr>
              <w:spacing w:after="0"/>
              <w:jc w:val="center"/>
              <w:rPr>
                <w:color w:val="000000"/>
                <w:sz w:val="18"/>
                <w:szCs w:val="18"/>
              </w:rPr>
            </w:pPr>
            <w:r w:rsidRPr="00585202">
              <w:rPr>
                <w:color w:val="000000"/>
                <w:sz w:val="18"/>
                <w:szCs w:val="18"/>
              </w:rPr>
              <w:t>Y</w:t>
            </w:r>
            <w:r w:rsidR="009B2A14" w:rsidRPr="00585202">
              <w:rPr>
                <w:color w:val="000000"/>
                <w:sz w:val="18"/>
                <w:szCs w:val="18"/>
              </w:rPr>
              <w:t>es</w:t>
            </w:r>
          </w:p>
          <w:p w:rsidR="00855D4A" w:rsidRPr="00585202" w:rsidRDefault="00855D4A"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53</w:t>
            </w:r>
          </w:p>
          <w:p w:rsidR="00855D4A" w:rsidRPr="00DE5B46" w:rsidRDefault="00855D4A" w:rsidP="009B2A14">
            <w:pPr>
              <w:spacing w:after="0"/>
              <w:jc w:val="center"/>
              <w:rPr>
                <w:sz w:val="18"/>
                <w:szCs w:val="18"/>
              </w:rPr>
            </w:pPr>
            <w:r>
              <w:rPr>
                <w:sz w:val="18"/>
                <w:szCs w:val="18"/>
              </w:rPr>
              <w:t>Cai 2021</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524-5p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53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335</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55</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335-5p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lastRenderedPageBreak/>
              <w:t>155</w:t>
            </w:r>
          </w:p>
        </w:tc>
        <w:tc>
          <w:tcPr>
            <w:tcW w:w="2905" w:type="dxa"/>
          </w:tcPr>
          <w:p w:rsidR="009B2A14" w:rsidRPr="00884FBF" w:rsidRDefault="009B2A14" w:rsidP="009B2A14">
            <w:pPr>
              <w:spacing w:after="0"/>
              <w:jc w:val="center"/>
              <w:rPr>
                <w:color w:val="000000"/>
                <w:sz w:val="18"/>
                <w:szCs w:val="18"/>
              </w:rPr>
            </w:pPr>
            <w:r w:rsidRPr="00884FBF">
              <w:rPr>
                <w:color w:val="000000"/>
                <w:sz w:val="18"/>
                <w:szCs w:val="18"/>
              </w:rPr>
              <w:t>Placenta</w:t>
            </w:r>
          </w:p>
          <w:p w:rsidR="009B2A14" w:rsidRPr="00884FBF" w:rsidRDefault="009B2A14" w:rsidP="009B2A14">
            <w:pPr>
              <w:spacing w:after="0"/>
              <w:jc w:val="center"/>
              <w:rPr>
                <w:color w:val="000000"/>
                <w:sz w:val="18"/>
                <w:szCs w:val="18"/>
              </w:rPr>
            </w:pPr>
            <w:r w:rsidRPr="00884FBF">
              <w:rPr>
                <w:color w:val="000000"/>
                <w:sz w:val="18"/>
                <w:szCs w:val="18"/>
              </w:rPr>
              <w:t>MPB</w:t>
            </w:r>
          </w:p>
          <w:p w:rsidR="009B2A14" w:rsidRPr="00884FBF" w:rsidRDefault="009B2A14" w:rsidP="009B2A14">
            <w:pPr>
              <w:spacing w:after="0"/>
              <w:jc w:val="center"/>
              <w:rPr>
                <w:color w:val="000000"/>
                <w:sz w:val="18"/>
                <w:szCs w:val="18"/>
              </w:rPr>
            </w:pPr>
          </w:p>
          <w:p w:rsidR="009B2A14" w:rsidRPr="00884FBF" w:rsidRDefault="009B2A14" w:rsidP="009B2A14">
            <w:pPr>
              <w:spacing w:after="0"/>
              <w:jc w:val="center"/>
              <w:rPr>
                <w:color w:val="000000"/>
                <w:sz w:val="18"/>
                <w:szCs w:val="18"/>
              </w:rPr>
            </w:pPr>
            <w:r w:rsidRPr="00884FBF">
              <w:rPr>
                <w:color w:val="000000"/>
                <w:sz w:val="18"/>
                <w:szCs w:val="18"/>
              </w:rPr>
              <w:t>MPB</w:t>
            </w:r>
          </w:p>
          <w:p w:rsidR="009B2A14" w:rsidRPr="00884FBF" w:rsidRDefault="009B2A14" w:rsidP="009B2A14">
            <w:pPr>
              <w:spacing w:after="0"/>
              <w:jc w:val="center"/>
              <w:rPr>
                <w:color w:val="000000"/>
                <w:sz w:val="18"/>
                <w:szCs w:val="18"/>
              </w:rPr>
            </w:pPr>
          </w:p>
          <w:p w:rsidR="009B2A14" w:rsidRPr="00884FBF" w:rsidRDefault="009B2A14" w:rsidP="009B2A14">
            <w:pPr>
              <w:spacing w:after="0"/>
              <w:jc w:val="center"/>
              <w:rPr>
                <w:color w:val="000000"/>
                <w:sz w:val="18"/>
                <w:szCs w:val="18"/>
              </w:rPr>
            </w:pPr>
            <w:r w:rsidRPr="00884FBF">
              <w:rPr>
                <w:color w:val="000000"/>
                <w:sz w:val="18"/>
                <w:szCs w:val="18"/>
              </w:rPr>
              <w:t>MPB (serum)</w:t>
            </w:r>
          </w:p>
          <w:p w:rsidR="009B2A14" w:rsidRPr="00884FBF" w:rsidRDefault="009B2A14" w:rsidP="009B2A14">
            <w:pPr>
              <w:spacing w:after="0"/>
              <w:jc w:val="center"/>
              <w:rPr>
                <w:color w:val="000000"/>
                <w:sz w:val="18"/>
                <w:szCs w:val="18"/>
              </w:rPr>
            </w:pPr>
            <w:r w:rsidRPr="00884FBF">
              <w:rPr>
                <w:color w:val="000000"/>
                <w:sz w:val="18"/>
                <w:szCs w:val="18"/>
              </w:rPr>
              <w:t>Urine</w:t>
            </w:r>
          </w:p>
          <w:p w:rsidR="009B2A14" w:rsidRPr="00884FBF" w:rsidRDefault="009B2A14" w:rsidP="009B2A14">
            <w:pPr>
              <w:spacing w:after="0"/>
              <w:jc w:val="center"/>
              <w:rPr>
                <w:color w:val="000000"/>
                <w:sz w:val="18"/>
                <w:szCs w:val="18"/>
              </w:rPr>
            </w:pPr>
            <w:r w:rsidRPr="00884FBF">
              <w:rPr>
                <w:color w:val="000000"/>
                <w:sz w:val="18"/>
                <w:szCs w:val="18"/>
              </w:rPr>
              <w:t>MPB (plasma)</w:t>
            </w:r>
          </w:p>
          <w:p w:rsidR="009B2A14" w:rsidRPr="00884FBF" w:rsidRDefault="009B2A14" w:rsidP="009B2A14">
            <w:pPr>
              <w:spacing w:after="0"/>
              <w:jc w:val="center"/>
              <w:rPr>
                <w:color w:val="000000"/>
                <w:sz w:val="18"/>
                <w:szCs w:val="18"/>
              </w:rPr>
            </w:pPr>
            <w:r w:rsidRPr="00884FBF">
              <w:rPr>
                <w:color w:val="000000"/>
                <w:sz w:val="18"/>
                <w:szCs w:val="18"/>
              </w:rPr>
              <w:t>MPB (serum)</w:t>
            </w:r>
          </w:p>
          <w:p w:rsidR="009B2A14" w:rsidRDefault="009B2A14" w:rsidP="009B2A14">
            <w:pPr>
              <w:spacing w:after="0"/>
              <w:jc w:val="center"/>
              <w:rPr>
                <w:sz w:val="18"/>
                <w:szCs w:val="18"/>
              </w:rPr>
            </w:pPr>
            <w:r w:rsidRPr="00884FBF">
              <w:rPr>
                <w:sz w:val="18"/>
                <w:szCs w:val="18"/>
              </w:rPr>
              <w:t>Placenta</w:t>
            </w:r>
          </w:p>
          <w:p w:rsidR="009B2A14" w:rsidRDefault="009B2A14" w:rsidP="009B2A14">
            <w:pPr>
              <w:spacing w:after="0"/>
              <w:jc w:val="center"/>
              <w:rPr>
                <w:sz w:val="18"/>
                <w:szCs w:val="18"/>
              </w:rPr>
            </w:pPr>
            <w:r>
              <w:rPr>
                <w:sz w:val="18"/>
                <w:szCs w:val="18"/>
              </w:rPr>
              <w:t>MPB (serum)</w:t>
            </w:r>
          </w:p>
          <w:p w:rsidR="009B2A14" w:rsidRDefault="009B2A14" w:rsidP="009B2A14">
            <w:pPr>
              <w:spacing w:after="0"/>
              <w:jc w:val="center"/>
              <w:rPr>
                <w:sz w:val="18"/>
                <w:szCs w:val="18"/>
              </w:rPr>
            </w:pPr>
            <w:r>
              <w:rPr>
                <w:sz w:val="18"/>
                <w:szCs w:val="18"/>
              </w:rPr>
              <w:t>MPB (serum exosomes)</w:t>
            </w:r>
          </w:p>
          <w:p w:rsidR="009B2A14" w:rsidRDefault="009B2A14" w:rsidP="009B2A14">
            <w:pPr>
              <w:spacing w:after="0"/>
              <w:jc w:val="center"/>
              <w:rPr>
                <w:sz w:val="18"/>
                <w:szCs w:val="18"/>
              </w:rPr>
            </w:pPr>
            <w:r>
              <w:rPr>
                <w:sz w:val="18"/>
                <w:szCs w:val="18"/>
              </w:rPr>
              <w:t>MPB (serum)</w:t>
            </w:r>
          </w:p>
          <w:p w:rsidR="00DC31B5" w:rsidRPr="00884FBF" w:rsidRDefault="0056680A" w:rsidP="00DC31B5">
            <w:pPr>
              <w:spacing w:after="0"/>
              <w:jc w:val="center"/>
              <w:rPr>
                <w:sz w:val="18"/>
                <w:szCs w:val="18"/>
              </w:rPr>
            </w:pPr>
            <w:r>
              <w:rPr>
                <w:sz w:val="18"/>
                <w:szCs w:val="18"/>
              </w:rPr>
              <w:t>MPB (serum)</w:t>
            </w:r>
          </w:p>
        </w:tc>
        <w:tc>
          <w:tcPr>
            <w:tcW w:w="2976" w:type="dxa"/>
          </w:tcPr>
          <w:p w:rsidR="009B2A14" w:rsidRDefault="009B2A14" w:rsidP="009B2A14">
            <w:pPr>
              <w:spacing w:after="0"/>
              <w:jc w:val="center"/>
              <w:rPr>
                <w:color w:val="000000"/>
                <w:sz w:val="18"/>
                <w:szCs w:val="18"/>
              </w:rPr>
            </w:pPr>
            <w:r w:rsidRPr="00F91BB0">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 vs. preconceptional</w:t>
            </w:r>
          </w:p>
          <w:p w:rsidR="0056680A" w:rsidRDefault="0056680A"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56680A" w:rsidRDefault="0056680A" w:rsidP="009B2A14">
            <w:pPr>
              <w:spacing w:after="0"/>
              <w:jc w:val="center"/>
              <w:rPr>
                <w:color w:val="000000"/>
                <w:sz w:val="18"/>
                <w:szCs w:val="18"/>
              </w:rPr>
            </w:pPr>
          </w:p>
          <w:p w:rsidR="0056680A"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56680A" w:rsidRDefault="0056680A" w:rsidP="009B2A14">
            <w:pPr>
              <w:spacing w:after="0"/>
              <w:jc w:val="center"/>
            </w:pPr>
            <w:r>
              <w:rPr>
                <w:color w:val="000000"/>
                <w:sz w:val="18"/>
                <w:szCs w:val="18"/>
              </w:rPr>
              <w:t>Down in PE</w:t>
            </w:r>
          </w:p>
        </w:tc>
        <w:tc>
          <w:tcPr>
            <w:tcW w:w="709" w:type="dxa"/>
          </w:tcPr>
          <w:p w:rsidR="009B2A14" w:rsidRDefault="009B2A14" w:rsidP="009B2A14">
            <w:pPr>
              <w:spacing w:after="0"/>
              <w:jc w:val="center"/>
              <w:rPr>
                <w:color w:val="000000"/>
                <w:sz w:val="18"/>
                <w:szCs w:val="18"/>
              </w:rPr>
            </w:pPr>
            <w:r w:rsidRPr="00443680">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56680A" w:rsidRDefault="0056680A" w:rsidP="009B2A14">
            <w:pPr>
              <w:spacing w:after="0"/>
              <w:jc w:val="cente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56</w:t>
            </w: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86</w:t>
            </w:r>
          </w:p>
          <w:p w:rsidR="009B2A14" w:rsidRDefault="009B2A14" w:rsidP="009B2A14">
            <w:pPr>
              <w:spacing w:after="0"/>
              <w:jc w:val="center"/>
              <w:rPr>
                <w:sz w:val="18"/>
                <w:szCs w:val="18"/>
              </w:rPr>
            </w:pPr>
            <w:r>
              <w:rPr>
                <w:sz w:val="18"/>
                <w:szCs w:val="18"/>
              </w:rPr>
              <w:t>86</w:t>
            </w:r>
          </w:p>
          <w:p w:rsidR="009B2A14" w:rsidRDefault="009B2A14" w:rsidP="009B2A14">
            <w:pPr>
              <w:spacing w:after="0"/>
              <w:jc w:val="center"/>
              <w:rPr>
                <w:sz w:val="18"/>
                <w:szCs w:val="18"/>
              </w:rPr>
            </w:pPr>
            <w:r>
              <w:rPr>
                <w:sz w:val="18"/>
                <w:szCs w:val="18"/>
              </w:rPr>
              <w:t>95</w:t>
            </w:r>
          </w:p>
          <w:p w:rsidR="009B2A14" w:rsidRDefault="009B2A14" w:rsidP="009B2A14">
            <w:pPr>
              <w:spacing w:after="0"/>
              <w:jc w:val="center"/>
              <w:rPr>
                <w:sz w:val="18"/>
                <w:szCs w:val="18"/>
              </w:rPr>
            </w:pPr>
            <w:r>
              <w:rPr>
                <w:sz w:val="18"/>
                <w:szCs w:val="18"/>
              </w:rPr>
              <w:t>117</w:t>
            </w:r>
          </w:p>
          <w:p w:rsidR="009B2A14" w:rsidRDefault="009B2A14" w:rsidP="009B2A14">
            <w:pPr>
              <w:spacing w:after="0"/>
              <w:jc w:val="center"/>
              <w:rPr>
                <w:sz w:val="18"/>
                <w:szCs w:val="18"/>
              </w:rPr>
            </w:pPr>
            <w:r>
              <w:rPr>
                <w:sz w:val="18"/>
                <w:szCs w:val="18"/>
              </w:rPr>
              <w:t>117</w:t>
            </w:r>
          </w:p>
          <w:p w:rsidR="009B2A14" w:rsidRDefault="009B2A14" w:rsidP="009B2A14">
            <w:pPr>
              <w:spacing w:after="0"/>
              <w:jc w:val="center"/>
              <w:rPr>
                <w:sz w:val="18"/>
                <w:szCs w:val="18"/>
              </w:rPr>
            </w:pPr>
            <w:r>
              <w:rPr>
                <w:sz w:val="18"/>
                <w:szCs w:val="18"/>
              </w:rPr>
              <w:t>128</w:t>
            </w:r>
          </w:p>
          <w:p w:rsidR="009B2A14" w:rsidRDefault="009B2A14" w:rsidP="009B2A14">
            <w:pPr>
              <w:spacing w:after="0"/>
              <w:jc w:val="center"/>
              <w:rPr>
                <w:sz w:val="18"/>
                <w:szCs w:val="18"/>
              </w:rPr>
            </w:pPr>
            <w:r>
              <w:rPr>
                <w:sz w:val="18"/>
                <w:szCs w:val="18"/>
              </w:rPr>
              <w:t>140</w:t>
            </w:r>
          </w:p>
          <w:p w:rsidR="009B2A14" w:rsidRDefault="009B2A14" w:rsidP="009B2A14">
            <w:pPr>
              <w:spacing w:after="0"/>
              <w:jc w:val="center"/>
              <w:rPr>
                <w:sz w:val="18"/>
                <w:szCs w:val="18"/>
              </w:rPr>
            </w:pPr>
            <w:r>
              <w:rPr>
                <w:sz w:val="18"/>
                <w:szCs w:val="18"/>
              </w:rPr>
              <w:t>191</w:t>
            </w:r>
          </w:p>
          <w:p w:rsidR="0056680A" w:rsidRPr="00DE5B46" w:rsidRDefault="00EA15BA" w:rsidP="009B2A14">
            <w:pPr>
              <w:spacing w:after="0"/>
              <w:jc w:val="center"/>
              <w:rPr>
                <w:sz w:val="18"/>
                <w:szCs w:val="18"/>
              </w:rPr>
            </w:pPr>
            <w:r>
              <w:rPr>
                <w:sz w:val="18"/>
                <w:szCs w:val="18"/>
              </w:rPr>
              <w:t>Ayoub</w:t>
            </w:r>
            <w:r w:rsidR="0056680A">
              <w:rPr>
                <w:sz w:val="18"/>
                <w:szCs w:val="18"/>
              </w:rPr>
              <w:t xml:space="preserve"> 2019</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155-5p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MPB (leukocytes)</w:t>
            </w:r>
          </w:p>
          <w:p w:rsidR="00032593" w:rsidRDefault="00032593" w:rsidP="009B2A14">
            <w:pPr>
              <w:spacing w:after="0"/>
              <w:jc w:val="center"/>
              <w:rPr>
                <w:color w:val="000000"/>
                <w:sz w:val="18"/>
                <w:szCs w:val="18"/>
              </w:rPr>
            </w:pPr>
            <w:r>
              <w:rPr>
                <w:color w:val="000000"/>
                <w:sz w:val="18"/>
                <w:szCs w:val="18"/>
              </w:rPr>
              <w:t>MPB (leukocytes)</w:t>
            </w:r>
          </w:p>
          <w:p w:rsidR="00DC31B5" w:rsidRDefault="00DC31B5" w:rsidP="009B2A14">
            <w:pPr>
              <w:spacing w:after="0"/>
              <w:jc w:val="center"/>
              <w:rPr>
                <w:color w:val="000000"/>
                <w:sz w:val="18"/>
                <w:szCs w:val="18"/>
              </w:rPr>
            </w:pPr>
            <w:r>
              <w:rPr>
                <w:color w:val="000000"/>
                <w:sz w:val="18"/>
                <w:szCs w:val="18"/>
              </w:rPr>
              <w:t>MPB (serum)</w:t>
            </w:r>
          </w:p>
          <w:p w:rsidR="0092767A" w:rsidRDefault="0092767A"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032593" w:rsidRDefault="00032593"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Down in PE</w:t>
            </w:r>
          </w:p>
          <w:p w:rsidR="00032593" w:rsidRDefault="00032593" w:rsidP="009B2A14">
            <w:pPr>
              <w:spacing w:after="0"/>
              <w:jc w:val="center"/>
              <w:rPr>
                <w:color w:val="000000"/>
                <w:sz w:val="18"/>
                <w:szCs w:val="18"/>
              </w:rPr>
            </w:pPr>
            <w:r>
              <w:rPr>
                <w:color w:val="000000"/>
                <w:sz w:val="18"/>
                <w:szCs w:val="18"/>
              </w:rPr>
              <w:t>No difference</w:t>
            </w:r>
          </w:p>
          <w:p w:rsidR="00DC31B5" w:rsidRDefault="00DC31B5" w:rsidP="009B2A14">
            <w:pPr>
              <w:spacing w:after="0"/>
              <w:jc w:val="center"/>
              <w:rPr>
                <w:color w:val="000000"/>
                <w:sz w:val="18"/>
                <w:szCs w:val="18"/>
              </w:rPr>
            </w:pPr>
            <w:r>
              <w:rPr>
                <w:color w:val="000000"/>
                <w:sz w:val="18"/>
                <w:szCs w:val="18"/>
              </w:rPr>
              <w:t>Up in PE</w:t>
            </w:r>
          </w:p>
          <w:p w:rsidR="0092767A" w:rsidRPr="00DE5B46" w:rsidRDefault="0092767A"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032593" w:rsidRDefault="00032593" w:rsidP="009B2A14">
            <w:pPr>
              <w:spacing w:after="0"/>
              <w:jc w:val="center"/>
              <w:rPr>
                <w:color w:val="000000"/>
                <w:sz w:val="18"/>
                <w:szCs w:val="18"/>
              </w:rPr>
            </w:pPr>
            <w:r>
              <w:rPr>
                <w:color w:val="000000"/>
                <w:sz w:val="18"/>
                <w:szCs w:val="18"/>
              </w:rPr>
              <w:t>No</w:t>
            </w:r>
          </w:p>
          <w:p w:rsidR="00DC31B5" w:rsidRDefault="0092767A" w:rsidP="009B2A14">
            <w:pPr>
              <w:spacing w:after="0"/>
              <w:jc w:val="center"/>
              <w:rPr>
                <w:color w:val="000000"/>
                <w:sz w:val="18"/>
                <w:szCs w:val="18"/>
              </w:rPr>
            </w:pPr>
            <w:r>
              <w:rPr>
                <w:color w:val="000000"/>
                <w:sz w:val="18"/>
                <w:szCs w:val="18"/>
              </w:rPr>
              <w:t>Y</w:t>
            </w:r>
            <w:r w:rsidR="00DC31B5">
              <w:rPr>
                <w:color w:val="000000"/>
                <w:sz w:val="18"/>
                <w:szCs w:val="18"/>
              </w:rPr>
              <w:t>es</w:t>
            </w:r>
          </w:p>
          <w:p w:rsidR="0092767A" w:rsidRPr="00DE5B46" w:rsidRDefault="0092767A"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70</w:t>
            </w:r>
          </w:p>
          <w:p w:rsidR="009B2A14" w:rsidRDefault="009B2A14" w:rsidP="009B2A14">
            <w:pPr>
              <w:spacing w:after="0"/>
              <w:jc w:val="center"/>
              <w:rPr>
                <w:sz w:val="18"/>
                <w:szCs w:val="18"/>
              </w:rPr>
            </w:pPr>
            <w:r>
              <w:rPr>
                <w:sz w:val="18"/>
                <w:szCs w:val="18"/>
              </w:rPr>
              <w:t>157</w:t>
            </w:r>
          </w:p>
          <w:p w:rsidR="00032593" w:rsidRDefault="00032593" w:rsidP="009B2A14">
            <w:pPr>
              <w:spacing w:after="0"/>
              <w:jc w:val="center"/>
              <w:rPr>
                <w:sz w:val="18"/>
                <w:szCs w:val="18"/>
              </w:rPr>
            </w:pPr>
            <w:r>
              <w:rPr>
                <w:sz w:val="18"/>
                <w:szCs w:val="18"/>
              </w:rPr>
              <w:t>Demirer 2019</w:t>
            </w:r>
          </w:p>
          <w:p w:rsidR="00DC31B5" w:rsidRDefault="00DC31B5" w:rsidP="009B2A14">
            <w:pPr>
              <w:spacing w:after="0"/>
              <w:jc w:val="center"/>
              <w:rPr>
                <w:sz w:val="18"/>
                <w:szCs w:val="18"/>
              </w:rPr>
            </w:pPr>
            <w:r>
              <w:rPr>
                <w:sz w:val="18"/>
                <w:szCs w:val="18"/>
              </w:rPr>
              <w:t>Kim 2020</w:t>
            </w:r>
          </w:p>
          <w:p w:rsidR="0092767A" w:rsidRPr="00DE5B46" w:rsidRDefault="0092767A" w:rsidP="009B2A14">
            <w:pPr>
              <w:spacing w:after="0"/>
              <w:jc w:val="center"/>
              <w:rPr>
                <w:sz w:val="18"/>
                <w:szCs w:val="18"/>
              </w:rPr>
            </w:pPr>
            <w:r>
              <w:rPr>
                <w:sz w:val="18"/>
                <w:szCs w:val="18"/>
              </w:rPr>
              <w:t>Kolkova 2021</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122</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tcPr>
          <w:p w:rsidR="009B2A14" w:rsidRDefault="009B2A14" w:rsidP="009B2A14">
            <w:pPr>
              <w:spacing w:after="0"/>
              <w:jc w:val="center"/>
            </w:pPr>
            <w:r w:rsidRPr="00F91BB0">
              <w:rPr>
                <w:color w:val="000000"/>
                <w:sz w:val="18"/>
                <w:szCs w:val="18"/>
              </w:rPr>
              <w:t>Up in PE</w:t>
            </w:r>
          </w:p>
        </w:tc>
        <w:tc>
          <w:tcPr>
            <w:tcW w:w="709" w:type="dxa"/>
          </w:tcPr>
          <w:p w:rsidR="009B2A14" w:rsidRDefault="009B2A14" w:rsidP="009B2A14">
            <w:pPr>
              <w:spacing w:after="0"/>
              <w:jc w:val="center"/>
            </w:pPr>
            <w:r w:rsidRPr="00443680">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56</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122-5p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r>
              <w:rPr>
                <w:color w:val="000000"/>
                <w:sz w:val="18"/>
                <w:szCs w:val="18"/>
              </w:rPr>
              <w:t>Placenta</w:t>
            </w:r>
          </w:p>
        </w:tc>
        <w:tc>
          <w:tcPr>
            <w:tcW w:w="2976" w:type="dxa"/>
          </w:tcPr>
          <w:p w:rsidR="009B2A14" w:rsidRDefault="009B2A14" w:rsidP="009B2A14">
            <w:pPr>
              <w:spacing w:after="0"/>
              <w:jc w:val="center"/>
              <w:rPr>
                <w:color w:val="000000"/>
                <w:sz w:val="18"/>
                <w:szCs w:val="18"/>
              </w:rPr>
            </w:pPr>
            <w:r>
              <w:rPr>
                <w:color w:val="000000"/>
                <w:sz w:val="18"/>
                <w:szCs w:val="18"/>
              </w:rPr>
              <w:t>Up in PE</w:t>
            </w:r>
          </w:p>
          <w:p w:rsidR="009B2A14" w:rsidRPr="00F91BB0" w:rsidRDefault="009B2A14"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color w:val="000000"/>
                <w:sz w:val="18"/>
                <w:szCs w:val="18"/>
              </w:rPr>
            </w:pPr>
            <w:r>
              <w:rPr>
                <w:color w:val="000000"/>
                <w:sz w:val="18"/>
                <w:szCs w:val="18"/>
              </w:rPr>
              <w:t>Yes</w:t>
            </w:r>
          </w:p>
          <w:p w:rsidR="009B2A14" w:rsidRPr="00443680"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76</w:t>
            </w:r>
          </w:p>
          <w:p w:rsidR="009B2A14" w:rsidRDefault="009B2A14" w:rsidP="009B2A14">
            <w:pPr>
              <w:spacing w:after="0"/>
              <w:jc w:val="center"/>
              <w:rPr>
                <w:sz w:val="18"/>
                <w:szCs w:val="18"/>
              </w:rPr>
            </w:pPr>
            <w:r>
              <w:rPr>
                <w:sz w:val="18"/>
                <w:szCs w:val="18"/>
              </w:rPr>
              <w:t>160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21</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Placenta (chorionic plate)</w:t>
            </w:r>
          </w:p>
          <w:p w:rsidR="00AF76E8" w:rsidRDefault="009B2A14" w:rsidP="009B2A14">
            <w:pPr>
              <w:spacing w:after="0"/>
              <w:jc w:val="center"/>
              <w:rPr>
                <w:color w:val="000000"/>
                <w:sz w:val="18"/>
                <w:szCs w:val="18"/>
              </w:rPr>
            </w:pPr>
            <w:r>
              <w:rPr>
                <w:color w:val="000000"/>
                <w:sz w:val="18"/>
                <w:szCs w:val="18"/>
              </w:rPr>
              <w:t>Placenta (basal plate)</w:t>
            </w:r>
          </w:p>
          <w:p w:rsidR="0054651E" w:rsidRDefault="0054651E" w:rsidP="009B2A14">
            <w:pPr>
              <w:spacing w:after="0"/>
              <w:jc w:val="center"/>
              <w:rPr>
                <w:color w:val="000000"/>
                <w:sz w:val="18"/>
                <w:szCs w:val="18"/>
              </w:rPr>
            </w:pPr>
            <w:r>
              <w:rPr>
                <w:color w:val="000000"/>
                <w:sz w:val="18"/>
                <w:szCs w:val="18"/>
              </w:rPr>
              <w:t>Placenta</w:t>
            </w:r>
          </w:p>
          <w:p w:rsidR="0054651E" w:rsidRPr="00DE5B46" w:rsidRDefault="0054651E" w:rsidP="009B2A14">
            <w:pPr>
              <w:spacing w:after="0"/>
              <w:jc w:val="center"/>
              <w:rPr>
                <w:color w:val="000000"/>
                <w:sz w:val="18"/>
                <w:szCs w:val="18"/>
              </w:rPr>
            </w:pPr>
            <w:r>
              <w:rPr>
                <w:color w:val="000000"/>
                <w:sz w:val="18"/>
                <w:szCs w:val="18"/>
              </w:rPr>
              <w:t>MPB (serum)</w:t>
            </w:r>
          </w:p>
        </w:tc>
        <w:tc>
          <w:tcPr>
            <w:tcW w:w="2976" w:type="dxa"/>
          </w:tcPr>
          <w:p w:rsidR="009B2A14" w:rsidRDefault="009B2A14" w:rsidP="009B2A14">
            <w:pPr>
              <w:spacing w:after="0"/>
              <w:jc w:val="center"/>
              <w:rPr>
                <w:color w:val="000000"/>
                <w:sz w:val="18"/>
                <w:szCs w:val="18"/>
              </w:rPr>
            </w:pPr>
            <w:r w:rsidRPr="00F91BB0">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Down in PE</w:t>
            </w:r>
          </w:p>
          <w:p w:rsidR="00BE11CB" w:rsidRDefault="009B2A14" w:rsidP="009B2A14">
            <w:pPr>
              <w:spacing w:after="0"/>
              <w:jc w:val="center"/>
              <w:rPr>
                <w:color w:val="000000"/>
                <w:sz w:val="18"/>
                <w:szCs w:val="18"/>
              </w:rPr>
            </w:pPr>
            <w:r>
              <w:rPr>
                <w:color w:val="000000"/>
                <w:sz w:val="18"/>
                <w:szCs w:val="18"/>
              </w:rPr>
              <w:t>Down in PE</w:t>
            </w:r>
          </w:p>
          <w:p w:rsidR="0054651E" w:rsidRDefault="0054651E" w:rsidP="009B2A14">
            <w:pPr>
              <w:spacing w:after="0"/>
              <w:jc w:val="center"/>
              <w:rPr>
                <w:color w:val="000000"/>
                <w:sz w:val="18"/>
                <w:szCs w:val="18"/>
              </w:rPr>
            </w:pPr>
            <w:r>
              <w:rPr>
                <w:color w:val="000000"/>
                <w:sz w:val="18"/>
                <w:szCs w:val="18"/>
              </w:rPr>
              <w:t>Up in PE</w:t>
            </w:r>
          </w:p>
          <w:p w:rsidR="0054651E" w:rsidRPr="00BE11CB" w:rsidRDefault="0054651E" w:rsidP="009B2A14">
            <w:pPr>
              <w:spacing w:after="0"/>
              <w:jc w:val="center"/>
              <w:rPr>
                <w:color w:val="000000"/>
                <w:sz w:val="18"/>
                <w:szCs w:val="18"/>
              </w:rPr>
            </w:pPr>
            <w:r>
              <w:rPr>
                <w:color w:val="000000"/>
                <w:sz w:val="18"/>
                <w:szCs w:val="18"/>
              </w:rPr>
              <w:t>Up in PE</w:t>
            </w:r>
          </w:p>
        </w:tc>
        <w:tc>
          <w:tcPr>
            <w:tcW w:w="709" w:type="dxa"/>
          </w:tcPr>
          <w:p w:rsidR="009B2A14" w:rsidRDefault="009B2A14" w:rsidP="009B2A14">
            <w:pPr>
              <w:spacing w:after="0"/>
              <w:jc w:val="center"/>
              <w:rPr>
                <w:color w:val="000000"/>
                <w:sz w:val="18"/>
                <w:szCs w:val="18"/>
              </w:rPr>
            </w:pPr>
            <w:r w:rsidRPr="00443680">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54651E" w:rsidRDefault="0054651E" w:rsidP="009B2A14">
            <w:pPr>
              <w:spacing w:after="0"/>
              <w:jc w:val="center"/>
              <w:rPr>
                <w:color w:val="000000"/>
                <w:sz w:val="18"/>
                <w:szCs w:val="18"/>
              </w:rPr>
            </w:pPr>
            <w:r>
              <w:rPr>
                <w:color w:val="000000"/>
                <w:sz w:val="18"/>
                <w:szCs w:val="18"/>
              </w:rPr>
              <w:t>Yes</w:t>
            </w:r>
          </w:p>
          <w:p w:rsidR="0054651E" w:rsidRDefault="0054651E" w:rsidP="009B2A14">
            <w:pPr>
              <w:spacing w:after="0"/>
              <w:jc w:val="cente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56</w:t>
            </w:r>
          </w:p>
          <w:p w:rsidR="009B2A14" w:rsidRDefault="009B2A14" w:rsidP="009B2A14">
            <w:pPr>
              <w:spacing w:after="0"/>
              <w:jc w:val="center"/>
              <w:rPr>
                <w:sz w:val="18"/>
                <w:szCs w:val="18"/>
              </w:rPr>
            </w:pPr>
            <w:r>
              <w:rPr>
                <w:sz w:val="18"/>
                <w:szCs w:val="18"/>
              </w:rPr>
              <w:t>95</w:t>
            </w:r>
          </w:p>
          <w:p w:rsidR="009B2A14" w:rsidRDefault="009B2A14" w:rsidP="009B2A14">
            <w:pPr>
              <w:spacing w:after="0"/>
              <w:jc w:val="center"/>
              <w:rPr>
                <w:sz w:val="18"/>
                <w:szCs w:val="18"/>
              </w:rPr>
            </w:pPr>
            <w:r>
              <w:rPr>
                <w:sz w:val="18"/>
                <w:szCs w:val="18"/>
              </w:rPr>
              <w:t>134</w:t>
            </w:r>
          </w:p>
          <w:p w:rsidR="009B2A14" w:rsidRDefault="009B2A14" w:rsidP="009B2A14">
            <w:pPr>
              <w:spacing w:after="0"/>
              <w:jc w:val="center"/>
              <w:rPr>
                <w:sz w:val="18"/>
                <w:szCs w:val="18"/>
              </w:rPr>
            </w:pPr>
            <w:r>
              <w:rPr>
                <w:sz w:val="18"/>
                <w:szCs w:val="18"/>
              </w:rPr>
              <w:t>134</w:t>
            </w:r>
          </w:p>
          <w:p w:rsidR="0054651E" w:rsidRDefault="0054651E" w:rsidP="009B2A14">
            <w:pPr>
              <w:spacing w:after="0"/>
              <w:jc w:val="center"/>
              <w:rPr>
                <w:sz w:val="18"/>
                <w:szCs w:val="18"/>
              </w:rPr>
            </w:pPr>
            <w:r>
              <w:rPr>
                <w:sz w:val="18"/>
                <w:szCs w:val="18"/>
              </w:rPr>
              <w:t>Zhou 2020</w:t>
            </w:r>
          </w:p>
          <w:p w:rsidR="0054651E" w:rsidRPr="00DE5B46" w:rsidRDefault="0054651E" w:rsidP="009B2A14">
            <w:pPr>
              <w:spacing w:after="0"/>
              <w:jc w:val="center"/>
              <w:rPr>
                <w:sz w:val="18"/>
                <w:szCs w:val="18"/>
              </w:rPr>
            </w:pPr>
            <w:r>
              <w:rPr>
                <w:sz w:val="18"/>
                <w:szCs w:val="18"/>
              </w:rPr>
              <w:t>Zhou 2020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21-3p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(leukocytes)</w:t>
            </w:r>
          </w:p>
          <w:p w:rsidR="00BE11CB" w:rsidRDefault="00BE11CB" w:rsidP="009B2A14">
            <w:pPr>
              <w:spacing w:after="0"/>
              <w:jc w:val="center"/>
              <w:rPr>
                <w:color w:val="000000"/>
                <w:sz w:val="18"/>
                <w:szCs w:val="18"/>
              </w:rPr>
            </w:pPr>
            <w:r>
              <w:rPr>
                <w:color w:val="000000"/>
                <w:sz w:val="18"/>
                <w:szCs w:val="18"/>
              </w:rPr>
              <w:t>MPB (leukocytes)</w:t>
            </w:r>
          </w:p>
        </w:tc>
        <w:tc>
          <w:tcPr>
            <w:tcW w:w="2976" w:type="dxa"/>
          </w:tcPr>
          <w:p w:rsidR="009B2A14" w:rsidRDefault="009B2A14" w:rsidP="009B2A14">
            <w:pPr>
              <w:spacing w:after="0"/>
              <w:jc w:val="center"/>
              <w:rPr>
                <w:color w:val="000000"/>
                <w:sz w:val="18"/>
                <w:szCs w:val="18"/>
              </w:rPr>
            </w:pPr>
            <w:r>
              <w:rPr>
                <w:color w:val="000000"/>
                <w:sz w:val="18"/>
                <w:szCs w:val="18"/>
              </w:rPr>
              <w:t>Down in PE</w:t>
            </w:r>
          </w:p>
          <w:p w:rsidR="00BE11CB" w:rsidRPr="00F91BB0" w:rsidRDefault="00BE11CB" w:rsidP="009B2A14">
            <w:pPr>
              <w:spacing w:after="0"/>
              <w:jc w:val="center"/>
              <w:rPr>
                <w:color w:val="000000"/>
                <w:sz w:val="18"/>
                <w:szCs w:val="18"/>
              </w:rPr>
            </w:pPr>
            <w:r>
              <w:rPr>
                <w:color w:val="000000"/>
                <w:sz w:val="18"/>
                <w:szCs w:val="18"/>
              </w:rPr>
              <w:t>No difference</w:t>
            </w:r>
          </w:p>
        </w:tc>
        <w:tc>
          <w:tcPr>
            <w:tcW w:w="709" w:type="dxa"/>
          </w:tcPr>
          <w:p w:rsidR="009B2A14" w:rsidRDefault="009B2A14" w:rsidP="009B2A14">
            <w:pPr>
              <w:spacing w:after="0"/>
              <w:jc w:val="center"/>
              <w:rPr>
                <w:color w:val="000000"/>
                <w:sz w:val="18"/>
                <w:szCs w:val="18"/>
              </w:rPr>
            </w:pPr>
            <w:r>
              <w:rPr>
                <w:color w:val="000000"/>
                <w:sz w:val="18"/>
                <w:szCs w:val="18"/>
              </w:rPr>
              <w:t>Yes</w:t>
            </w:r>
          </w:p>
          <w:p w:rsidR="00BE11CB" w:rsidRPr="00443680" w:rsidRDefault="00BE11CB"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157</w:t>
            </w:r>
          </w:p>
          <w:p w:rsidR="00BE11CB" w:rsidRDefault="00BE11CB" w:rsidP="009B2A14">
            <w:pPr>
              <w:spacing w:after="0"/>
              <w:jc w:val="center"/>
              <w:rPr>
                <w:sz w:val="18"/>
                <w:szCs w:val="18"/>
              </w:rPr>
            </w:pPr>
            <w:r>
              <w:rPr>
                <w:sz w:val="18"/>
                <w:szCs w:val="18"/>
              </w:rPr>
              <w:t>Demirer 2019</w:t>
            </w:r>
          </w:p>
        </w:tc>
      </w:tr>
      <w:tr w:rsidR="007150C1" w:rsidRPr="00DE5B46" w:rsidTr="0056680A">
        <w:trPr>
          <w:cantSplit/>
          <w:jc w:val="center"/>
        </w:trPr>
        <w:tc>
          <w:tcPr>
            <w:tcW w:w="0" w:type="auto"/>
            <w:vAlign w:val="center"/>
          </w:tcPr>
          <w:p w:rsidR="007150C1" w:rsidRDefault="007150C1" w:rsidP="009B2A14">
            <w:pPr>
              <w:spacing w:after="0"/>
              <w:jc w:val="center"/>
              <w:rPr>
                <w:color w:val="000000"/>
                <w:sz w:val="18"/>
                <w:szCs w:val="18"/>
              </w:rPr>
            </w:pPr>
            <w:r>
              <w:rPr>
                <w:color w:val="000000"/>
                <w:sz w:val="18"/>
                <w:szCs w:val="18"/>
              </w:rPr>
              <w:t>21-5p</w:t>
            </w:r>
          </w:p>
        </w:tc>
        <w:tc>
          <w:tcPr>
            <w:tcW w:w="2905" w:type="dxa"/>
            <w:vAlign w:val="center"/>
          </w:tcPr>
          <w:p w:rsidR="007150C1" w:rsidRDefault="007150C1" w:rsidP="009B2A14">
            <w:pPr>
              <w:spacing w:after="0"/>
              <w:jc w:val="center"/>
              <w:rPr>
                <w:color w:val="000000"/>
                <w:sz w:val="18"/>
                <w:szCs w:val="18"/>
              </w:rPr>
            </w:pPr>
            <w:r>
              <w:rPr>
                <w:color w:val="000000"/>
                <w:sz w:val="18"/>
                <w:szCs w:val="18"/>
              </w:rPr>
              <w:t>MPB (plasma)</w:t>
            </w:r>
          </w:p>
        </w:tc>
        <w:tc>
          <w:tcPr>
            <w:tcW w:w="2976" w:type="dxa"/>
            <w:vAlign w:val="center"/>
          </w:tcPr>
          <w:p w:rsidR="007150C1" w:rsidRDefault="007150C1" w:rsidP="009B2A14">
            <w:pPr>
              <w:spacing w:after="0"/>
              <w:jc w:val="center"/>
              <w:rPr>
                <w:color w:val="000000"/>
                <w:sz w:val="18"/>
                <w:szCs w:val="18"/>
              </w:rPr>
            </w:pPr>
            <w:r>
              <w:rPr>
                <w:color w:val="000000"/>
                <w:sz w:val="18"/>
                <w:szCs w:val="18"/>
              </w:rPr>
              <w:t>Up in PE</w:t>
            </w:r>
          </w:p>
        </w:tc>
        <w:tc>
          <w:tcPr>
            <w:tcW w:w="709" w:type="dxa"/>
            <w:vAlign w:val="center"/>
          </w:tcPr>
          <w:p w:rsidR="007150C1" w:rsidRDefault="007150C1" w:rsidP="009B2A14">
            <w:pPr>
              <w:spacing w:after="0"/>
              <w:jc w:val="center"/>
              <w:rPr>
                <w:color w:val="000000"/>
                <w:sz w:val="18"/>
                <w:szCs w:val="18"/>
              </w:rPr>
            </w:pPr>
            <w:r>
              <w:rPr>
                <w:color w:val="000000"/>
                <w:sz w:val="18"/>
                <w:szCs w:val="18"/>
              </w:rPr>
              <w:t>Yes</w:t>
            </w:r>
          </w:p>
        </w:tc>
        <w:tc>
          <w:tcPr>
            <w:tcW w:w="1805" w:type="dxa"/>
            <w:vAlign w:val="center"/>
          </w:tcPr>
          <w:p w:rsidR="007150C1" w:rsidRDefault="007150C1" w:rsidP="009B2A14">
            <w:pPr>
              <w:spacing w:after="0"/>
              <w:jc w:val="center"/>
              <w:rPr>
                <w:sz w:val="18"/>
                <w:szCs w:val="18"/>
              </w:rPr>
            </w:pPr>
            <w:r>
              <w:rPr>
                <w:sz w:val="18"/>
                <w:szCs w:val="18"/>
              </w:rPr>
              <w:t>Kolkova 2021</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152</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p w:rsidR="0026683A" w:rsidRPr="00DE5B46" w:rsidRDefault="0026683A"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1</w:t>
            </w:r>
            <w:r w:rsidRPr="000B2D9F">
              <w:rPr>
                <w:color w:val="000000"/>
                <w:sz w:val="18"/>
                <w:szCs w:val="18"/>
                <w:vertAlign w:val="superscript"/>
              </w:rPr>
              <w:t>st</w:t>
            </w:r>
            <w:r>
              <w:rPr>
                <w:color w:val="000000"/>
                <w:sz w:val="18"/>
                <w:szCs w:val="18"/>
              </w:rPr>
              <w:t>, 2</w:t>
            </w:r>
            <w:r w:rsidRPr="000B2D9F">
              <w:rPr>
                <w:color w:val="000000"/>
                <w:sz w:val="18"/>
                <w:szCs w:val="18"/>
                <w:vertAlign w:val="superscript"/>
              </w:rPr>
              <w:t>nd</w:t>
            </w:r>
            <w:r>
              <w:rPr>
                <w:color w:val="000000"/>
                <w:sz w:val="18"/>
                <w:szCs w:val="18"/>
              </w:rPr>
              <w:t xml:space="preserve"> and 3</w:t>
            </w:r>
            <w:r w:rsidRPr="000B2D9F">
              <w:rPr>
                <w:color w:val="000000"/>
                <w:sz w:val="18"/>
                <w:szCs w:val="18"/>
                <w:vertAlign w:val="superscript"/>
              </w:rPr>
              <w:t>rd</w:t>
            </w:r>
            <w:r>
              <w:rPr>
                <w:color w:val="000000"/>
                <w:sz w:val="18"/>
                <w:szCs w:val="18"/>
              </w:rPr>
              <w:t xml:space="preserve"> trimester PE</w:t>
            </w:r>
          </w:p>
          <w:p w:rsidR="0026683A" w:rsidRPr="00DE5B46" w:rsidRDefault="0026683A"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26683A" w:rsidRPr="00DE5B46" w:rsidRDefault="0026683A"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57</w:t>
            </w:r>
          </w:p>
          <w:p w:rsidR="0026683A" w:rsidRPr="00DE5B46" w:rsidRDefault="0026683A" w:rsidP="009B2A14">
            <w:pPr>
              <w:spacing w:after="0"/>
              <w:jc w:val="center"/>
              <w:rPr>
                <w:sz w:val="18"/>
                <w:szCs w:val="18"/>
              </w:rPr>
            </w:pPr>
            <w:r>
              <w:rPr>
                <w:sz w:val="18"/>
                <w:szCs w:val="18"/>
              </w:rPr>
              <w:t>Akgor</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183</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1</w:t>
            </w:r>
            <w:r w:rsidRPr="000B2D9F">
              <w:rPr>
                <w:color w:val="000000"/>
                <w:sz w:val="18"/>
                <w:szCs w:val="18"/>
                <w:vertAlign w:val="superscript"/>
              </w:rPr>
              <w:t>st</w:t>
            </w:r>
            <w:r>
              <w:rPr>
                <w:color w:val="000000"/>
                <w:sz w:val="18"/>
                <w:szCs w:val="18"/>
              </w:rPr>
              <w:t>, 2</w:t>
            </w:r>
            <w:r w:rsidRPr="000B2D9F">
              <w:rPr>
                <w:color w:val="000000"/>
                <w:sz w:val="18"/>
                <w:szCs w:val="18"/>
                <w:vertAlign w:val="superscript"/>
              </w:rPr>
              <w:t>nd</w:t>
            </w:r>
            <w:r>
              <w:rPr>
                <w:color w:val="000000"/>
                <w:sz w:val="18"/>
                <w:szCs w:val="18"/>
              </w:rPr>
              <w:t xml:space="preserve"> and 3</w:t>
            </w:r>
            <w:r w:rsidRPr="000B2D9F">
              <w:rPr>
                <w:color w:val="000000"/>
                <w:sz w:val="18"/>
                <w:szCs w:val="18"/>
                <w:vertAlign w:val="superscript"/>
              </w:rPr>
              <w:t>rd</w:t>
            </w:r>
            <w:r>
              <w:rPr>
                <w:color w:val="000000"/>
                <w:sz w:val="18"/>
                <w:szCs w:val="18"/>
              </w:rPr>
              <w:t xml:space="preserve"> trimester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57</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328</w:t>
            </w:r>
          </w:p>
        </w:tc>
        <w:tc>
          <w:tcPr>
            <w:tcW w:w="2905" w:type="dxa"/>
          </w:tcPr>
          <w:p w:rsidR="009B2A14" w:rsidRDefault="009B2A14" w:rsidP="009B2A14">
            <w:pPr>
              <w:spacing w:after="0"/>
              <w:jc w:val="center"/>
              <w:rPr>
                <w:color w:val="000000"/>
                <w:sz w:val="18"/>
                <w:szCs w:val="18"/>
              </w:rPr>
            </w:pPr>
            <w:r w:rsidRPr="00115CCB">
              <w:rPr>
                <w:color w:val="000000"/>
                <w:sz w:val="18"/>
                <w:szCs w:val="18"/>
              </w:rPr>
              <w:t>MPB (serum)</w:t>
            </w:r>
          </w:p>
          <w:p w:rsidR="00E30529" w:rsidRDefault="00E30529" w:rsidP="009B2A14">
            <w:pPr>
              <w:spacing w:after="0"/>
              <w:jc w:val="cente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E30529" w:rsidRPr="00DE5B46" w:rsidRDefault="00E30529"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E30529" w:rsidRPr="00DE5B46" w:rsidRDefault="00E30529"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57</w:t>
            </w:r>
          </w:p>
          <w:p w:rsidR="00E30529" w:rsidRPr="00DE5B46" w:rsidRDefault="00E30529"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lastRenderedPageBreak/>
              <w:t>363</w:t>
            </w:r>
          </w:p>
        </w:tc>
        <w:tc>
          <w:tcPr>
            <w:tcW w:w="2905" w:type="dxa"/>
          </w:tcPr>
          <w:p w:rsidR="009B2A14" w:rsidRDefault="009B2A14" w:rsidP="009B2A14">
            <w:pPr>
              <w:spacing w:after="0"/>
              <w:jc w:val="center"/>
              <w:rPr>
                <w:color w:val="000000"/>
                <w:sz w:val="18"/>
                <w:szCs w:val="18"/>
              </w:rPr>
            </w:pPr>
            <w:r w:rsidRPr="00115CCB">
              <w:rPr>
                <w:color w:val="000000"/>
                <w:sz w:val="18"/>
                <w:szCs w:val="18"/>
              </w:rPr>
              <w:t>MPB (serum)</w:t>
            </w:r>
          </w:p>
          <w:p w:rsidR="00C61D7F" w:rsidRDefault="00C61D7F" w:rsidP="009B2A14">
            <w:pPr>
              <w:spacing w:after="0"/>
              <w:jc w:val="center"/>
              <w:rPr>
                <w:color w:val="000000"/>
                <w:sz w:val="18"/>
                <w:szCs w:val="18"/>
              </w:rPr>
            </w:pPr>
            <w:r>
              <w:rPr>
                <w:color w:val="000000"/>
                <w:sz w:val="18"/>
                <w:szCs w:val="18"/>
              </w:rPr>
              <w:t>MPB (whole blood)</w:t>
            </w:r>
          </w:p>
          <w:p w:rsidR="00C61D7F" w:rsidRDefault="00C61D7F" w:rsidP="009B2A14">
            <w:pPr>
              <w:spacing w:after="0"/>
              <w:jc w:val="center"/>
            </w:pPr>
            <w:r>
              <w:rPr>
                <w:color w:val="000000"/>
                <w:sz w:val="18"/>
                <w:szCs w:val="18"/>
              </w:rPr>
              <w:t>MPB (whole blood)</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C61D7F" w:rsidRDefault="00C61D7F" w:rsidP="009B2A14">
            <w:pPr>
              <w:spacing w:after="0"/>
              <w:jc w:val="center"/>
              <w:rPr>
                <w:color w:val="000000"/>
                <w:sz w:val="18"/>
                <w:szCs w:val="18"/>
              </w:rPr>
            </w:pPr>
            <w:r>
              <w:rPr>
                <w:color w:val="000000"/>
                <w:sz w:val="18"/>
                <w:szCs w:val="18"/>
              </w:rPr>
              <w:t>Down in PE 36GW</w:t>
            </w:r>
          </w:p>
          <w:p w:rsidR="00C61D7F" w:rsidRPr="00DE5B46" w:rsidRDefault="00C61D7F" w:rsidP="009B2A14">
            <w:pPr>
              <w:spacing w:after="0"/>
              <w:jc w:val="center"/>
              <w:rPr>
                <w:color w:val="000000"/>
                <w:sz w:val="18"/>
                <w:szCs w:val="18"/>
              </w:rPr>
            </w:pPr>
            <w:r>
              <w:rPr>
                <w:color w:val="000000"/>
                <w:sz w:val="18"/>
                <w:szCs w:val="18"/>
              </w:rPr>
              <w:t>Down in PE 28GW</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C61D7F" w:rsidRDefault="00C61D7F" w:rsidP="009B2A14">
            <w:pPr>
              <w:spacing w:after="0"/>
              <w:jc w:val="center"/>
              <w:rPr>
                <w:color w:val="000000"/>
                <w:sz w:val="18"/>
                <w:szCs w:val="18"/>
              </w:rPr>
            </w:pPr>
            <w:r>
              <w:rPr>
                <w:color w:val="000000"/>
                <w:sz w:val="18"/>
                <w:szCs w:val="18"/>
              </w:rPr>
              <w:t>Yes</w:t>
            </w:r>
          </w:p>
          <w:p w:rsidR="00C61D7F" w:rsidRPr="00DE5B46" w:rsidRDefault="00C61D7F"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57</w:t>
            </w:r>
          </w:p>
          <w:p w:rsidR="00C61D7F" w:rsidRDefault="00C61D7F" w:rsidP="009B2A14">
            <w:pPr>
              <w:spacing w:after="0"/>
              <w:jc w:val="center"/>
              <w:rPr>
                <w:sz w:val="18"/>
                <w:szCs w:val="18"/>
              </w:rPr>
            </w:pPr>
            <w:r>
              <w:rPr>
                <w:sz w:val="18"/>
                <w:szCs w:val="18"/>
              </w:rPr>
              <w:t>Whigham 2020</w:t>
            </w:r>
          </w:p>
          <w:p w:rsidR="00C61D7F" w:rsidRPr="00DE5B46" w:rsidRDefault="00C61D7F" w:rsidP="009B2A14">
            <w:pPr>
              <w:spacing w:after="0"/>
              <w:jc w:val="center"/>
              <w:rPr>
                <w:sz w:val="18"/>
                <w:szCs w:val="18"/>
              </w:rPr>
            </w:pPr>
            <w:r>
              <w:rPr>
                <w:sz w:val="18"/>
                <w:szCs w:val="18"/>
              </w:rPr>
              <w:t>Whigham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500</w:t>
            </w:r>
          </w:p>
        </w:tc>
        <w:tc>
          <w:tcPr>
            <w:tcW w:w="2905" w:type="dxa"/>
          </w:tcPr>
          <w:p w:rsidR="009B2A14" w:rsidRDefault="009B2A14" w:rsidP="009B2A14">
            <w:pPr>
              <w:spacing w:after="0"/>
              <w:jc w:val="center"/>
            </w:pPr>
            <w:r w:rsidRPr="00115CCB">
              <w:rPr>
                <w:color w:val="000000"/>
                <w:sz w:val="18"/>
                <w:szCs w:val="18"/>
              </w:rPr>
              <w:t>MPB (serum)</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57</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let-7f-5p</w:t>
            </w:r>
          </w:p>
        </w:tc>
        <w:tc>
          <w:tcPr>
            <w:tcW w:w="2905" w:type="dxa"/>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pPr>
            <w:r w:rsidRPr="00D95F2C">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F548C3" w:rsidRPr="00DE5B46" w:rsidTr="0056680A">
        <w:trPr>
          <w:cantSplit/>
          <w:jc w:val="center"/>
        </w:trPr>
        <w:tc>
          <w:tcPr>
            <w:tcW w:w="0" w:type="auto"/>
            <w:vAlign w:val="bottom"/>
          </w:tcPr>
          <w:p w:rsidR="00F548C3" w:rsidRPr="00585202" w:rsidRDefault="00F548C3" w:rsidP="009B2A14">
            <w:pPr>
              <w:spacing w:after="0"/>
              <w:jc w:val="center"/>
              <w:rPr>
                <w:color w:val="000000"/>
                <w:sz w:val="18"/>
                <w:szCs w:val="18"/>
              </w:rPr>
            </w:pPr>
            <w:r>
              <w:rPr>
                <w:color w:val="000000"/>
                <w:sz w:val="18"/>
                <w:szCs w:val="18"/>
              </w:rPr>
              <w:t>let-7f-1-3p</w:t>
            </w:r>
          </w:p>
        </w:tc>
        <w:tc>
          <w:tcPr>
            <w:tcW w:w="2905" w:type="dxa"/>
          </w:tcPr>
          <w:p w:rsidR="00F548C3" w:rsidRPr="00D95F2C" w:rsidRDefault="00F548C3" w:rsidP="009B2A14">
            <w:pPr>
              <w:spacing w:after="0"/>
              <w:jc w:val="center"/>
              <w:rPr>
                <w:color w:val="000000"/>
                <w:sz w:val="18"/>
                <w:szCs w:val="18"/>
              </w:rPr>
            </w:pPr>
            <w:r>
              <w:rPr>
                <w:color w:val="000000"/>
                <w:sz w:val="18"/>
                <w:szCs w:val="18"/>
              </w:rPr>
              <w:t>Placenta (hDMSC)</w:t>
            </w:r>
          </w:p>
        </w:tc>
        <w:tc>
          <w:tcPr>
            <w:tcW w:w="2976" w:type="dxa"/>
            <w:vAlign w:val="center"/>
          </w:tcPr>
          <w:p w:rsidR="00F548C3" w:rsidRDefault="00523B5E" w:rsidP="009B2A14">
            <w:pPr>
              <w:spacing w:after="0"/>
              <w:jc w:val="center"/>
              <w:rPr>
                <w:color w:val="000000"/>
                <w:sz w:val="18"/>
                <w:szCs w:val="18"/>
              </w:rPr>
            </w:pPr>
            <w:r>
              <w:rPr>
                <w:color w:val="000000"/>
                <w:sz w:val="18"/>
                <w:szCs w:val="18"/>
              </w:rPr>
              <w:t>No difference</w:t>
            </w:r>
            <w:r w:rsidR="00F548C3">
              <w:rPr>
                <w:color w:val="000000"/>
                <w:sz w:val="18"/>
                <w:szCs w:val="18"/>
              </w:rPr>
              <w:t xml:space="preserve"> in PE</w:t>
            </w:r>
          </w:p>
        </w:tc>
        <w:tc>
          <w:tcPr>
            <w:tcW w:w="709" w:type="dxa"/>
            <w:vAlign w:val="center"/>
          </w:tcPr>
          <w:p w:rsidR="00F548C3" w:rsidRDefault="00F548C3" w:rsidP="009B2A14">
            <w:pPr>
              <w:spacing w:after="0"/>
              <w:jc w:val="center"/>
              <w:rPr>
                <w:color w:val="000000"/>
                <w:sz w:val="18"/>
                <w:szCs w:val="18"/>
              </w:rPr>
            </w:pPr>
            <w:r>
              <w:rPr>
                <w:color w:val="000000"/>
                <w:sz w:val="18"/>
                <w:szCs w:val="18"/>
              </w:rPr>
              <w:t>No</w:t>
            </w:r>
          </w:p>
        </w:tc>
        <w:tc>
          <w:tcPr>
            <w:tcW w:w="1805" w:type="dxa"/>
            <w:vAlign w:val="center"/>
          </w:tcPr>
          <w:p w:rsidR="00F548C3" w:rsidRDefault="00F548C3" w:rsidP="009B2A14">
            <w:pPr>
              <w:spacing w:after="0"/>
              <w:jc w:val="center"/>
              <w:rPr>
                <w:sz w:val="18"/>
                <w:szCs w:val="18"/>
              </w:rPr>
            </w:pPr>
            <w:r>
              <w:rPr>
                <w:sz w:val="18"/>
                <w:szCs w:val="18"/>
              </w:rPr>
              <w:t>Kamali-Simsek 2021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98-5p</w:t>
            </w:r>
          </w:p>
        </w:tc>
        <w:tc>
          <w:tcPr>
            <w:tcW w:w="2905" w:type="dxa"/>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pPr>
            <w:r w:rsidRPr="00D95F2C">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221-3p</w:t>
            </w:r>
          </w:p>
        </w:tc>
        <w:tc>
          <w:tcPr>
            <w:tcW w:w="2905" w:type="dxa"/>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MPB (whole blood)</w:t>
            </w:r>
          </w:p>
          <w:p w:rsidR="009B2A14" w:rsidRDefault="009B2A14" w:rsidP="009B2A14">
            <w:pPr>
              <w:spacing w:after="0"/>
              <w:jc w:val="center"/>
              <w:rPr>
                <w:color w:val="000000"/>
                <w:sz w:val="18"/>
                <w:szCs w:val="18"/>
              </w:rPr>
            </w:pPr>
            <w:r>
              <w:rPr>
                <w:color w:val="000000"/>
                <w:sz w:val="18"/>
                <w:szCs w:val="18"/>
              </w:rPr>
              <w:t>MPB (plasma exosomes)</w:t>
            </w: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Down 1 year after delivery</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No difference</w:t>
            </w:r>
          </w:p>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66</w:t>
            </w:r>
          </w:p>
          <w:p w:rsidR="009B2A14" w:rsidRDefault="009B2A14" w:rsidP="009B2A14">
            <w:pPr>
              <w:spacing w:after="0"/>
              <w:jc w:val="center"/>
              <w:rPr>
                <w:sz w:val="18"/>
                <w:szCs w:val="18"/>
              </w:rPr>
            </w:pPr>
            <w:r>
              <w:rPr>
                <w:sz w:val="18"/>
                <w:szCs w:val="18"/>
              </w:rPr>
              <w:t>110</w:t>
            </w:r>
          </w:p>
          <w:p w:rsidR="009B2A14" w:rsidRDefault="009B2A14" w:rsidP="009B2A14">
            <w:pPr>
              <w:spacing w:after="0"/>
              <w:jc w:val="center"/>
              <w:rPr>
                <w:sz w:val="18"/>
                <w:szCs w:val="18"/>
              </w:rPr>
            </w:pPr>
            <w:r>
              <w:rPr>
                <w:sz w:val="18"/>
                <w:szCs w:val="18"/>
              </w:rPr>
              <w:t>158</w:t>
            </w:r>
          </w:p>
          <w:p w:rsidR="009B2A14" w:rsidRPr="00DE5B46" w:rsidRDefault="009B2A14" w:rsidP="009B2A14">
            <w:pPr>
              <w:spacing w:after="0"/>
              <w:jc w:val="center"/>
              <w:rPr>
                <w:sz w:val="18"/>
                <w:szCs w:val="18"/>
              </w:rPr>
            </w:pPr>
            <w:r>
              <w:rPr>
                <w:sz w:val="18"/>
                <w:szCs w:val="18"/>
              </w:rPr>
              <w:t>189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221-5p</w:t>
            </w:r>
          </w:p>
        </w:tc>
        <w:tc>
          <w:tcPr>
            <w:tcW w:w="2905" w:type="dxa"/>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95F2C"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Default="009B2A14" w:rsidP="009B2A14">
            <w:pPr>
              <w:spacing w:after="0"/>
              <w:jc w:val="center"/>
              <w:rPr>
                <w:color w:val="000000"/>
                <w:sz w:val="18"/>
                <w:szCs w:val="18"/>
              </w:rPr>
            </w:pPr>
            <w:r>
              <w:rPr>
                <w:color w:val="000000"/>
                <w:sz w:val="18"/>
                <w:szCs w:val="18"/>
              </w:rPr>
              <w:t>222</w:t>
            </w:r>
          </w:p>
        </w:tc>
        <w:tc>
          <w:tcPr>
            <w:tcW w:w="2905" w:type="dxa"/>
          </w:tcPr>
          <w:p w:rsidR="009B2A14"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130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222-3p</w:t>
            </w:r>
          </w:p>
        </w:tc>
        <w:tc>
          <w:tcPr>
            <w:tcW w:w="2905" w:type="dxa"/>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pPr>
            <w:r w:rsidRPr="00D95F2C">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130a</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Pr="00DE5B46" w:rsidRDefault="009B2A14" w:rsidP="009B2A14">
            <w:pPr>
              <w:spacing w:after="0"/>
              <w:jc w:val="center"/>
              <w:rPr>
                <w:color w:val="000000"/>
                <w:sz w:val="18"/>
                <w:szCs w:val="18"/>
              </w:rPr>
            </w:pPr>
            <w:r w:rsidRPr="00D95F2C">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17-5p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26683A">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MPB (whole blood)</w:t>
            </w:r>
          </w:p>
          <w:p w:rsidR="009B2A14" w:rsidRDefault="009B2A14" w:rsidP="009B2A14">
            <w:pPr>
              <w:spacing w:after="0"/>
              <w:jc w:val="center"/>
              <w:rPr>
                <w:color w:val="000000"/>
                <w:sz w:val="18"/>
                <w:szCs w:val="18"/>
              </w:rPr>
            </w:pPr>
            <w:r>
              <w:rPr>
                <w:color w:val="000000"/>
                <w:sz w:val="18"/>
                <w:szCs w:val="18"/>
              </w:rPr>
              <w:t>MPB (plasma exosomes)</w:t>
            </w:r>
          </w:p>
          <w:p w:rsidR="009B2A14" w:rsidRDefault="009B2A14" w:rsidP="009B2A14">
            <w:pPr>
              <w:spacing w:after="0"/>
              <w:jc w:val="center"/>
              <w:rPr>
                <w:color w:val="000000"/>
                <w:sz w:val="18"/>
                <w:szCs w:val="18"/>
              </w:rPr>
            </w:pPr>
            <w:r>
              <w:rPr>
                <w:color w:val="000000"/>
                <w:sz w:val="18"/>
                <w:szCs w:val="18"/>
              </w:rPr>
              <w:t>MPB</w:t>
            </w:r>
          </w:p>
          <w:p w:rsidR="0026683A" w:rsidRPr="00DE5B46" w:rsidRDefault="0026683A"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26683A" w:rsidRPr="00DE5B46" w:rsidRDefault="0026683A"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26683A">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26683A" w:rsidRPr="00DE5B46" w:rsidRDefault="0026683A"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26683A">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66</w:t>
            </w:r>
          </w:p>
          <w:p w:rsidR="009B2A14" w:rsidRDefault="009B2A14" w:rsidP="009B2A14">
            <w:pPr>
              <w:spacing w:after="0"/>
              <w:jc w:val="center"/>
              <w:rPr>
                <w:sz w:val="18"/>
                <w:szCs w:val="18"/>
              </w:rPr>
            </w:pPr>
            <w:r>
              <w:rPr>
                <w:sz w:val="18"/>
                <w:szCs w:val="18"/>
              </w:rPr>
              <w:t>110</w:t>
            </w:r>
          </w:p>
          <w:p w:rsidR="009B2A14" w:rsidRDefault="009B2A14" w:rsidP="009B2A14">
            <w:pPr>
              <w:spacing w:after="0"/>
              <w:jc w:val="center"/>
              <w:rPr>
                <w:sz w:val="18"/>
                <w:szCs w:val="18"/>
              </w:rPr>
            </w:pPr>
            <w:r>
              <w:rPr>
                <w:sz w:val="18"/>
                <w:szCs w:val="18"/>
              </w:rPr>
              <w:t>158</w:t>
            </w:r>
          </w:p>
          <w:p w:rsidR="0026683A" w:rsidRPr="00DE5B46" w:rsidRDefault="0026683A"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29a</w:t>
            </w:r>
          </w:p>
        </w:tc>
        <w:tc>
          <w:tcPr>
            <w:tcW w:w="2905" w:type="dxa"/>
            <w:vAlign w:val="center"/>
          </w:tcPr>
          <w:p w:rsidR="009B2A14" w:rsidRPr="00D95F2C"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130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29a-3p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F92E4A">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MPB</w:t>
            </w:r>
          </w:p>
          <w:p w:rsidR="00F92E4A" w:rsidRPr="00DE5B46" w:rsidRDefault="00F92E4A"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No difference</w:t>
            </w:r>
          </w:p>
          <w:p w:rsidR="00F92E4A" w:rsidRPr="00DE5B46" w:rsidRDefault="00F92E4A"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F92E4A">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F92E4A" w:rsidRPr="00DE5B46" w:rsidRDefault="00F92E4A"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F92E4A">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70</w:t>
            </w:r>
          </w:p>
          <w:p w:rsidR="009B2A14" w:rsidRDefault="009B2A14" w:rsidP="009B2A14">
            <w:pPr>
              <w:spacing w:after="0"/>
              <w:jc w:val="center"/>
              <w:rPr>
                <w:sz w:val="18"/>
                <w:szCs w:val="18"/>
              </w:rPr>
            </w:pPr>
            <w:r>
              <w:rPr>
                <w:sz w:val="18"/>
                <w:szCs w:val="18"/>
              </w:rPr>
              <w:t>158</w:t>
            </w:r>
          </w:p>
          <w:p w:rsidR="00F92E4A" w:rsidRPr="00DE5B46" w:rsidRDefault="00F92E4A"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92-3p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Pr="00DE5B46" w:rsidRDefault="009B2A14" w:rsidP="009B2A14">
            <w:pPr>
              <w:spacing w:after="0"/>
              <w:jc w:val="center"/>
              <w:rPr>
                <w:color w:val="000000"/>
                <w:sz w:val="18"/>
                <w:szCs w:val="18"/>
              </w:rPr>
            </w:pPr>
            <w:r w:rsidRPr="00D95F2C">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Pr="00DE5B46" w:rsidRDefault="009B2A14" w:rsidP="009B2A14">
            <w:pPr>
              <w:spacing w:after="0"/>
              <w:jc w:val="center"/>
              <w:rPr>
                <w:color w:val="000000"/>
                <w:sz w:val="18"/>
                <w:szCs w:val="18"/>
              </w:rPr>
            </w:pPr>
            <w:r>
              <w:rPr>
                <w:color w:val="000000"/>
                <w:sz w:val="18"/>
                <w:szCs w:val="18"/>
              </w:rPr>
              <w:t>No difference 1 year after delivery</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Pr="00DE5B46" w:rsidRDefault="009B2A14" w:rsidP="009B2A14">
            <w:pPr>
              <w:spacing w:after="0"/>
              <w:jc w:val="center"/>
              <w:rPr>
                <w:sz w:val="18"/>
                <w:szCs w:val="18"/>
              </w:rPr>
            </w:pPr>
            <w:r>
              <w:rPr>
                <w:sz w:val="18"/>
                <w:szCs w:val="18"/>
              </w:rPr>
              <w:t>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lastRenderedPageBreak/>
              <w:t>20b-5p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158</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20b</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Default="009B2A14" w:rsidP="009B2A14">
            <w:pPr>
              <w:spacing w:after="0"/>
              <w:jc w:val="center"/>
              <w:rPr>
                <w:color w:val="000000"/>
                <w:sz w:val="18"/>
                <w:szCs w:val="18"/>
              </w:rPr>
            </w:pPr>
            <w:r>
              <w:rPr>
                <w:color w:val="000000"/>
                <w:sz w:val="18"/>
                <w:szCs w:val="18"/>
              </w:rPr>
              <w:t>Placenta</w:t>
            </w:r>
          </w:p>
          <w:p w:rsidR="009B2A14" w:rsidRPr="00D95F2C"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67</w:t>
            </w:r>
          </w:p>
          <w:p w:rsidR="009B2A14" w:rsidRDefault="009B2A14" w:rsidP="009B2A14">
            <w:pPr>
              <w:spacing w:after="0"/>
              <w:jc w:val="center"/>
              <w:rPr>
                <w:sz w:val="18"/>
                <w:szCs w:val="18"/>
              </w:rPr>
            </w:pPr>
            <w:r>
              <w:rPr>
                <w:sz w:val="18"/>
                <w:szCs w:val="18"/>
              </w:rPr>
              <w:t>97</w:t>
            </w:r>
          </w:p>
          <w:p w:rsidR="009B2A14" w:rsidRDefault="009B2A14" w:rsidP="009B2A14">
            <w:pPr>
              <w:spacing w:after="0"/>
              <w:jc w:val="center"/>
              <w:rPr>
                <w:sz w:val="18"/>
                <w:szCs w:val="18"/>
              </w:rPr>
            </w:pPr>
            <w:r>
              <w:rPr>
                <w:sz w:val="18"/>
                <w:szCs w:val="18"/>
              </w:rPr>
              <w:t>97</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195-5p</w:t>
            </w:r>
          </w:p>
        </w:tc>
        <w:tc>
          <w:tcPr>
            <w:tcW w:w="2905" w:type="dxa"/>
            <w:vAlign w:val="center"/>
          </w:tcPr>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r w:rsidRPr="00D95F2C">
              <w:rPr>
                <w:color w:val="000000"/>
                <w:sz w:val="18"/>
                <w:szCs w:val="18"/>
              </w:rPr>
              <w:t>MPB (plasma)</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 (whole blood)</w:t>
            </w:r>
          </w:p>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at delivery</w:t>
            </w:r>
          </w:p>
          <w:p w:rsidR="009B2A14" w:rsidRDefault="009B2A14" w:rsidP="009B2A14">
            <w:pPr>
              <w:spacing w:after="0"/>
              <w:jc w:val="center"/>
              <w:rPr>
                <w:color w:val="000000"/>
                <w:sz w:val="18"/>
                <w:szCs w:val="18"/>
              </w:rPr>
            </w:pPr>
            <w:r>
              <w:rPr>
                <w:color w:val="000000"/>
                <w:sz w:val="18"/>
                <w:szCs w:val="18"/>
              </w:rPr>
              <w:t>No difference 1 year after delivery</w:t>
            </w:r>
          </w:p>
          <w:p w:rsidR="009B2A14" w:rsidRDefault="009B2A14" w:rsidP="009B2A14">
            <w:pPr>
              <w:spacing w:after="0"/>
              <w:jc w:val="center"/>
              <w:rPr>
                <w:color w:val="000000"/>
                <w:sz w:val="18"/>
                <w:szCs w:val="18"/>
              </w:rPr>
            </w:pPr>
            <w:r>
              <w:rPr>
                <w:color w:val="000000"/>
                <w:sz w:val="18"/>
                <w:szCs w:val="18"/>
              </w:rPr>
              <w:t>No difference</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r>
              <w:rPr>
                <w:sz w:val="18"/>
                <w:szCs w:val="18"/>
              </w:rPr>
              <w:t>60</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66</w:t>
            </w:r>
          </w:p>
          <w:p w:rsidR="009B2A14" w:rsidRPr="00DE5B46" w:rsidRDefault="009B2A14" w:rsidP="009B2A14">
            <w:pPr>
              <w:spacing w:after="0"/>
              <w:jc w:val="center"/>
              <w:rPr>
                <w:sz w:val="18"/>
                <w:szCs w:val="18"/>
              </w:rPr>
            </w:pPr>
            <w:r>
              <w:rPr>
                <w:sz w:val="18"/>
                <w:szCs w:val="18"/>
              </w:rPr>
              <w:t>72</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33a</w:t>
            </w:r>
          </w:p>
        </w:tc>
        <w:tc>
          <w:tcPr>
            <w:tcW w:w="2905" w:type="dxa"/>
            <w:vAlign w:val="center"/>
          </w:tcPr>
          <w:p w:rsidR="009B2A14" w:rsidRPr="00A52CA9" w:rsidRDefault="009B2A14" w:rsidP="009B2A14">
            <w:pPr>
              <w:spacing w:after="0"/>
              <w:jc w:val="center"/>
              <w:rPr>
                <w:color w:val="000000"/>
                <w:sz w:val="18"/>
                <w:szCs w:val="18"/>
              </w:rPr>
            </w:pPr>
            <w:r>
              <w:rPr>
                <w:color w:val="000000"/>
                <w:sz w:val="18"/>
                <w:szCs w:val="18"/>
              </w:rPr>
              <w:t>MPB (buffy coat)</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Default="009B2A14" w:rsidP="009B2A14">
            <w:pPr>
              <w:spacing w:after="0"/>
              <w:jc w:val="center"/>
              <w:rPr>
                <w:sz w:val="18"/>
                <w:szCs w:val="18"/>
              </w:rPr>
            </w:pPr>
            <w:r>
              <w:rPr>
                <w:sz w:val="18"/>
                <w:szCs w:val="18"/>
              </w:rPr>
              <w:t>146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33a-5p</w:t>
            </w:r>
          </w:p>
        </w:tc>
        <w:tc>
          <w:tcPr>
            <w:tcW w:w="2905" w:type="dxa"/>
            <w:vAlign w:val="center"/>
          </w:tcPr>
          <w:p w:rsidR="009B2A14" w:rsidRPr="00A52CA9" w:rsidRDefault="009B2A14" w:rsidP="009B2A14">
            <w:pPr>
              <w:spacing w:after="0"/>
              <w:jc w:val="center"/>
              <w:rPr>
                <w:color w:val="000000"/>
                <w:sz w:val="18"/>
                <w:szCs w:val="18"/>
              </w:rPr>
            </w:pPr>
            <w:r w:rsidRPr="00A52CA9">
              <w:rPr>
                <w:color w:val="000000"/>
                <w:sz w:val="18"/>
                <w:szCs w:val="18"/>
              </w:rPr>
              <w:t>MPB</w:t>
            </w:r>
          </w:p>
          <w:p w:rsidR="009B2A14" w:rsidRPr="00A52CA9" w:rsidRDefault="009B2A14" w:rsidP="009B2A14">
            <w:pPr>
              <w:spacing w:after="0"/>
              <w:jc w:val="center"/>
              <w:rPr>
                <w:color w:val="000000"/>
                <w:sz w:val="18"/>
                <w:szCs w:val="18"/>
              </w:rPr>
            </w:pPr>
          </w:p>
          <w:p w:rsidR="009B2A14" w:rsidRPr="00A52CA9" w:rsidRDefault="009B2A14" w:rsidP="009B2A14">
            <w:pPr>
              <w:spacing w:after="0"/>
              <w:jc w:val="center"/>
              <w:rPr>
                <w:color w:val="000000"/>
                <w:sz w:val="18"/>
                <w:szCs w:val="18"/>
              </w:rPr>
            </w:pPr>
            <w:r w:rsidRPr="00A52CA9">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7-5p</w:t>
            </w:r>
          </w:p>
        </w:tc>
        <w:tc>
          <w:tcPr>
            <w:tcW w:w="2905" w:type="dxa"/>
          </w:tcPr>
          <w:p w:rsidR="009B2A14" w:rsidRPr="00A52CA9" w:rsidRDefault="009B2A14" w:rsidP="009B2A14">
            <w:pPr>
              <w:spacing w:after="0"/>
              <w:jc w:val="center"/>
              <w:rPr>
                <w:color w:val="000000"/>
                <w:sz w:val="18"/>
                <w:szCs w:val="18"/>
              </w:rPr>
            </w:pPr>
            <w:r w:rsidRPr="00A52CA9">
              <w:rPr>
                <w:color w:val="000000"/>
                <w:sz w:val="18"/>
                <w:szCs w:val="18"/>
              </w:rPr>
              <w:t>MPB</w:t>
            </w:r>
          </w:p>
          <w:p w:rsidR="009B2A14" w:rsidRPr="00A52CA9" w:rsidRDefault="009B2A14" w:rsidP="009B2A14">
            <w:pPr>
              <w:spacing w:after="0"/>
              <w:jc w:val="center"/>
              <w:rPr>
                <w:sz w:val="18"/>
                <w:szCs w:val="18"/>
              </w:rPr>
            </w:pPr>
            <w:r w:rsidRPr="00A52CA9">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1229</w:t>
            </w:r>
          </w:p>
        </w:tc>
        <w:tc>
          <w:tcPr>
            <w:tcW w:w="2905" w:type="dxa"/>
          </w:tcPr>
          <w:p w:rsidR="009B2A14" w:rsidRPr="00A52CA9" w:rsidRDefault="009B2A14" w:rsidP="009B2A14">
            <w:pPr>
              <w:spacing w:after="0"/>
              <w:jc w:val="center"/>
              <w:rPr>
                <w:color w:val="000000"/>
                <w:sz w:val="18"/>
                <w:szCs w:val="18"/>
              </w:rPr>
            </w:pPr>
            <w:r w:rsidRPr="00A52CA9">
              <w:rPr>
                <w:color w:val="000000"/>
                <w:sz w:val="18"/>
                <w:szCs w:val="18"/>
              </w:rPr>
              <w:t>MPB</w:t>
            </w:r>
          </w:p>
          <w:p w:rsidR="009B2A14" w:rsidRPr="00A52CA9" w:rsidRDefault="009B2A14" w:rsidP="009B2A14">
            <w:pPr>
              <w:spacing w:after="0"/>
              <w:jc w:val="center"/>
              <w:rPr>
                <w:color w:val="000000"/>
                <w:sz w:val="18"/>
                <w:szCs w:val="18"/>
              </w:rPr>
            </w:pPr>
          </w:p>
          <w:p w:rsidR="009B2A14" w:rsidRPr="00A52CA9" w:rsidRDefault="009B2A14" w:rsidP="009B2A14">
            <w:pPr>
              <w:spacing w:after="0"/>
              <w:jc w:val="center"/>
              <w:rPr>
                <w:sz w:val="18"/>
                <w:szCs w:val="18"/>
              </w:rPr>
            </w:pPr>
            <w:r w:rsidRPr="00A52CA9">
              <w:rPr>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Down in PE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1267</w:t>
            </w:r>
          </w:p>
        </w:tc>
        <w:tc>
          <w:tcPr>
            <w:tcW w:w="2905" w:type="dxa"/>
          </w:tcPr>
          <w:p w:rsidR="009B2A14" w:rsidRDefault="009B2A14" w:rsidP="009B2A14">
            <w:pPr>
              <w:spacing w:after="0"/>
              <w:jc w:val="center"/>
              <w:rPr>
                <w:color w:val="000000"/>
                <w:sz w:val="18"/>
                <w:szCs w:val="18"/>
              </w:rPr>
            </w:pPr>
            <w:r w:rsidRPr="00046CBC">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pPr>
            <w:r>
              <w:rPr>
                <w:color w:val="000000"/>
                <w:sz w:val="18"/>
                <w:szCs w:val="18"/>
              </w:rPr>
              <w:t>MPB (buffy coat)</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Down in PE vs. 1</w:t>
            </w:r>
            <w:r w:rsidR="00E33D6E" w:rsidRPr="00E33D6E">
              <w:rPr>
                <w:color w:val="000000"/>
                <w:sz w:val="18"/>
                <w:szCs w:val="18"/>
                <w:vertAlign w:val="superscript"/>
              </w:rPr>
              <w:t>st</w:t>
            </w:r>
            <w:r>
              <w:rPr>
                <w:color w:val="000000"/>
                <w:sz w:val="18"/>
                <w:szCs w:val="18"/>
              </w:rPr>
              <w:t xml:space="preserve"> trimester control</w:t>
            </w:r>
          </w:p>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146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671-3p</w:t>
            </w:r>
          </w:p>
        </w:tc>
        <w:tc>
          <w:tcPr>
            <w:tcW w:w="2905" w:type="dxa"/>
          </w:tcPr>
          <w:p w:rsidR="009B2A14" w:rsidRDefault="009B2A14" w:rsidP="009B2A14">
            <w:pPr>
              <w:spacing w:after="0"/>
              <w:jc w:val="center"/>
              <w:rPr>
                <w:color w:val="000000"/>
                <w:sz w:val="18"/>
                <w:szCs w:val="18"/>
              </w:rPr>
            </w:pPr>
            <w:r w:rsidRPr="00046CBC">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133</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p w:rsidR="00AF3AC4" w:rsidRDefault="00AF3AC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AF3AC4" w:rsidRDefault="00AF3AC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AF3AC4" w:rsidRDefault="00AF3AC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167</w:t>
            </w:r>
          </w:p>
          <w:p w:rsidR="00AF3AC4" w:rsidRDefault="00AF3AC4" w:rsidP="009B2A14">
            <w:pPr>
              <w:spacing w:after="0"/>
              <w:jc w:val="center"/>
              <w:rPr>
                <w:sz w:val="18"/>
                <w:szCs w:val="18"/>
              </w:rPr>
            </w:pPr>
            <w:r>
              <w:rPr>
                <w:sz w:val="18"/>
                <w:szCs w:val="18"/>
              </w:rPr>
              <w:t>Zhang 2019</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133a-3p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158</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133b</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93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582</w:t>
            </w:r>
          </w:p>
        </w:tc>
        <w:tc>
          <w:tcPr>
            <w:tcW w:w="2905" w:type="dxa"/>
          </w:tcPr>
          <w:p w:rsidR="009B2A14" w:rsidRPr="00FD7934" w:rsidRDefault="009B2A14" w:rsidP="009B2A14">
            <w:pPr>
              <w:spacing w:after="0"/>
              <w:jc w:val="center"/>
              <w:rPr>
                <w:color w:val="000000"/>
                <w:sz w:val="18"/>
                <w:szCs w:val="18"/>
              </w:rPr>
            </w:pPr>
            <w:r>
              <w:rPr>
                <w:color w:val="000000"/>
                <w:sz w:val="18"/>
                <w:szCs w:val="18"/>
              </w:rPr>
              <w:t>MPB (buffy coat)</w:t>
            </w:r>
          </w:p>
        </w:tc>
        <w:tc>
          <w:tcPr>
            <w:tcW w:w="2976" w:type="dxa"/>
            <w:vAlign w:val="center"/>
          </w:tcPr>
          <w:p w:rsidR="009B2A14"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Default="009B2A14" w:rsidP="009B2A14">
            <w:pPr>
              <w:spacing w:after="0"/>
              <w:jc w:val="center"/>
              <w:rPr>
                <w:sz w:val="18"/>
                <w:szCs w:val="18"/>
              </w:rPr>
            </w:pPr>
            <w:r>
              <w:rPr>
                <w:sz w:val="18"/>
                <w:szCs w:val="18"/>
              </w:rPr>
              <w:t>146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lastRenderedPageBreak/>
              <w:t>582-5p</w:t>
            </w:r>
          </w:p>
        </w:tc>
        <w:tc>
          <w:tcPr>
            <w:tcW w:w="2905" w:type="dxa"/>
          </w:tcPr>
          <w:p w:rsidR="009B2A14" w:rsidRDefault="009B2A14" w:rsidP="009B2A14">
            <w:pPr>
              <w:spacing w:after="0"/>
              <w:jc w:val="center"/>
              <w:rPr>
                <w:color w:val="000000"/>
                <w:sz w:val="18"/>
                <w:szCs w:val="18"/>
              </w:rPr>
            </w:pPr>
            <w:r w:rsidRPr="00FD7934">
              <w:rPr>
                <w:color w:val="000000"/>
                <w:sz w:val="18"/>
                <w:szCs w:val="18"/>
              </w:rPr>
              <w:t>MPB</w:t>
            </w:r>
          </w:p>
          <w:p w:rsidR="009B2A14" w:rsidRPr="00FD7934"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r>
              <w:rPr>
                <w:sz w:val="18"/>
                <w:szCs w:val="18"/>
              </w:rPr>
              <w:t>63</w:t>
            </w:r>
          </w:p>
          <w:p w:rsidR="009B2A14" w:rsidRPr="00DE5B46" w:rsidRDefault="009B2A14" w:rsidP="009B2A14">
            <w:pPr>
              <w:spacing w:after="0"/>
              <w:jc w:val="center"/>
              <w:rPr>
                <w:sz w:val="18"/>
                <w:szCs w:val="18"/>
              </w:rPr>
            </w:pP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582-3p</w:t>
            </w:r>
          </w:p>
        </w:tc>
        <w:tc>
          <w:tcPr>
            <w:tcW w:w="2905" w:type="dxa"/>
          </w:tcPr>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Fetal cord blood (plasma)</w:t>
            </w:r>
          </w:p>
          <w:p w:rsidR="009B2A14" w:rsidRPr="00FD7934"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111</w:t>
            </w:r>
          </w:p>
          <w:p w:rsidR="009B2A14" w:rsidRDefault="009B2A14" w:rsidP="009B2A14">
            <w:pPr>
              <w:spacing w:after="0"/>
              <w:jc w:val="center"/>
              <w:rPr>
                <w:sz w:val="18"/>
                <w:szCs w:val="18"/>
              </w:rPr>
            </w:pPr>
            <w:r>
              <w:rPr>
                <w:sz w:val="18"/>
                <w:szCs w:val="18"/>
              </w:rPr>
              <w:t>111</w:t>
            </w:r>
          </w:p>
          <w:p w:rsidR="009B2A14" w:rsidRDefault="009B2A14" w:rsidP="009B2A14">
            <w:pPr>
              <w:spacing w:after="0"/>
              <w:jc w:val="center"/>
              <w:rPr>
                <w:sz w:val="18"/>
                <w:szCs w:val="18"/>
              </w:rPr>
            </w:pPr>
            <w:r>
              <w:rPr>
                <w:sz w:val="18"/>
                <w:szCs w:val="18"/>
              </w:rPr>
              <w:t>111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30e-3p</w:t>
            </w:r>
          </w:p>
        </w:tc>
        <w:tc>
          <w:tcPr>
            <w:tcW w:w="2905" w:type="dxa"/>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FD7934"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Down in PE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199a-5p</w:t>
            </w:r>
          </w:p>
        </w:tc>
        <w:tc>
          <w:tcPr>
            <w:tcW w:w="2905" w:type="dxa"/>
          </w:tcPr>
          <w:p w:rsidR="009B2A14" w:rsidRDefault="009B2A14" w:rsidP="009B2A14">
            <w:pPr>
              <w:spacing w:after="0"/>
              <w:jc w:val="center"/>
              <w:rPr>
                <w:color w:val="000000"/>
                <w:sz w:val="18"/>
                <w:szCs w:val="18"/>
              </w:rPr>
            </w:pPr>
            <w:r w:rsidRPr="00FD7934">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 (whole blood)</w:t>
            </w: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No difference</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66</w:t>
            </w:r>
          </w:p>
          <w:p w:rsidR="009B2A14" w:rsidRDefault="009B2A14" w:rsidP="009B2A14">
            <w:pPr>
              <w:spacing w:after="0"/>
              <w:jc w:val="center"/>
              <w:rPr>
                <w:sz w:val="18"/>
                <w:szCs w:val="18"/>
              </w:rPr>
            </w:pPr>
            <w:r>
              <w:rPr>
                <w:sz w:val="18"/>
                <w:szCs w:val="18"/>
              </w:rPr>
              <w:t>158</w:t>
            </w:r>
          </w:p>
          <w:p w:rsidR="009B2A14" w:rsidRPr="00DE5B46" w:rsidRDefault="009B2A14" w:rsidP="009B2A14">
            <w:pPr>
              <w:spacing w:after="0"/>
              <w:jc w:val="center"/>
              <w:rPr>
                <w:sz w:val="18"/>
                <w:szCs w:val="18"/>
              </w:rPr>
            </w:pPr>
            <w:r>
              <w:rPr>
                <w:sz w:val="18"/>
                <w:szCs w:val="18"/>
              </w:rPr>
              <w:t>169</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199a-3p</w:t>
            </w:r>
          </w:p>
        </w:tc>
        <w:tc>
          <w:tcPr>
            <w:tcW w:w="2905" w:type="dxa"/>
          </w:tcPr>
          <w:p w:rsidR="009B2A14" w:rsidRPr="00FD7934"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199b-5p</w:t>
            </w:r>
          </w:p>
        </w:tc>
        <w:tc>
          <w:tcPr>
            <w:tcW w:w="2905" w:type="dxa"/>
          </w:tcPr>
          <w:p w:rsidR="009B2A14" w:rsidRDefault="009B2A14" w:rsidP="009B2A14">
            <w:pPr>
              <w:spacing w:after="0"/>
              <w:jc w:val="center"/>
              <w:rPr>
                <w:color w:val="000000"/>
                <w:sz w:val="18"/>
                <w:szCs w:val="18"/>
              </w:rPr>
            </w:pPr>
            <w:r w:rsidRPr="00FD7934">
              <w:rPr>
                <w:color w:val="000000"/>
                <w:sz w:val="18"/>
                <w:szCs w:val="18"/>
              </w:rPr>
              <w:t>MPB</w:t>
            </w:r>
          </w:p>
          <w:p w:rsidR="009B2A14" w:rsidRDefault="009B2A14" w:rsidP="009B2A14">
            <w:pPr>
              <w:spacing w:after="0"/>
              <w:jc w:val="center"/>
              <w:rPr>
                <w:color w:val="000000"/>
                <w:sz w:val="18"/>
                <w:szCs w:val="18"/>
              </w:rPr>
            </w:pPr>
          </w:p>
          <w:p w:rsidR="009B2A14" w:rsidRPr="00FD7934"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Down in PE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575</w:t>
            </w:r>
          </w:p>
        </w:tc>
        <w:tc>
          <w:tcPr>
            <w:tcW w:w="2905" w:type="dxa"/>
          </w:tcPr>
          <w:p w:rsidR="009B2A14" w:rsidRDefault="009B2A14" w:rsidP="009B2A14">
            <w:pPr>
              <w:spacing w:after="0"/>
              <w:jc w:val="center"/>
              <w:rPr>
                <w:color w:val="000000"/>
                <w:sz w:val="18"/>
                <w:szCs w:val="18"/>
              </w:rPr>
            </w:pPr>
            <w:r w:rsidRPr="00FD7934">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pPr>
            <w:r>
              <w:rPr>
                <w:color w:val="000000"/>
                <w:sz w:val="18"/>
                <w:szCs w:val="18"/>
              </w:rPr>
              <w:t>MPB (buffy coat)</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146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301a-3p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Down in PE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148a-3p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Placenta (chorionic plate)</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 vs. preconceptional</w:t>
            </w:r>
          </w:p>
          <w:p w:rsidR="009B2A14" w:rsidRDefault="009B2A14" w:rsidP="009B2A14">
            <w:pPr>
              <w:spacing w:after="0"/>
              <w:jc w:val="center"/>
              <w:rPr>
                <w:color w:val="000000"/>
                <w:sz w:val="18"/>
                <w:szCs w:val="18"/>
              </w:rPr>
            </w:pPr>
            <w:r>
              <w:rPr>
                <w:color w:val="000000"/>
                <w:sz w:val="18"/>
                <w:szCs w:val="18"/>
              </w:rPr>
              <w:t>Down in PE vs. 1</w:t>
            </w:r>
            <w:r w:rsidR="00E33D6E" w:rsidRPr="00E33D6E">
              <w:rPr>
                <w:color w:val="000000"/>
                <w:sz w:val="18"/>
                <w:szCs w:val="18"/>
                <w:vertAlign w:val="superscript"/>
              </w:rPr>
              <w:t>st</w:t>
            </w:r>
            <w:r>
              <w:rPr>
                <w:color w:val="000000"/>
                <w:sz w:val="18"/>
                <w:szCs w:val="18"/>
              </w:rPr>
              <w:t xml:space="preserve"> trimester control</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81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Pr>
                <w:color w:val="000000"/>
                <w:sz w:val="18"/>
                <w:szCs w:val="18"/>
              </w:rPr>
              <w:t>148a</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103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193-3p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Placenta (chorionic plate)</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81</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lastRenderedPageBreak/>
              <w:t>219-5p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132</w:t>
            </w:r>
          </w:p>
        </w:tc>
        <w:tc>
          <w:tcPr>
            <w:tcW w:w="2905" w:type="dxa"/>
            <w:vAlign w:val="center"/>
          </w:tcPr>
          <w:p w:rsidR="009B2A14" w:rsidRDefault="009B2A14" w:rsidP="006749D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r>
              <w:rPr>
                <w:color w:val="000000"/>
                <w:sz w:val="18"/>
                <w:szCs w:val="18"/>
              </w:rPr>
              <w:t>MPB</w:t>
            </w:r>
          </w:p>
          <w:p w:rsidR="006749D4" w:rsidRPr="00DE5B46" w:rsidRDefault="006749D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6749D4" w:rsidRPr="00DE5B46" w:rsidRDefault="006749D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6749D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p w:rsidR="006749D4" w:rsidRPr="00DE5B46" w:rsidRDefault="006749D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6749D4">
            <w:pPr>
              <w:spacing w:after="0"/>
              <w:jc w:val="center"/>
              <w:rPr>
                <w:sz w:val="18"/>
                <w:szCs w:val="18"/>
              </w:rPr>
            </w:pPr>
            <w:r>
              <w:rPr>
                <w:sz w:val="18"/>
                <w:szCs w:val="18"/>
              </w:rPr>
              <w:t>63</w:t>
            </w:r>
          </w:p>
          <w:p w:rsidR="009B2A14" w:rsidRDefault="009B2A14" w:rsidP="009B2A14">
            <w:pPr>
              <w:spacing w:after="0"/>
              <w:jc w:val="center"/>
              <w:rPr>
                <w:sz w:val="18"/>
                <w:szCs w:val="18"/>
              </w:rPr>
            </w:pPr>
            <w:r>
              <w:rPr>
                <w:sz w:val="18"/>
                <w:szCs w:val="18"/>
              </w:rPr>
              <w:t>63</w:t>
            </w:r>
          </w:p>
          <w:p w:rsidR="006749D4" w:rsidRPr="00DE5B46" w:rsidRDefault="006749D4" w:rsidP="009B2A14">
            <w:pPr>
              <w:spacing w:after="0"/>
              <w:jc w:val="center"/>
              <w:rPr>
                <w:sz w:val="18"/>
                <w:szCs w:val="18"/>
              </w:rPr>
            </w:pPr>
            <w:r>
              <w:rPr>
                <w:sz w:val="18"/>
                <w:szCs w:val="18"/>
              </w:rPr>
              <w:t>Wang 2020</w:t>
            </w:r>
          </w:p>
        </w:tc>
      </w:tr>
      <w:tr w:rsidR="00EF389B" w:rsidRPr="00DE5B46" w:rsidTr="0056680A">
        <w:trPr>
          <w:cantSplit/>
          <w:jc w:val="center"/>
        </w:trPr>
        <w:tc>
          <w:tcPr>
            <w:tcW w:w="0" w:type="auto"/>
            <w:vAlign w:val="bottom"/>
          </w:tcPr>
          <w:p w:rsidR="00EF389B" w:rsidRPr="00585202" w:rsidRDefault="00EF389B" w:rsidP="009B2A14">
            <w:pPr>
              <w:spacing w:after="0"/>
              <w:jc w:val="center"/>
              <w:rPr>
                <w:color w:val="000000"/>
                <w:sz w:val="18"/>
                <w:szCs w:val="18"/>
              </w:rPr>
            </w:pPr>
            <w:r>
              <w:rPr>
                <w:color w:val="000000"/>
                <w:sz w:val="18"/>
                <w:szCs w:val="18"/>
              </w:rPr>
              <w:t>132-3p</w:t>
            </w:r>
          </w:p>
        </w:tc>
        <w:tc>
          <w:tcPr>
            <w:tcW w:w="2905" w:type="dxa"/>
            <w:vAlign w:val="center"/>
          </w:tcPr>
          <w:p w:rsidR="00EF389B" w:rsidRDefault="00EF389B" w:rsidP="009B2A14">
            <w:pPr>
              <w:spacing w:after="0"/>
              <w:jc w:val="center"/>
              <w:rPr>
                <w:color w:val="000000"/>
                <w:sz w:val="18"/>
                <w:szCs w:val="18"/>
              </w:rPr>
            </w:pPr>
            <w:r>
              <w:rPr>
                <w:color w:val="000000"/>
                <w:sz w:val="18"/>
                <w:szCs w:val="18"/>
              </w:rPr>
              <w:t>MPB (plasma)</w:t>
            </w:r>
          </w:p>
        </w:tc>
        <w:tc>
          <w:tcPr>
            <w:tcW w:w="2976" w:type="dxa"/>
            <w:vAlign w:val="center"/>
          </w:tcPr>
          <w:p w:rsidR="00EF389B" w:rsidRDefault="00EF389B" w:rsidP="009B2A14">
            <w:pPr>
              <w:spacing w:after="0"/>
              <w:jc w:val="center"/>
              <w:rPr>
                <w:color w:val="000000"/>
                <w:sz w:val="18"/>
                <w:szCs w:val="18"/>
              </w:rPr>
            </w:pPr>
            <w:r>
              <w:rPr>
                <w:color w:val="000000"/>
                <w:sz w:val="18"/>
                <w:szCs w:val="18"/>
              </w:rPr>
              <w:t>Down in PE</w:t>
            </w:r>
          </w:p>
        </w:tc>
        <w:tc>
          <w:tcPr>
            <w:tcW w:w="709" w:type="dxa"/>
            <w:vAlign w:val="center"/>
          </w:tcPr>
          <w:p w:rsidR="00EF389B" w:rsidRDefault="00EF389B" w:rsidP="009B2A14">
            <w:pPr>
              <w:spacing w:after="0"/>
              <w:jc w:val="center"/>
              <w:rPr>
                <w:color w:val="000000"/>
                <w:sz w:val="18"/>
                <w:szCs w:val="18"/>
              </w:rPr>
            </w:pPr>
            <w:r>
              <w:rPr>
                <w:color w:val="000000"/>
                <w:sz w:val="18"/>
                <w:szCs w:val="18"/>
              </w:rPr>
              <w:t>Yes</w:t>
            </w:r>
          </w:p>
        </w:tc>
        <w:tc>
          <w:tcPr>
            <w:tcW w:w="1805" w:type="dxa"/>
            <w:vAlign w:val="center"/>
          </w:tcPr>
          <w:p w:rsidR="00EF389B" w:rsidRDefault="00EF389B"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513-5p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1244</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Pr="00DE5B46"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196a</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MPB</w:t>
            </w:r>
          </w:p>
          <w:p w:rsidR="009B2A14" w:rsidRPr="00DE5B46" w:rsidRDefault="009B2A14" w:rsidP="009B2A14">
            <w:pPr>
              <w:spacing w:after="0"/>
              <w:jc w:val="center"/>
              <w:rPr>
                <w:color w:val="000000"/>
                <w:sz w:val="18"/>
                <w:szCs w:val="18"/>
              </w:rPr>
            </w:pPr>
            <w:r>
              <w:rPr>
                <w:color w:val="000000"/>
                <w:sz w:val="18"/>
                <w:szCs w:val="18"/>
              </w:rPr>
              <w:t>MPB (buffy coat)</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preconceptional</w:t>
            </w:r>
          </w:p>
          <w:p w:rsidR="009B2A14" w:rsidRDefault="009B2A14" w:rsidP="009B2A14">
            <w:pPr>
              <w:spacing w:after="0"/>
              <w:jc w:val="center"/>
              <w:rPr>
                <w:color w:val="000000"/>
                <w:sz w:val="18"/>
                <w:szCs w:val="18"/>
              </w:rPr>
            </w:pPr>
            <w:r>
              <w:rPr>
                <w:color w:val="000000"/>
                <w:sz w:val="18"/>
                <w:szCs w:val="18"/>
              </w:rPr>
              <w:t>No difference vs. 1</w:t>
            </w:r>
            <w:r w:rsidR="00E33D6E" w:rsidRPr="00E33D6E">
              <w:rPr>
                <w:color w:val="000000"/>
                <w:sz w:val="18"/>
                <w:szCs w:val="18"/>
                <w:vertAlign w:val="superscript"/>
              </w:rPr>
              <w:t>st</w:t>
            </w:r>
            <w:r>
              <w:rPr>
                <w:color w:val="000000"/>
                <w:sz w:val="18"/>
                <w:szCs w:val="18"/>
              </w:rPr>
              <w:t xml:space="preserve"> trimester control</w:t>
            </w:r>
          </w:p>
          <w:p w:rsidR="009B2A14" w:rsidRPr="00DE5B46" w:rsidRDefault="009B2A14" w:rsidP="009B2A14">
            <w:pPr>
              <w:spacing w:after="0"/>
              <w:jc w:val="center"/>
              <w:rPr>
                <w:color w:val="000000"/>
                <w:sz w:val="18"/>
                <w:szCs w:val="18"/>
              </w:rPr>
            </w:pPr>
            <w:r>
              <w:rPr>
                <w:color w:val="000000"/>
                <w:sz w:val="18"/>
                <w:szCs w:val="18"/>
              </w:rPr>
              <w:t>NR</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NR</w:t>
            </w:r>
          </w:p>
        </w:tc>
        <w:tc>
          <w:tcPr>
            <w:tcW w:w="1805" w:type="dxa"/>
            <w:vAlign w:val="center"/>
          </w:tcPr>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Default="009B2A14" w:rsidP="009B2A14">
            <w:pPr>
              <w:spacing w:after="0"/>
              <w:jc w:val="center"/>
              <w:rPr>
                <w:sz w:val="18"/>
                <w:szCs w:val="18"/>
              </w:rPr>
            </w:pPr>
            <w:r>
              <w:rPr>
                <w:sz w:val="18"/>
                <w:szCs w:val="18"/>
              </w:rPr>
              <w:t>63</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146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223</w:t>
            </w:r>
          </w:p>
        </w:tc>
        <w:tc>
          <w:tcPr>
            <w:tcW w:w="2905" w:type="dxa"/>
            <w:vAlign w:val="center"/>
          </w:tcPr>
          <w:p w:rsidR="009B2A14" w:rsidRDefault="009B2A14" w:rsidP="009B2A14">
            <w:pPr>
              <w:spacing w:after="0"/>
              <w:jc w:val="center"/>
              <w:rPr>
                <w:color w:val="000000"/>
                <w:sz w:val="18"/>
                <w:szCs w:val="18"/>
              </w:rPr>
            </w:pPr>
            <w:r>
              <w:rPr>
                <w:color w:val="000000"/>
                <w:sz w:val="18"/>
                <w:szCs w:val="18"/>
              </w:rPr>
              <w:t>MPB</w:t>
            </w:r>
          </w:p>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 vs. preconceptional</w:t>
            </w:r>
          </w:p>
          <w:p w:rsidR="009B2A14" w:rsidRPr="00DE5B46" w:rsidRDefault="009B2A14" w:rsidP="009B2A14">
            <w:pPr>
              <w:spacing w:after="0"/>
              <w:jc w:val="center"/>
              <w:rPr>
                <w:color w:val="000000"/>
                <w:sz w:val="18"/>
                <w:szCs w:val="18"/>
              </w:rPr>
            </w:pPr>
            <w:r>
              <w:rPr>
                <w:color w:val="000000"/>
                <w:sz w:val="18"/>
                <w:szCs w:val="18"/>
              </w:rPr>
              <w:t>Down in PE vs. 1</w:t>
            </w:r>
            <w:r w:rsidR="00E33D6E" w:rsidRPr="00E33D6E">
              <w:rPr>
                <w:color w:val="000000"/>
                <w:sz w:val="18"/>
                <w:szCs w:val="18"/>
                <w:vertAlign w:val="superscript"/>
              </w:rPr>
              <w:t>st</w:t>
            </w:r>
            <w:r>
              <w:rPr>
                <w:color w:val="000000"/>
                <w:sz w:val="18"/>
                <w:szCs w:val="18"/>
              </w:rPr>
              <w:t xml:space="preserve"> trimester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63</w:t>
            </w:r>
          </w:p>
          <w:p w:rsidR="009B2A14" w:rsidRPr="00DE5B46" w:rsidRDefault="009B2A14" w:rsidP="009B2A14">
            <w:pPr>
              <w:spacing w:after="0"/>
              <w:jc w:val="center"/>
              <w:rPr>
                <w:sz w:val="18"/>
                <w:szCs w:val="18"/>
              </w:rPr>
            </w:pPr>
            <w:r>
              <w:rPr>
                <w:sz w:val="18"/>
                <w:szCs w:val="18"/>
              </w:rPr>
              <w:t>63</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100-5p</w:t>
            </w:r>
          </w:p>
        </w:tc>
        <w:tc>
          <w:tcPr>
            <w:tcW w:w="2905" w:type="dxa"/>
            <w:vAlign w:val="center"/>
          </w:tcPr>
          <w:p w:rsidR="009B2A14" w:rsidRPr="006767AE" w:rsidRDefault="009B2A14" w:rsidP="009B2A14">
            <w:pPr>
              <w:spacing w:after="0"/>
              <w:jc w:val="center"/>
              <w:rPr>
                <w:color w:val="000000"/>
                <w:sz w:val="18"/>
                <w:szCs w:val="18"/>
              </w:rPr>
            </w:pPr>
            <w:r w:rsidRPr="006767AE">
              <w:rPr>
                <w:color w:val="000000"/>
                <w:sz w:val="18"/>
                <w:szCs w:val="18"/>
              </w:rPr>
              <w:t>MPB (whole blood)</w:t>
            </w:r>
          </w:p>
        </w:tc>
        <w:tc>
          <w:tcPr>
            <w:tcW w:w="2976" w:type="dxa"/>
            <w:vAlign w:val="center"/>
          </w:tcPr>
          <w:p w:rsidR="009B2A14" w:rsidRPr="006767AE" w:rsidRDefault="009B2A14" w:rsidP="009B2A14">
            <w:pPr>
              <w:spacing w:after="0"/>
              <w:jc w:val="center"/>
              <w:rPr>
                <w:sz w:val="18"/>
                <w:szCs w:val="18"/>
              </w:rPr>
            </w:pPr>
            <w:r w:rsidRPr="006767AE">
              <w:rPr>
                <w:sz w:val="18"/>
                <w:szCs w:val="18"/>
              </w:rPr>
              <w:t>Down in PE</w:t>
            </w:r>
          </w:p>
        </w:tc>
        <w:tc>
          <w:tcPr>
            <w:tcW w:w="709" w:type="dxa"/>
            <w:vAlign w:val="center"/>
          </w:tcPr>
          <w:p w:rsidR="009B2A14" w:rsidRPr="006767AE" w:rsidRDefault="009B2A14" w:rsidP="009B2A14">
            <w:pPr>
              <w:spacing w:after="0"/>
              <w:jc w:val="center"/>
              <w:rPr>
                <w:color w:val="000000"/>
                <w:sz w:val="18"/>
                <w:szCs w:val="18"/>
              </w:rPr>
            </w:pPr>
            <w:r w:rsidRPr="006767AE">
              <w:rPr>
                <w:color w:val="000000"/>
                <w:sz w:val="18"/>
                <w:szCs w:val="18"/>
              </w:rPr>
              <w:t>Yes</w:t>
            </w:r>
          </w:p>
        </w:tc>
        <w:tc>
          <w:tcPr>
            <w:tcW w:w="1805" w:type="dxa"/>
            <w:vAlign w:val="center"/>
          </w:tcPr>
          <w:p w:rsidR="009B2A14" w:rsidRPr="006767AE" w:rsidRDefault="009B2A14" w:rsidP="009B2A14">
            <w:pPr>
              <w:spacing w:after="0"/>
              <w:jc w:val="center"/>
              <w:rPr>
                <w:sz w:val="18"/>
                <w:szCs w:val="18"/>
              </w:rPr>
            </w:pPr>
            <w:r w:rsidRPr="006767AE">
              <w:rPr>
                <w:sz w:val="18"/>
                <w:szCs w:val="18"/>
              </w:rPr>
              <w:t>66</w:t>
            </w:r>
          </w:p>
        </w:tc>
      </w:tr>
      <w:tr w:rsidR="009B2A14" w:rsidRPr="00DE5B46" w:rsidTr="0056680A">
        <w:trPr>
          <w:cantSplit/>
          <w:jc w:val="center"/>
        </w:trPr>
        <w:tc>
          <w:tcPr>
            <w:tcW w:w="0" w:type="auto"/>
            <w:vAlign w:val="bottom"/>
          </w:tcPr>
          <w:p w:rsidR="009B2A14" w:rsidRPr="00585202" w:rsidRDefault="009B2A14" w:rsidP="009B2A14">
            <w:pPr>
              <w:spacing w:after="0"/>
              <w:jc w:val="center"/>
              <w:rPr>
                <w:color w:val="000000"/>
                <w:sz w:val="18"/>
                <w:szCs w:val="18"/>
              </w:rPr>
            </w:pPr>
            <w:r w:rsidRPr="00585202">
              <w:rPr>
                <w:color w:val="000000"/>
                <w:sz w:val="18"/>
                <w:szCs w:val="18"/>
              </w:rPr>
              <w:t>125-5p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(whole blood)</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66</w:t>
            </w:r>
          </w:p>
        </w:tc>
      </w:tr>
      <w:tr w:rsidR="003B7E38" w:rsidRPr="00DE5B46" w:rsidTr="0056680A">
        <w:trPr>
          <w:cantSplit/>
          <w:jc w:val="center"/>
        </w:trPr>
        <w:tc>
          <w:tcPr>
            <w:tcW w:w="0" w:type="auto"/>
            <w:vAlign w:val="center"/>
          </w:tcPr>
          <w:p w:rsidR="003B7E38" w:rsidRDefault="003B7E38" w:rsidP="009B2A14">
            <w:pPr>
              <w:spacing w:after="0"/>
              <w:jc w:val="center"/>
              <w:rPr>
                <w:color w:val="000000"/>
                <w:sz w:val="18"/>
                <w:szCs w:val="18"/>
              </w:rPr>
            </w:pPr>
            <w:r>
              <w:rPr>
                <w:color w:val="000000"/>
                <w:sz w:val="18"/>
                <w:szCs w:val="18"/>
              </w:rPr>
              <w:t>125a</w:t>
            </w:r>
          </w:p>
        </w:tc>
        <w:tc>
          <w:tcPr>
            <w:tcW w:w="2905" w:type="dxa"/>
            <w:vAlign w:val="center"/>
          </w:tcPr>
          <w:p w:rsidR="003B7E38" w:rsidRDefault="003B7E38" w:rsidP="009B2A14">
            <w:pPr>
              <w:spacing w:after="0"/>
              <w:jc w:val="center"/>
              <w:rPr>
                <w:color w:val="000000"/>
                <w:sz w:val="18"/>
                <w:szCs w:val="18"/>
              </w:rPr>
            </w:pPr>
            <w:r>
              <w:rPr>
                <w:color w:val="000000"/>
                <w:sz w:val="18"/>
                <w:szCs w:val="18"/>
              </w:rPr>
              <w:t>UCB (exosomes)</w:t>
            </w:r>
          </w:p>
          <w:p w:rsidR="003B7E38" w:rsidRDefault="003B7E38" w:rsidP="009B2A14">
            <w:pPr>
              <w:spacing w:after="0"/>
              <w:jc w:val="center"/>
              <w:rPr>
                <w:color w:val="000000"/>
                <w:sz w:val="18"/>
                <w:szCs w:val="18"/>
              </w:rPr>
            </w:pPr>
            <w:r>
              <w:rPr>
                <w:color w:val="000000"/>
                <w:sz w:val="18"/>
                <w:szCs w:val="18"/>
              </w:rPr>
              <w:t>MPB (plasma exosomes)</w:t>
            </w:r>
          </w:p>
          <w:p w:rsidR="003B7E38" w:rsidRDefault="003B7E38" w:rsidP="009B2A14">
            <w:pPr>
              <w:spacing w:after="0"/>
              <w:jc w:val="center"/>
              <w:rPr>
                <w:color w:val="000000"/>
                <w:sz w:val="18"/>
                <w:szCs w:val="18"/>
              </w:rPr>
            </w:pPr>
            <w:r>
              <w:rPr>
                <w:color w:val="000000"/>
                <w:sz w:val="18"/>
                <w:szCs w:val="18"/>
              </w:rPr>
              <w:t>Placenta</w:t>
            </w:r>
          </w:p>
        </w:tc>
        <w:tc>
          <w:tcPr>
            <w:tcW w:w="2976" w:type="dxa"/>
            <w:vAlign w:val="center"/>
          </w:tcPr>
          <w:p w:rsidR="003B7E38" w:rsidRDefault="003B7E38" w:rsidP="009B2A14">
            <w:pPr>
              <w:spacing w:after="0"/>
              <w:jc w:val="center"/>
              <w:rPr>
                <w:color w:val="000000"/>
                <w:sz w:val="18"/>
                <w:szCs w:val="18"/>
              </w:rPr>
            </w:pPr>
            <w:r>
              <w:rPr>
                <w:color w:val="000000"/>
                <w:sz w:val="18"/>
                <w:szCs w:val="18"/>
              </w:rPr>
              <w:t>Up in PE</w:t>
            </w:r>
          </w:p>
          <w:p w:rsidR="003B7E38" w:rsidRDefault="003B7E38" w:rsidP="009B2A14">
            <w:pPr>
              <w:spacing w:after="0"/>
              <w:jc w:val="center"/>
              <w:rPr>
                <w:color w:val="000000"/>
                <w:sz w:val="18"/>
                <w:szCs w:val="18"/>
              </w:rPr>
            </w:pPr>
            <w:r>
              <w:rPr>
                <w:color w:val="000000"/>
                <w:sz w:val="18"/>
                <w:szCs w:val="18"/>
              </w:rPr>
              <w:t>Up in PE</w:t>
            </w:r>
          </w:p>
          <w:p w:rsidR="003B7E38" w:rsidRDefault="003B7E38" w:rsidP="009B2A14">
            <w:pPr>
              <w:spacing w:after="0"/>
              <w:jc w:val="center"/>
              <w:rPr>
                <w:color w:val="000000"/>
                <w:sz w:val="18"/>
                <w:szCs w:val="18"/>
              </w:rPr>
            </w:pPr>
            <w:r>
              <w:rPr>
                <w:color w:val="000000"/>
                <w:sz w:val="18"/>
                <w:szCs w:val="18"/>
              </w:rPr>
              <w:t>Up in PE</w:t>
            </w:r>
          </w:p>
        </w:tc>
        <w:tc>
          <w:tcPr>
            <w:tcW w:w="709" w:type="dxa"/>
            <w:vAlign w:val="center"/>
          </w:tcPr>
          <w:p w:rsidR="003B7E38" w:rsidRDefault="003B7E38" w:rsidP="009B2A14">
            <w:pPr>
              <w:spacing w:after="0"/>
              <w:jc w:val="center"/>
              <w:rPr>
                <w:color w:val="000000"/>
                <w:sz w:val="18"/>
                <w:szCs w:val="18"/>
              </w:rPr>
            </w:pPr>
            <w:r>
              <w:rPr>
                <w:color w:val="000000"/>
                <w:sz w:val="18"/>
                <w:szCs w:val="18"/>
              </w:rPr>
              <w:t>Yes</w:t>
            </w:r>
          </w:p>
          <w:p w:rsidR="003B7E38" w:rsidRDefault="003B7E38" w:rsidP="009B2A14">
            <w:pPr>
              <w:spacing w:after="0"/>
              <w:jc w:val="center"/>
              <w:rPr>
                <w:color w:val="000000"/>
                <w:sz w:val="18"/>
                <w:szCs w:val="18"/>
              </w:rPr>
            </w:pPr>
            <w:r>
              <w:rPr>
                <w:color w:val="000000"/>
                <w:sz w:val="18"/>
                <w:szCs w:val="18"/>
              </w:rPr>
              <w:t>Yes</w:t>
            </w:r>
          </w:p>
          <w:p w:rsidR="003B7E38" w:rsidRDefault="003B7E38" w:rsidP="009B2A14">
            <w:pPr>
              <w:spacing w:after="0"/>
              <w:jc w:val="center"/>
              <w:rPr>
                <w:color w:val="000000"/>
                <w:sz w:val="18"/>
                <w:szCs w:val="18"/>
              </w:rPr>
            </w:pPr>
            <w:r>
              <w:rPr>
                <w:color w:val="000000"/>
                <w:sz w:val="18"/>
                <w:szCs w:val="18"/>
              </w:rPr>
              <w:t>Yes</w:t>
            </w:r>
          </w:p>
        </w:tc>
        <w:tc>
          <w:tcPr>
            <w:tcW w:w="1805" w:type="dxa"/>
            <w:vAlign w:val="center"/>
          </w:tcPr>
          <w:p w:rsidR="003B7E38" w:rsidRDefault="003B7E38" w:rsidP="009B2A14">
            <w:pPr>
              <w:spacing w:after="0"/>
              <w:jc w:val="center"/>
              <w:rPr>
                <w:sz w:val="18"/>
                <w:szCs w:val="18"/>
              </w:rPr>
            </w:pPr>
            <w:r>
              <w:rPr>
                <w:sz w:val="18"/>
                <w:szCs w:val="18"/>
              </w:rPr>
              <w:t>Xueya 2020</w:t>
            </w:r>
          </w:p>
          <w:p w:rsidR="003B7E38" w:rsidRDefault="003B7E38" w:rsidP="009B2A14">
            <w:pPr>
              <w:spacing w:after="0"/>
              <w:jc w:val="center"/>
              <w:rPr>
                <w:sz w:val="18"/>
                <w:szCs w:val="18"/>
              </w:rPr>
            </w:pPr>
            <w:r>
              <w:rPr>
                <w:sz w:val="18"/>
                <w:szCs w:val="18"/>
              </w:rPr>
              <w:t>Xueya 2020</w:t>
            </w:r>
          </w:p>
          <w:p w:rsidR="003B7E38" w:rsidRDefault="003B7E38" w:rsidP="009B2A14">
            <w:pPr>
              <w:spacing w:after="0"/>
              <w:jc w:val="center"/>
              <w:rPr>
                <w:sz w:val="18"/>
                <w:szCs w:val="18"/>
              </w:rPr>
            </w:pPr>
            <w:r>
              <w:rPr>
                <w:sz w:val="18"/>
                <w:szCs w:val="18"/>
              </w:rPr>
              <w:t>Xueya 2020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125a-5p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Urine</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86</w:t>
            </w:r>
          </w:p>
          <w:p w:rsidR="009B2A14" w:rsidRDefault="009B2A14" w:rsidP="009B2A14">
            <w:pPr>
              <w:spacing w:after="0"/>
              <w:jc w:val="center"/>
              <w:rPr>
                <w:sz w:val="18"/>
                <w:szCs w:val="18"/>
              </w:rPr>
            </w:pPr>
            <w:r>
              <w:rPr>
                <w:sz w:val="18"/>
                <w:szCs w:val="18"/>
              </w:rPr>
              <w:t>86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574-3p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(whole blood)</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66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574-5p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130b-3p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130b-5p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No difference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Pr="00DE5B46" w:rsidRDefault="009B2A14" w:rsidP="009B2A14">
            <w:pPr>
              <w:spacing w:after="0"/>
              <w:jc w:val="center"/>
              <w:rPr>
                <w:sz w:val="18"/>
                <w:szCs w:val="18"/>
              </w:rPr>
            </w:pPr>
            <w:r>
              <w:rPr>
                <w:sz w:val="18"/>
                <w:szCs w:val="18"/>
              </w:rPr>
              <w:t>70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124-3p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p w:rsidR="00241187" w:rsidRPr="00DE5B46" w:rsidRDefault="00241187"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241187" w:rsidRPr="00DE5B46" w:rsidRDefault="00241187"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241187" w:rsidRPr="00DE5B46" w:rsidRDefault="00241187"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70</w:t>
            </w:r>
          </w:p>
          <w:p w:rsidR="00241187" w:rsidRPr="00DE5B46" w:rsidRDefault="00241187" w:rsidP="009B2A14">
            <w:pPr>
              <w:spacing w:after="0"/>
              <w:jc w:val="center"/>
              <w:rPr>
                <w:sz w:val="18"/>
                <w:szCs w:val="18"/>
              </w:rPr>
            </w:pPr>
            <w:r>
              <w:rPr>
                <w:sz w:val="18"/>
                <w:szCs w:val="18"/>
              </w:rPr>
              <w:t>Tao 2020</w:t>
            </w:r>
          </w:p>
        </w:tc>
      </w:tr>
      <w:tr w:rsidR="009B2A14" w:rsidRPr="00DE5B46" w:rsidTr="0056680A">
        <w:trPr>
          <w:cantSplit/>
          <w:jc w:val="center"/>
        </w:trPr>
        <w:tc>
          <w:tcPr>
            <w:tcW w:w="0" w:type="auto"/>
            <w:vAlign w:val="center"/>
          </w:tcPr>
          <w:p w:rsidR="009B2A14" w:rsidRPr="00B6193D" w:rsidRDefault="009B2A14" w:rsidP="009B2A14">
            <w:pPr>
              <w:spacing w:after="0"/>
              <w:jc w:val="center"/>
              <w:rPr>
                <w:color w:val="000000"/>
                <w:sz w:val="18"/>
                <w:szCs w:val="18"/>
              </w:rPr>
            </w:pPr>
            <w:r w:rsidRPr="00B6193D">
              <w:rPr>
                <w:color w:val="000000"/>
                <w:sz w:val="18"/>
                <w:szCs w:val="18"/>
              </w:rPr>
              <w:t>141</w:t>
            </w:r>
          </w:p>
        </w:tc>
        <w:tc>
          <w:tcPr>
            <w:tcW w:w="2905" w:type="dxa"/>
            <w:vAlign w:val="center"/>
          </w:tcPr>
          <w:p w:rsidR="009B2A14" w:rsidRDefault="009B2A14" w:rsidP="009B2A14">
            <w:pPr>
              <w:spacing w:after="0"/>
              <w:jc w:val="center"/>
              <w:rPr>
                <w:color w:val="000000"/>
                <w:sz w:val="18"/>
                <w:szCs w:val="18"/>
              </w:rPr>
            </w:pPr>
            <w:r w:rsidRPr="00B6193D">
              <w:rPr>
                <w:color w:val="000000"/>
                <w:sz w:val="18"/>
                <w:szCs w:val="18"/>
              </w:rPr>
              <w:t>Placenta (villi)</w:t>
            </w:r>
          </w:p>
          <w:p w:rsidR="009B2A14" w:rsidRPr="00B6193D"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Default="009B2A14" w:rsidP="009B2A14">
            <w:pPr>
              <w:spacing w:after="0"/>
              <w:jc w:val="center"/>
              <w:rPr>
                <w:sz w:val="18"/>
                <w:szCs w:val="18"/>
              </w:rPr>
            </w:pPr>
            <w:r w:rsidRPr="00B6193D">
              <w:rPr>
                <w:sz w:val="18"/>
                <w:szCs w:val="18"/>
              </w:rPr>
              <w:t>Up in PE</w:t>
            </w:r>
          </w:p>
          <w:p w:rsidR="009B2A14" w:rsidRPr="00B6193D" w:rsidRDefault="009B2A14"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color w:val="000000"/>
                <w:sz w:val="18"/>
                <w:szCs w:val="18"/>
              </w:rPr>
            </w:pPr>
            <w:r w:rsidRPr="00B6193D">
              <w:rPr>
                <w:color w:val="000000"/>
                <w:sz w:val="18"/>
                <w:szCs w:val="18"/>
              </w:rPr>
              <w:t>Yes</w:t>
            </w:r>
          </w:p>
          <w:p w:rsidR="009B2A14" w:rsidRPr="00B6193D"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sidRPr="00B6193D">
              <w:rPr>
                <w:sz w:val="18"/>
                <w:szCs w:val="18"/>
              </w:rPr>
              <w:t>71</w:t>
            </w:r>
          </w:p>
          <w:p w:rsidR="009B2A14" w:rsidRPr="00B6193D" w:rsidRDefault="009B2A14" w:rsidP="009B2A14">
            <w:pPr>
              <w:spacing w:after="0"/>
              <w:jc w:val="center"/>
              <w:rPr>
                <w:sz w:val="18"/>
                <w:szCs w:val="18"/>
              </w:rPr>
            </w:pPr>
            <w:r>
              <w:rPr>
                <w:sz w:val="18"/>
                <w:szCs w:val="18"/>
              </w:rPr>
              <w:t>177</w:t>
            </w:r>
          </w:p>
        </w:tc>
      </w:tr>
      <w:tr w:rsidR="009B2A14" w:rsidRPr="00DE5B46" w:rsidTr="0056680A">
        <w:trPr>
          <w:cantSplit/>
          <w:jc w:val="center"/>
        </w:trPr>
        <w:tc>
          <w:tcPr>
            <w:tcW w:w="0" w:type="auto"/>
            <w:vAlign w:val="center"/>
          </w:tcPr>
          <w:p w:rsidR="009B2A14" w:rsidRPr="00B6193D" w:rsidRDefault="009B2A14" w:rsidP="009B2A14">
            <w:pPr>
              <w:spacing w:after="0"/>
              <w:jc w:val="center"/>
              <w:rPr>
                <w:color w:val="000000"/>
                <w:sz w:val="18"/>
                <w:szCs w:val="18"/>
              </w:rPr>
            </w:pPr>
            <w:r>
              <w:rPr>
                <w:color w:val="000000"/>
                <w:sz w:val="18"/>
                <w:szCs w:val="18"/>
              </w:rPr>
              <w:t>141-3p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 exosomes)</w:t>
            </w:r>
          </w:p>
          <w:p w:rsidR="00450087" w:rsidRDefault="00450087" w:rsidP="009B2A14">
            <w:pPr>
              <w:spacing w:after="0"/>
              <w:jc w:val="center"/>
              <w:rPr>
                <w:color w:val="000000"/>
                <w:sz w:val="18"/>
                <w:szCs w:val="18"/>
              </w:rPr>
            </w:pPr>
            <w:r>
              <w:rPr>
                <w:color w:val="000000"/>
                <w:sz w:val="18"/>
                <w:szCs w:val="18"/>
              </w:rPr>
              <w:t>MPB (plasma)</w:t>
            </w:r>
          </w:p>
          <w:p w:rsidR="00450087" w:rsidRPr="00B6193D" w:rsidRDefault="00450087" w:rsidP="009B2A14">
            <w:pPr>
              <w:spacing w:after="0"/>
              <w:jc w:val="center"/>
              <w:rPr>
                <w:color w:val="000000"/>
                <w:sz w:val="18"/>
                <w:szCs w:val="18"/>
              </w:rPr>
            </w:pPr>
            <w:r>
              <w:rPr>
                <w:color w:val="000000"/>
                <w:sz w:val="18"/>
                <w:szCs w:val="18"/>
              </w:rPr>
              <w:t xml:space="preserve">Placenta </w:t>
            </w:r>
          </w:p>
        </w:tc>
        <w:tc>
          <w:tcPr>
            <w:tcW w:w="2976" w:type="dxa"/>
            <w:vAlign w:val="center"/>
          </w:tcPr>
          <w:p w:rsidR="009B2A14" w:rsidRDefault="009B2A14" w:rsidP="009B2A14">
            <w:pPr>
              <w:spacing w:after="0"/>
              <w:jc w:val="center"/>
              <w:rPr>
                <w:sz w:val="18"/>
                <w:szCs w:val="18"/>
              </w:rPr>
            </w:pPr>
            <w:r>
              <w:rPr>
                <w:sz w:val="18"/>
                <w:szCs w:val="18"/>
              </w:rPr>
              <w:t>Up in PE</w:t>
            </w:r>
          </w:p>
          <w:p w:rsidR="00450087" w:rsidRDefault="00450087" w:rsidP="009B2A14">
            <w:pPr>
              <w:spacing w:after="0"/>
              <w:jc w:val="center"/>
              <w:rPr>
                <w:sz w:val="18"/>
                <w:szCs w:val="18"/>
              </w:rPr>
            </w:pPr>
            <w:r>
              <w:rPr>
                <w:sz w:val="18"/>
                <w:szCs w:val="18"/>
              </w:rPr>
              <w:t>Up in PE</w:t>
            </w:r>
          </w:p>
          <w:p w:rsidR="00450087" w:rsidRPr="00B6193D" w:rsidRDefault="00450087" w:rsidP="009B2A14">
            <w:pPr>
              <w:spacing w:after="0"/>
              <w:jc w:val="center"/>
              <w:rPr>
                <w:sz w:val="18"/>
                <w:szCs w:val="18"/>
              </w:rPr>
            </w:pPr>
            <w:r>
              <w:rPr>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450087" w:rsidRDefault="00450087" w:rsidP="009B2A14">
            <w:pPr>
              <w:spacing w:after="0"/>
              <w:jc w:val="center"/>
              <w:rPr>
                <w:color w:val="000000"/>
                <w:sz w:val="18"/>
                <w:szCs w:val="18"/>
              </w:rPr>
            </w:pPr>
            <w:r>
              <w:rPr>
                <w:color w:val="000000"/>
                <w:sz w:val="18"/>
                <w:szCs w:val="18"/>
              </w:rPr>
              <w:t>Yes</w:t>
            </w:r>
          </w:p>
          <w:p w:rsidR="00450087" w:rsidRPr="00B6193D" w:rsidRDefault="00450087"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110</w:t>
            </w:r>
          </w:p>
          <w:p w:rsidR="00450087" w:rsidRDefault="00450087" w:rsidP="009B2A14">
            <w:pPr>
              <w:spacing w:after="0"/>
              <w:jc w:val="center"/>
              <w:rPr>
                <w:sz w:val="18"/>
                <w:szCs w:val="18"/>
              </w:rPr>
            </w:pPr>
            <w:r>
              <w:rPr>
                <w:sz w:val="18"/>
                <w:szCs w:val="18"/>
              </w:rPr>
              <w:t>Cao 2019</w:t>
            </w:r>
          </w:p>
          <w:p w:rsidR="00450087" w:rsidRPr="00B6193D" w:rsidRDefault="00450087" w:rsidP="009B2A14">
            <w:pPr>
              <w:spacing w:after="0"/>
              <w:jc w:val="center"/>
              <w:rPr>
                <w:sz w:val="18"/>
                <w:szCs w:val="18"/>
              </w:rPr>
            </w:pPr>
            <w:r>
              <w:rPr>
                <w:sz w:val="18"/>
                <w:szCs w:val="18"/>
              </w:rPr>
              <w:t>Cao 2019</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141-5p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sz w:val="18"/>
                <w:szCs w:val="18"/>
              </w:rPr>
            </w:pPr>
            <w:r>
              <w:rPr>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181</w:t>
            </w:r>
          </w:p>
        </w:tc>
      </w:tr>
      <w:tr w:rsidR="009B2A14" w:rsidRPr="00DE5B46" w:rsidTr="0056680A">
        <w:trPr>
          <w:cantSplit/>
          <w:jc w:val="center"/>
        </w:trPr>
        <w:tc>
          <w:tcPr>
            <w:tcW w:w="0" w:type="auto"/>
            <w:vAlign w:val="bottom"/>
          </w:tcPr>
          <w:p w:rsidR="009B2A14" w:rsidRPr="00DE5B46" w:rsidRDefault="009B2A14" w:rsidP="009B2A14">
            <w:pPr>
              <w:spacing w:after="0"/>
              <w:jc w:val="center"/>
              <w:rPr>
                <w:color w:val="000000"/>
                <w:sz w:val="18"/>
                <w:szCs w:val="18"/>
              </w:rPr>
            </w:pPr>
            <w:r w:rsidRPr="00585202">
              <w:rPr>
                <w:color w:val="000000"/>
                <w:sz w:val="18"/>
                <w:szCs w:val="18"/>
              </w:rPr>
              <w:t>885-5p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73</w:t>
            </w:r>
          </w:p>
        </w:tc>
      </w:tr>
      <w:tr w:rsidR="009B2A14" w:rsidRPr="00DE5B46" w:rsidTr="0056680A">
        <w:trPr>
          <w:cantSplit/>
          <w:jc w:val="center"/>
        </w:trPr>
        <w:tc>
          <w:tcPr>
            <w:tcW w:w="0" w:type="auto"/>
            <w:vAlign w:val="bottom"/>
          </w:tcPr>
          <w:p w:rsidR="009B2A14" w:rsidRPr="00DE5B46" w:rsidRDefault="009B2A14" w:rsidP="009B2A14">
            <w:pPr>
              <w:spacing w:after="0"/>
              <w:jc w:val="center"/>
              <w:rPr>
                <w:color w:val="000000"/>
                <w:sz w:val="18"/>
                <w:szCs w:val="18"/>
              </w:rPr>
            </w:pPr>
            <w:r w:rsidRPr="00585202">
              <w:rPr>
                <w:color w:val="000000"/>
                <w:sz w:val="18"/>
                <w:szCs w:val="18"/>
              </w:rPr>
              <w:lastRenderedPageBreak/>
              <w:t>203</w:t>
            </w:r>
          </w:p>
        </w:tc>
        <w:tc>
          <w:tcPr>
            <w:tcW w:w="2905" w:type="dxa"/>
            <w:vAlign w:val="center"/>
          </w:tcPr>
          <w:p w:rsidR="009B2A14" w:rsidRDefault="009B2A14" w:rsidP="009B2A14">
            <w:pPr>
              <w:spacing w:after="0"/>
              <w:jc w:val="center"/>
              <w:rPr>
                <w:color w:val="000000"/>
                <w:sz w:val="18"/>
                <w:szCs w:val="18"/>
              </w:rPr>
            </w:pPr>
            <w:r>
              <w:rPr>
                <w:color w:val="000000"/>
                <w:sz w:val="18"/>
                <w:szCs w:val="18"/>
              </w:rPr>
              <w:t>Maternal subcutaneous fat tissue endothelial cells</w:t>
            </w:r>
          </w:p>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NR</w:t>
            </w:r>
          </w:p>
          <w:p w:rsidR="009B2A14" w:rsidRDefault="009B2A14" w:rsidP="009B2A14">
            <w:pPr>
              <w:spacing w:after="0"/>
              <w:jc w:val="center"/>
              <w:rPr>
                <w:color w:val="000000"/>
                <w:sz w:val="18"/>
                <w:szCs w:val="18"/>
              </w:rPr>
            </w:pP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75</w:t>
            </w:r>
          </w:p>
          <w:p w:rsidR="009B2A14" w:rsidRDefault="009B2A14" w:rsidP="009B2A14">
            <w:pPr>
              <w:spacing w:after="0"/>
              <w:jc w:val="center"/>
              <w:rPr>
                <w:sz w:val="18"/>
                <w:szCs w:val="18"/>
              </w:rPr>
            </w:pPr>
          </w:p>
          <w:p w:rsidR="009B2A14" w:rsidRPr="00DE5B46" w:rsidRDefault="009B2A14" w:rsidP="009B2A14">
            <w:pPr>
              <w:spacing w:after="0"/>
              <w:jc w:val="center"/>
              <w:rPr>
                <w:sz w:val="18"/>
                <w:szCs w:val="18"/>
              </w:rPr>
            </w:pPr>
            <w:r>
              <w:rPr>
                <w:sz w:val="18"/>
                <w:szCs w:val="18"/>
              </w:rPr>
              <w:t>133</w:t>
            </w:r>
          </w:p>
        </w:tc>
      </w:tr>
      <w:tr w:rsidR="00FB42C7" w:rsidRPr="00DE5B46" w:rsidTr="0056680A">
        <w:trPr>
          <w:cantSplit/>
          <w:jc w:val="center"/>
        </w:trPr>
        <w:tc>
          <w:tcPr>
            <w:tcW w:w="0" w:type="auto"/>
            <w:vAlign w:val="center"/>
          </w:tcPr>
          <w:p w:rsidR="00FB42C7" w:rsidRDefault="00FB42C7" w:rsidP="009B2A14">
            <w:pPr>
              <w:spacing w:after="0"/>
              <w:jc w:val="center"/>
              <w:rPr>
                <w:color w:val="000000"/>
                <w:sz w:val="18"/>
                <w:szCs w:val="18"/>
              </w:rPr>
            </w:pPr>
            <w:r>
              <w:rPr>
                <w:color w:val="000000"/>
                <w:sz w:val="18"/>
                <w:szCs w:val="18"/>
              </w:rPr>
              <w:t>203a-3p</w:t>
            </w:r>
          </w:p>
        </w:tc>
        <w:tc>
          <w:tcPr>
            <w:tcW w:w="2905" w:type="dxa"/>
            <w:vAlign w:val="center"/>
          </w:tcPr>
          <w:p w:rsidR="00FB42C7" w:rsidRDefault="00FB42C7" w:rsidP="009B2A14">
            <w:pPr>
              <w:spacing w:after="0"/>
              <w:jc w:val="center"/>
              <w:rPr>
                <w:color w:val="000000"/>
                <w:sz w:val="18"/>
                <w:szCs w:val="18"/>
              </w:rPr>
            </w:pPr>
            <w:r>
              <w:rPr>
                <w:color w:val="000000"/>
                <w:sz w:val="18"/>
                <w:szCs w:val="18"/>
              </w:rPr>
              <w:t>Placental monocytes</w:t>
            </w:r>
          </w:p>
          <w:p w:rsidR="00FB42C7" w:rsidRDefault="00FB42C7" w:rsidP="00FB42C7">
            <w:pPr>
              <w:spacing w:after="0"/>
              <w:jc w:val="center"/>
              <w:rPr>
                <w:color w:val="000000"/>
                <w:sz w:val="18"/>
                <w:szCs w:val="18"/>
              </w:rPr>
            </w:pPr>
            <w:r>
              <w:rPr>
                <w:color w:val="000000"/>
                <w:sz w:val="18"/>
                <w:szCs w:val="18"/>
              </w:rPr>
              <w:t>MPB (serum exosomes)</w:t>
            </w:r>
          </w:p>
        </w:tc>
        <w:tc>
          <w:tcPr>
            <w:tcW w:w="2976" w:type="dxa"/>
            <w:vAlign w:val="center"/>
          </w:tcPr>
          <w:p w:rsidR="00FB42C7" w:rsidRDefault="00FB42C7" w:rsidP="009B2A14">
            <w:pPr>
              <w:spacing w:after="0"/>
              <w:jc w:val="center"/>
              <w:rPr>
                <w:color w:val="000000"/>
                <w:sz w:val="18"/>
                <w:szCs w:val="18"/>
              </w:rPr>
            </w:pPr>
            <w:r>
              <w:rPr>
                <w:color w:val="000000"/>
                <w:sz w:val="18"/>
                <w:szCs w:val="18"/>
              </w:rPr>
              <w:t>Down in PE</w:t>
            </w:r>
          </w:p>
          <w:p w:rsidR="00FB42C7" w:rsidRDefault="00FB42C7" w:rsidP="009B2A14">
            <w:pPr>
              <w:spacing w:after="0"/>
              <w:jc w:val="center"/>
              <w:rPr>
                <w:color w:val="000000"/>
                <w:sz w:val="18"/>
                <w:szCs w:val="18"/>
              </w:rPr>
            </w:pPr>
            <w:r>
              <w:rPr>
                <w:color w:val="000000"/>
                <w:sz w:val="18"/>
                <w:szCs w:val="18"/>
              </w:rPr>
              <w:t>Down in PE</w:t>
            </w:r>
          </w:p>
        </w:tc>
        <w:tc>
          <w:tcPr>
            <w:tcW w:w="709" w:type="dxa"/>
            <w:vAlign w:val="center"/>
          </w:tcPr>
          <w:p w:rsidR="00FB42C7" w:rsidRDefault="00FB42C7" w:rsidP="00FB42C7">
            <w:pPr>
              <w:spacing w:after="0"/>
              <w:jc w:val="center"/>
              <w:rPr>
                <w:color w:val="000000"/>
                <w:sz w:val="18"/>
                <w:szCs w:val="18"/>
              </w:rPr>
            </w:pPr>
            <w:r>
              <w:rPr>
                <w:color w:val="000000"/>
                <w:sz w:val="18"/>
                <w:szCs w:val="18"/>
              </w:rPr>
              <w:t>Yes</w:t>
            </w:r>
          </w:p>
          <w:p w:rsidR="00FB42C7" w:rsidRDefault="00FB42C7" w:rsidP="00FB42C7">
            <w:pPr>
              <w:spacing w:after="0"/>
              <w:jc w:val="center"/>
              <w:rPr>
                <w:color w:val="000000"/>
                <w:sz w:val="18"/>
                <w:szCs w:val="18"/>
              </w:rPr>
            </w:pPr>
            <w:r>
              <w:rPr>
                <w:color w:val="000000"/>
                <w:sz w:val="18"/>
                <w:szCs w:val="18"/>
              </w:rPr>
              <w:t>Yes</w:t>
            </w:r>
          </w:p>
        </w:tc>
        <w:tc>
          <w:tcPr>
            <w:tcW w:w="1805" w:type="dxa"/>
            <w:vAlign w:val="center"/>
          </w:tcPr>
          <w:p w:rsidR="00FB42C7" w:rsidRDefault="00FB42C7" w:rsidP="009B2A14">
            <w:pPr>
              <w:spacing w:after="0"/>
              <w:jc w:val="center"/>
              <w:rPr>
                <w:sz w:val="18"/>
                <w:szCs w:val="18"/>
              </w:rPr>
            </w:pPr>
            <w:r>
              <w:rPr>
                <w:sz w:val="18"/>
                <w:szCs w:val="18"/>
              </w:rPr>
              <w:t>Ma 2020</w:t>
            </w:r>
          </w:p>
          <w:p w:rsidR="00FB42C7" w:rsidRDefault="00FB42C7" w:rsidP="009B2A14">
            <w:pPr>
              <w:spacing w:after="0"/>
              <w:jc w:val="center"/>
              <w:rPr>
                <w:sz w:val="18"/>
                <w:szCs w:val="18"/>
              </w:rPr>
            </w:pPr>
            <w:r>
              <w:rPr>
                <w:sz w:val="18"/>
                <w:szCs w:val="18"/>
              </w:rPr>
              <w:t>Ma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31</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76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31-5p</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 (chorionic plate)</w:t>
            </w:r>
          </w:p>
          <w:p w:rsidR="009B2A14" w:rsidRDefault="009B2A14" w:rsidP="009B2A14">
            <w:pPr>
              <w:spacing w:after="0"/>
              <w:jc w:val="center"/>
              <w:rPr>
                <w:color w:val="000000"/>
                <w:sz w:val="18"/>
                <w:szCs w:val="18"/>
              </w:rPr>
            </w:pPr>
            <w:r>
              <w:rPr>
                <w:color w:val="000000"/>
                <w:sz w:val="18"/>
                <w:szCs w:val="18"/>
              </w:rPr>
              <w:t>MPB (serum)</w:t>
            </w:r>
          </w:p>
          <w:p w:rsidR="00DC31B5" w:rsidRDefault="00DC31B5" w:rsidP="009B2A14">
            <w:pPr>
              <w:spacing w:after="0"/>
              <w:jc w:val="center"/>
              <w:rPr>
                <w:color w:val="000000"/>
                <w:sz w:val="18"/>
                <w:szCs w:val="18"/>
              </w:rPr>
            </w:pPr>
            <w:r>
              <w:rPr>
                <w:color w:val="000000"/>
                <w:sz w:val="18"/>
                <w:szCs w:val="18"/>
              </w:rPr>
              <w:t>MPB (serum)</w:t>
            </w:r>
          </w:p>
          <w:p w:rsidR="00C81CD9" w:rsidRPr="00DE5B46" w:rsidRDefault="00C81CD9"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DC31B5" w:rsidRDefault="00DC31B5" w:rsidP="009B2A14">
            <w:pPr>
              <w:spacing w:after="0"/>
              <w:jc w:val="center"/>
              <w:rPr>
                <w:color w:val="000000"/>
                <w:sz w:val="18"/>
                <w:szCs w:val="18"/>
              </w:rPr>
            </w:pPr>
            <w:r>
              <w:rPr>
                <w:color w:val="000000"/>
                <w:sz w:val="18"/>
                <w:szCs w:val="18"/>
              </w:rPr>
              <w:t>Up in PE</w:t>
            </w:r>
          </w:p>
          <w:p w:rsidR="00C81CD9" w:rsidRPr="00DE5B46" w:rsidRDefault="00C81CD9"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DC31B5" w:rsidRDefault="00DC31B5" w:rsidP="009B2A14">
            <w:pPr>
              <w:spacing w:after="0"/>
              <w:jc w:val="center"/>
              <w:rPr>
                <w:color w:val="000000"/>
                <w:sz w:val="18"/>
                <w:szCs w:val="18"/>
              </w:rPr>
            </w:pPr>
            <w:r>
              <w:rPr>
                <w:color w:val="000000"/>
                <w:sz w:val="18"/>
                <w:szCs w:val="18"/>
              </w:rPr>
              <w:t>Yes</w:t>
            </w:r>
          </w:p>
          <w:p w:rsidR="00C81CD9" w:rsidRPr="00DE5B46" w:rsidRDefault="00C81CD9"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81</w:t>
            </w:r>
          </w:p>
          <w:p w:rsidR="009B2A14" w:rsidRDefault="009B2A14" w:rsidP="009B2A14">
            <w:pPr>
              <w:spacing w:after="0"/>
              <w:jc w:val="center"/>
              <w:rPr>
                <w:sz w:val="18"/>
                <w:szCs w:val="18"/>
              </w:rPr>
            </w:pPr>
            <w:r>
              <w:rPr>
                <w:sz w:val="18"/>
                <w:szCs w:val="18"/>
              </w:rPr>
              <w:t>131</w:t>
            </w:r>
          </w:p>
          <w:p w:rsidR="00DC31B5" w:rsidRDefault="00DC31B5" w:rsidP="009B2A14">
            <w:pPr>
              <w:spacing w:after="0"/>
              <w:jc w:val="center"/>
              <w:rPr>
                <w:sz w:val="18"/>
                <w:szCs w:val="18"/>
              </w:rPr>
            </w:pPr>
            <w:r>
              <w:rPr>
                <w:sz w:val="18"/>
                <w:szCs w:val="18"/>
              </w:rPr>
              <w:t>Kim 2020</w:t>
            </w:r>
          </w:p>
          <w:p w:rsidR="00C81CD9" w:rsidRPr="00DE5B46" w:rsidRDefault="00C81CD9" w:rsidP="009B2A14">
            <w:pPr>
              <w:spacing w:after="0"/>
              <w:jc w:val="center"/>
              <w:rPr>
                <w:sz w:val="18"/>
                <w:szCs w:val="18"/>
              </w:rPr>
            </w:pPr>
            <w:r>
              <w:rPr>
                <w:sz w:val="18"/>
                <w:szCs w:val="18"/>
              </w:rPr>
              <w:t>Li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365a-3p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 (chorionic plate)</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81</w:t>
            </w:r>
          </w:p>
        </w:tc>
      </w:tr>
      <w:tr w:rsidR="009B2A14" w:rsidRPr="00DE5B46" w:rsidTr="0056680A">
        <w:trPr>
          <w:cantSplit/>
          <w:jc w:val="center"/>
        </w:trPr>
        <w:tc>
          <w:tcPr>
            <w:tcW w:w="0" w:type="auto"/>
            <w:vAlign w:val="bottom"/>
          </w:tcPr>
          <w:p w:rsidR="009B2A14" w:rsidRPr="00DE5B46" w:rsidRDefault="009B2A14" w:rsidP="009B2A14">
            <w:pPr>
              <w:spacing w:after="0"/>
              <w:jc w:val="center"/>
              <w:rPr>
                <w:color w:val="000000"/>
                <w:sz w:val="18"/>
                <w:szCs w:val="18"/>
              </w:rPr>
            </w:pPr>
            <w:r w:rsidRPr="00585202">
              <w:rPr>
                <w:color w:val="000000"/>
                <w:sz w:val="18"/>
                <w:szCs w:val="18"/>
              </w:rPr>
              <w:t>27a-5p</w:t>
            </w:r>
          </w:p>
        </w:tc>
        <w:tc>
          <w:tcPr>
            <w:tcW w:w="2905" w:type="dxa"/>
          </w:tcPr>
          <w:p w:rsidR="009B2A14" w:rsidRPr="00DE5B46" w:rsidRDefault="009B2A14" w:rsidP="009B2A14">
            <w:pPr>
              <w:spacing w:after="0"/>
              <w:jc w:val="center"/>
              <w:rPr>
                <w:color w:val="000000"/>
                <w:sz w:val="18"/>
                <w:szCs w:val="18"/>
              </w:rPr>
            </w:pPr>
            <w:r w:rsidRPr="00281FF5">
              <w:rPr>
                <w:color w:val="000000"/>
                <w:sz w:val="18"/>
                <w:szCs w:val="18"/>
              </w:rPr>
              <w:t>Placenta (chorionic plate)</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81</w:t>
            </w:r>
          </w:p>
        </w:tc>
      </w:tr>
      <w:tr w:rsidR="009B2A14" w:rsidRPr="00DE5B46" w:rsidTr="0056680A">
        <w:trPr>
          <w:cantSplit/>
          <w:jc w:val="center"/>
        </w:trPr>
        <w:tc>
          <w:tcPr>
            <w:tcW w:w="0" w:type="auto"/>
            <w:vAlign w:val="bottom"/>
          </w:tcPr>
          <w:p w:rsidR="009B2A14" w:rsidRPr="00DE5B46" w:rsidRDefault="009B2A14" w:rsidP="009B2A14">
            <w:pPr>
              <w:spacing w:after="0"/>
              <w:jc w:val="center"/>
              <w:rPr>
                <w:color w:val="000000"/>
                <w:sz w:val="18"/>
                <w:szCs w:val="18"/>
              </w:rPr>
            </w:pPr>
            <w:r w:rsidRPr="00585202">
              <w:rPr>
                <w:color w:val="000000"/>
                <w:sz w:val="18"/>
                <w:szCs w:val="18"/>
              </w:rPr>
              <w:t>135b-5p</w:t>
            </w:r>
          </w:p>
        </w:tc>
        <w:tc>
          <w:tcPr>
            <w:tcW w:w="2905" w:type="dxa"/>
          </w:tcPr>
          <w:p w:rsidR="009B2A14" w:rsidRPr="00DE5B46" w:rsidRDefault="009B2A14" w:rsidP="009B2A14">
            <w:pPr>
              <w:spacing w:after="0"/>
              <w:jc w:val="center"/>
              <w:rPr>
                <w:color w:val="000000"/>
                <w:sz w:val="18"/>
                <w:szCs w:val="18"/>
              </w:rPr>
            </w:pPr>
            <w:r w:rsidRPr="00281FF5">
              <w:rPr>
                <w:color w:val="000000"/>
                <w:sz w:val="18"/>
                <w:szCs w:val="18"/>
              </w:rPr>
              <w:t>Placenta (chorionic plate)</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81</w:t>
            </w:r>
          </w:p>
        </w:tc>
      </w:tr>
      <w:tr w:rsidR="009B2A14" w:rsidRPr="00DE5B46" w:rsidTr="0056680A">
        <w:trPr>
          <w:cantSplit/>
          <w:jc w:val="center"/>
        </w:trPr>
        <w:tc>
          <w:tcPr>
            <w:tcW w:w="0" w:type="auto"/>
            <w:vAlign w:val="bottom"/>
          </w:tcPr>
          <w:p w:rsidR="009B2A14" w:rsidRPr="00DE5B46" w:rsidRDefault="009B2A14" w:rsidP="009B2A14">
            <w:pPr>
              <w:spacing w:after="0"/>
              <w:jc w:val="center"/>
              <w:rPr>
                <w:color w:val="000000"/>
                <w:sz w:val="18"/>
                <w:szCs w:val="18"/>
              </w:rPr>
            </w:pPr>
            <w:r w:rsidRPr="00585202">
              <w:rPr>
                <w:color w:val="000000"/>
                <w:sz w:val="18"/>
                <w:szCs w:val="18"/>
              </w:rPr>
              <w:t>136-3p</w:t>
            </w:r>
          </w:p>
        </w:tc>
        <w:tc>
          <w:tcPr>
            <w:tcW w:w="2905" w:type="dxa"/>
          </w:tcPr>
          <w:p w:rsidR="009B2A14" w:rsidRPr="005A32BB" w:rsidRDefault="009B2A14" w:rsidP="009B2A14">
            <w:pPr>
              <w:spacing w:after="0"/>
              <w:jc w:val="center"/>
              <w:rPr>
                <w:color w:val="000000"/>
                <w:sz w:val="18"/>
                <w:szCs w:val="18"/>
              </w:rPr>
            </w:pPr>
            <w:r w:rsidRPr="005A32BB">
              <w:rPr>
                <w:color w:val="000000"/>
                <w:sz w:val="18"/>
                <w:szCs w:val="18"/>
              </w:rPr>
              <w:t>Placenta (chorionic plate)</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81</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218</w:t>
            </w:r>
          </w:p>
        </w:tc>
        <w:tc>
          <w:tcPr>
            <w:tcW w:w="2905" w:type="dxa"/>
            <w:vAlign w:val="center"/>
          </w:tcPr>
          <w:p w:rsidR="009B2A14" w:rsidRPr="007F3AC2" w:rsidRDefault="009B2A14" w:rsidP="009B2A14">
            <w:pPr>
              <w:spacing w:after="0"/>
              <w:jc w:val="center"/>
              <w:rPr>
                <w:sz w:val="18"/>
                <w:szCs w:val="18"/>
              </w:rPr>
            </w:pPr>
            <w:r w:rsidRPr="007F3AC2">
              <w:rPr>
                <w:sz w:val="18"/>
                <w:szCs w:val="18"/>
              </w:rPr>
              <w:t>Placenta (trophoblast cells)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85</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218-5p</w:t>
            </w:r>
          </w:p>
        </w:tc>
        <w:tc>
          <w:tcPr>
            <w:tcW w:w="2905" w:type="dxa"/>
            <w:vAlign w:val="center"/>
          </w:tcPr>
          <w:p w:rsidR="009B2A14" w:rsidRDefault="009B2A14" w:rsidP="009B2A14">
            <w:pPr>
              <w:spacing w:after="0"/>
              <w:jc w:val="center"/>
              <w:rPr>
                <w:sz w:val="18"/>
                <w:szCs w:val="18"/>
              </w:rPr>
            </w:pPr>
            <w:r>
              <w:rPr>
                <w:sz w:val="18"/>
                <w:szCs w:val="18"/>
              </w:rPr>
              <w:t>Placenta (chorionic plate)</w:t>
            </w:r>
          </w:p>
          <w:p w:rsidR="009B2A14" w:rsidRDefault="009B2A14" w:rsidP="009B2A14">
            <w:pPr>
              <w:spacing w:after="0"/>
              <w:jc w:val="center"/>
              <w:rPr>
                <w:sz w:val="18"/>
                <w:szCs w:val="18"/>
              </w:rPr>
            </w:pPr>
            <w:r>
              <w:rPr>
                <w:sz w:val="18"/>
                <w:szCs w:val="18"/>
              </w:rPr>
              <w:t>Placenta (basal plate)</w:t>
            </w:r>
          </w:p>
          <w:p w:rsidR="004E444E" w:rsidRPr="007F3AC2" w:rsidRDefault="004E444E" w:rsidP="009B2A14">
            <w:pPr>
              <w:spacing w:after="0"/>
              <w:jc w:val="center"/>
              <w:rPr>
                <w:sz w:val="18"/>
                <w:szCs w:val="18"/>
              </w:rPr>
            </w:pPr>
            <w:r>
              <w:rPr>
                <w:sz w:val="18"/>
                <w:szCs w:val="18"/>
              </w:rPr>
              <w:t>MPB (plasma)</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p w:rsidR="004E444E" w:rsidRDefault="004E444E" w:rsidP="009B2A14">
            <w:pPr>
              <w:spacing w:after="0"/>
              <w:jc w:val="center"/>
              <w:rPr>
                <w:color w:val="000000"/>
                <w:sz w:val="18"/>
                <w:szCs w:val="18"/>
              </w:rPr>
            </w:pPr>
            <w:r>
              <w:rPr>
                <w:color w:val="000000"/>
                <w:sz w:val="18"/>
                <w:szCs w:val="18"/>
              </w:rPr>
              <w:t>MPB (plasma)</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4E444E" w:rsidRDefault="004E444E"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119</w:t>
            </w:r>
          </w:p>
          <w:p w:rsidR="009B2A14" w:rsidRDefault="009B2A14" w:rsidP="009B2A14">
            <w:pPr>
              <w:spacing w:after="0"/>
              <w:jc w:val="center"/>
              <w:rPr>
                <w:sz w:val="18"/>
                <w:szCs w:val="18"/>
              </w:rPr>
            </w:pPr>
            <w:r>
              <w:rPr>
                <w:sz w:val="18"/>
                <w:szCs w:val="18"/>
              </w:rPr>
              <w:t>119</w:t>
            </w:r>
          </w:p>
          <w:p w:rsidR="004E444E" w:rsidRDefault="004E444E"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300</w:t>
            </w:r>
          </w:p>
        </w:tc>
        <w:tc>
          <w:tcPr>
            <w:tcW w:w="2905" w:type="dxa"/>
            <w:vAlign w:val="center"/>
          </w:tcPr>
          <w:p w:rsidR="009B2A14" w:rsidRPr="007F3AC2" w:rsidRDefault="009B2A14" w:rsidP="009B2A14">
            <w:pPr>
              <w:spacing w:after="0"/>
              <w:jc w:val="center"/>
              <w:rPr>
                <w:sz w:val="18"/>
                <w:szCs w:val="18"/>
              </w:rPr>
            </w:pPr>
            <w:r w:rsidRPr="007F3AC2">
              <w:rPr>
                <w:sz w:val="18"/>
                <w:szCs w:val="18"/>
              </w:rPr>
              <w:t>MPB (plasma)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87</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942</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94</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215</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w:t>
            </w:r>
          </w:p>
          <w:p w:rsidR="002C1B43" w:rsidRPr="00DE5B46" w:rsidRDefault="002C1B43"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2C1B43" w:rsidRPr="00DE5B46" w:rsidRDefault="002C1B43"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2C1B43" w:rsidRPr="00DE5B46" w:rsidRDefault="002C1B43"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95</w:t>
            </w:r>
          </w:p>
          <w:p w:rsidR="002C1B43" w:rsidRPr="00DE5B46" w:rsidRDefault="002C1B43" w:rsidP="009B2A14">
            <w:pPr>
              <w:spacing w:after="0"/>
              <w:jc w:val="center"/>
              <w:rPr>
                <w:sz w:val="18"/>
                <w:szCs w:val="18"/>
              </w:rPr>
            </w:pPr>
            <w:r>
              <w:rPr>
                <w:sz w:val="18"/>
                <w:szCs w:val="18"/>
              </w:rPr>
              <w:t>Yang 2019</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650</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95</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495</w:t>
            </w:r>
          </w:p>
        </w:tc>
        <w:tc>
          <w:tcPr>
            <w:tcW w:w="2905" w:type="dxa"/>
            <w:vAlign w:val="center"/>
          </w:tcPr>
          <w:p w:rsidR="009B2A14" w:rsidRDefault="009B2A14" w:rsidP="009B2A14">
            <w:pPr>
              <w:spacing w:after="0"/>
              <w:jc w:val="center"/>
              <w:rPr>
                <w:color w:val="000000"/>
                <w:sz w:val="18"/>
                <w:szCs w:val="18"/>
              </w:rPr>
            </w:pPr>
            <w:r>
              <w:rPr>
                <w:color w:val="000000"/>
                <w:sz w:val="18"/>
                <w:szCs w:val="18"/>
              </w:rPr>
              <w:t>UC tissue</w:t>
            </w:r>
          </w:p>
          <w:p w:rsidR="009B2A14" w:rsidRPr="00DE5B46" w:rsidRDefault="009B2A14" w:rsidP="009B2A14">
            <w:pPr>
              <w:spacing w:after="0"/>
              <w:jc w:val="center"/>
              <w:rPr>
                <w:color w:val="000000"/>
                <w:sz w:val="18"/>
                <w:szCs w:val="18"/>
              </w:rPr>
            </w:pPr>
            <w:r>
              <w:rPr>
                <w:color w:val="000000"/>
                <w:sz w:val="18"/>
                <w:szCs w:val="18"/>
              </w:rPr>
              <w:t>UC-MSCs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100</w:t>
            </w:r>
          </w:p>
          <w:p w:rsidR="009B2A14" w:rsidRPr="00DE5B46" w:rsidRDefault="009B2A14" w:rsidP="009B2A14">
            <w:pPr>
              <w:spacing w:after="0"/>
              <w:jc w:val="center"/>
              <w:rPr>
                <w:sz w:val="18"/>
                <w:szCs w:val="18"/>
              </w:rPr>
            </w:pPr>
            <w:r>
              <w:rPr>
                <w:sz w:val="18"/>
                <w:szCs w:val="18"/>
              </w:rPr>
              <w:t>100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486-3p</w:t>
            </w:r>
          </w:p>
        </w:tc>
        <w:tc>
          <w:tcPr>
            <w:tcW w:w="2905" w:type="dxa"/>
            <w:vAlign w:val="center"/>
          </w:tcPr>
          <w:p w:rsidR="009B2A14" w:rsidRDefault="009B2A14" w:rsidP="009B2A14">
            <w:pPr>
              <w:spacing w:after="0"/>
              <w:jc w:val="center"/>
              <w:rPr>
                <w:color w:val="000000"/>
                <w:sz w:val="18"/>
                <w:szCs w:val="18"/>
              </w:rPr>
            </w:pPr>
            <w:r>
              <w:rPr>
                <w:color w:val="000000"/>
                <w:sz w:val="18"/>
                <w:szCs w:val="18"/>
              </w:rPr>
              <w:t xml:space="preserve">MPB </w:t>
            </w:r>
            <w:r w:rsidR="001E4225">
              <w:rPr>
                <w:color w:val="000000"/>
                <w:sz w:val="18"/>
                <w:szCs w:val="18"/>
              </w:rPr>
              <w:t>(</w:t>
            </w:r>
            <w:r>
              <w:rPr>
                <w:color w:val="000000"/>
                <w:sz w:val="18"/>
                <w:szCs w:val="18"/>
              </w:rPr>
              <w:t>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153</w:t>
            </w:r>
          </w:p>
        </w:tc>
      </w:tr>
      <w:tr w:rsidR="001E4225" w:rsidRPr="00DE5B46" w:rsidTr="0056680A">
        <w:trPr>
          <w:cantSplit/>
          <w:jc w:val="center"/>
        </w:trPr>
        <w:tc>
          <w:tcPr>
            <w:tcW w:w="0" w:type="auto"/>
            <w:vAlign w:val="center"/>
          </w:tcPr>
          <w:p w:rsidR="001E4225" w:rsidRDefault="001E4225" w:rsidP="009B2A14">
            <w:pPr>
              <w:spacing w:after="0"/>
              <w:jc w:val="center"/>
              <w:rPr>
                <w:color w:val="000000"/>
                <w:sz w:val="18"/>
                <w:szCs w:val="18"/>
              </w:rPr>
            </w:pPr>
            <w:r>
              <w:rPr>
                <w:color w:val="000000"/>
                <w:sz w:val="18"/>
                <w:szCs w:val="18"/>
              </w:rPr>
              <w:t>486-5p</w:t>
            </w:r>
          </w:p>
        </w:tc>
        <w:tc>
          <w:tcPr>
            <w:tcW w:w="2905" w:type="dxa"/>
            <w:vAlign w:val="center"/>
          </w:tcPr>
          <w:p w:rsidR="001E4225" w:rsidRDefault="001E4225" w:rsidP="009B2A14">
            <w:pPr>
              <w:spacing w:after="0"/>
              <w:jc w:val="center"/>
              <w:rPr>
                <w:color w:val="000000"/>
                <w:sz w:val="18"/>
                <w:szCs w:val="18"/>
              </w:rPr>
            </w:pPr>
            <w:r>
              <w:rPr>
                <w:color w:val="000000"/>
                <w:sz w:val="18"/>
                <w:szCs w:val="18"/>
              </w:rPr>
              <w:t>MPB (plasma)</w:t>
            </w:r>
          </w:p>
        </w:tc>
        <w:tc>
          <w:tcPr>
            <w:tcW w:w="2976" w:type="dxa"/>
            <w:vAlign w:val="center"/>
          </w:tcPr>
          <w:p w:rsidR="001E4225" w:rsidRDefault="001E4225" w:rsidP="009B2A14">
            <w:pPr>
              <w:spacing w:after="0"/>
              <w:jc w:val="center"/>
              <w:rPr>
                <w:color w:val="000000"/>
                <w:sz w:val="18"/>
                <w:szCs w:val="18"/>
              </w:rPr>
            </w:pPr>
            <w:r>
              <w:rPr>
                <w:color w:val="000000"/>
                <w:sz w:val="18"/>
                <w:szCs w:val="18"/>
              </w:rPr>
              <w:t>No difference</w:t>
            </w:r>
          </w:p>
        </w:tc>
        <w:tc>
          <w:tcPr>
            <w:tcW w:w="709" w:type="dxa"/>
            <w:vAlign w:val="center"/>
          </w:tcPr>
          <w:p w:rsidR="001E4225" w:rsidRDefault="001E4225" w:rsidP="009B2A14">
            <w:pPr>
              <w:spacing w:after="0"/>
              <w:jc w:val="center"/>
              <w:rPr>
                <w:color w:val="000000"/>
                <w:sz w:val="18"/>
                <w:szCs w:val="18"/>
              </w:rPr>
            </w:pPr>
            <w:r>
              <w:rPr>
                <w:color w:val="000000"/>
                <w:sz w:val="18"/>
                <w:szCs w:val="18"/>
              </w:rPr>
              <w:t>No</w:t>
            </w:r>
          </w:p>
        </w:tc>
        <w:tc>
          <w:tcPr>
            <w:tcW w:w="1805" w:type="dxa"/>
            <w:vAlign w:val="center"/>
          </w:tcPr>
          <w:p w:rsidR="001E4225" w:rsidRDefault="001E4225" w:rsidP="009B2A14">
            <w:pPr>
              <w:spacing w:after="0"/>
              <w:jc w:val="center"/>
              <w:rPr>
                <w:sz w:val="18"/>
                <w:szCs w:val="18"/>
              </w:rPr>
            </w:pPr>
            <w:r>
              <w:rPr>
                <w:sz w:val="18"/>
                <w:szCs w:val="18"/>
              </w:rPr>
              <w:t>Akgor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486-1-5p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107</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486-2-5p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107</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192-5p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542</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205-5p</w:t>
            </w:r>
          </w:p>
        </w:tc>
        <w:tc>
          <w:tcPr>
            <w:tcW w:w="2905" w:type="dxa"/>
          </w:tcPr>
          <w:p w:rsidR="009B2A14" w:rsidRPr="00DE5B46" w:rsidRDefault="009B2A14" w:rsidP="009B2A14">
            <w:pPr>
              <w:spacing w:after="0"/>
              <w:jc w:val="center"/>
              <w:rPr>
                <w:color w:val="000000"/>
                <w:sz w:val="18"/>
                <w:szCs w:val="18"/>
              </w:rPr>
            </w:pPr>
            <w:r w:rsidRPr="0075627B">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208-3p</w:t>
            </w:r>
          </w:p>
        </w:tc>
        <w:tc>
          <w:tcPr>
            <w:tcW w:w="2905" w:type="dxa"/>
          </w:tcPr>
          <w:p w:rsidR="009B2A14" w:rsidRPr="00DE5B46" w:rsidRDefault="009B2A14" w:rsidP="009B2A14">
            <w:pPr>
              <w:spacing w:after="0"/>
              <w:jc w:val="center"/>
              <w:rPr>
                <w:color w:val="000000"/>
                <w:sz w:val="18"/>
                <w:szCs w:val="18"/>
              </w:rPr>
            </w:pPr>
            <w:r w:rsidRPr="0075627B">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Default="009B2A14" w:rsidP="009B2A14">
            <w:pPr>
              <w:spacing w:after="0"/>
              <w:jc w:val="center"/>
              <w:rPr>
                <w:color w:val="000000"/>
                <w:sz w:val="18"/>
                <w:szCs w:val="18"/>
              </w:rPr>
            </w:pPr>
            <w:r>
              <w:rPr>
                <w:color w:val="000000"/>
                <w:sz w:val="18"/>
                <w:szCs w:val="18"/>
              </w:rPr>
              <w:t>518-5p</w:t>
            </w:r>
          </w:p>
        </w:tc>
        <w:tc>
          <w:tcPr>
            <w:tcW w:w="2905" w:type="dxa"/>
          </w:tcPr>
          <w:p w:rsidR="009B2A14" w:rsidRPr="0075627B"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135</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518a</w:t>
            </w:r>
          </w:p>
        </w:tc>
        <w:tc>
          <w:tcPr>
            <w:tcW w:w="2905" w:type="dxa"/>
          </w:tcPr>
          <w:p w:rsidR="009B2A14" w:rsidRPr="00DE5B46" w:rsidRDefault="009B2A14" w:rsidP="009B2A14">
            <w:pPr>
              <w:spacing w:after="0"/>
              <w:jc w:val="center"/>
              <w:rPr>
                <w:color w:val="000000"/>
                <w:sz w:val="18"/>
                <w:szCs w:val="18"/>
              </w:rPr>
            </w:pPr>
            <w:r w:rsidRPr="0075627B">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744-5p</w:t>
            </w:r>
          </w:p>
        </w:tc>
        <w:tc>
          <w:tcPr>
            <w:tcW w:w="2905" w:type="dxa"/>
          </w:tcPr>
          <w:p w:rsidR="009B2A14" w:rsidRPr="00DE5B46" w:rsidRDefault="009B2A14" w:rsidP="009B2A14">
            <w:pPr>
              <w:spacing w:after="0"/>
              <w:jc w:val="center"/>
              <w:rPr>
                <w:color w:val="000000"/>
                <w:sz w:val="18"/>
                <w:szCs w:val="18"/>
              </w:rPr>
            </w:pPr>
            <w:r w:rsidRPr="0075627B">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6724-5p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lastRenderedPageBreak/>
              <w:t>346</w:t>
            </w:r>
          </w:p>
        </w:tc>
        <w:tc>
          <w:tcPr>
            <w:tcW w:w="2905" w:type="dxa"/>
            <w:vAlign w:val="center"/>
          </w:tcPr>
          <w:p w:rsidR="009B2A14" w:rsidRDefault="009B2A14" w:rsidP="009B2A14">
            <w:pPr>
              <w:spacing w:after="0"/>
              <w:jc w:val="center"/>
              <w:rPr>
                <w:color w:val="000000"/>
                <w:sz w:val="18"/>
                <w:szCs w:val="18"/>
              </w:rPr>
            </w:pPr>
            <w:r>
              <w:rPr>
                <w:color w:val="000000"/>
                <w:sz w:val="18"/>
                <w:szCs w:val="18"/>
              </w:rPr>
              <w:t>MPB (plasma)</w:t>
            </w:r>
          </w:p>
          <w:p w:rsidR="009B2A14" w:rsidRDefault="009B2A14" w:rsidP="009B2A14">
            <w:pPr>
              <w:spacing w:after="0"/>
              <w:jc w:val="center"/>
              <w:rPr>
                <w:color w:val="000000"/>
                <w:sz w:val="18"/>
                <w:szCs w:val="18"/>
              </w:rPr>
            </w:pPr>
            <w:r>
              <w:rPr>
                <w:color w:val="000000"/>
                <w:sz w:val="18"/>
                <w:szCs w:val="18"/>
              </w:rPr>
              <w:t>Fetal cord blood (plasma)</w:t>
            </w:r>
          </w:p>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Down in PE</w:t>
            </w:r>
          </w:p>
          <w:p w:rsidR="009B2A14" w:rsidRDefault="009B2A14" w:rsidP="009B2A14">
            <w:pPr>
              <w:spacing w:after="0"/>
              <w:jc w:val="center"/>
              <w:rPr>
                <w:color w:val="000000"/>
                <w:sz w:val="18"/>
                <w:szCs w:val="18"/>
              </w:rPr>
            </w:pPr>
            <w:r>
              <w:rPr>
                <w:color w:val="000000"/>
                <w:sz w:val="18"/>
                <w:szCs w:val="18"/>
              </w:rPr>
              <w:t>Down in PE</w:t>
            </w:r>
          </w:p>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111</w:t>
            </w:r>
          </w:p>
          <w:p w:rsidR="009B2A14" w:rsidRDefault="009B2A14" w:rsidP="009B2A14">
            <w:pPr>
              <w:spacing w:after="0"/>
              <w:jc w:val="center"/>
              <w:rPr>
                <w:sz w:val="18"/>
                <w:szCs w:val="18"/>
              </w:rPr>
            </w:pPr>
            <w:r>
              <w:rPr>
                <w:sz w:val="18"/>
                <w:szCs w:val="18"/>
              </w:rPr>
              <w:t>111</w:t>
            </w:r>
          </w:p>
          <w:p w:rsidR="009B2A14" w:rsidRDefault="009B2A14" w:rsidP="009B2A14">
            <w:pPr>
              <w:spacing w:after="0"/>
              <w:jc w:val="center"/>
              <w:rPr>
                <w:sz w:val="18"/>
                <w:szCs w:val="18"/>
              </w:rPr>
            </w:pPr>
            <w:r>
              <w:rPr>
                <w:sz w:val="18"/>
                <w:szCs w:val="18"/>
              </w:rPr>
              <w:t>111</w:t>
            </w:r>
          </w:p>
          <w:p w:rsidR="009B2A14" w:rsidRPr="00DE5B46" w:rsidRDefault="009B2A14" w:rsidP="009B2A14">
            <w:pPr>
              <w:spacing w:after="0"/>
              <w:jc w:val="center"/>
              <w:rPr>
                <w:sz w:val="18"/>
                <w:szCs w:val="18"/>
              </w:rPr>
            </w:pPr>
            <w:r>
              <w:rPr>
                <w:sz w:val="18"/>
                <w:szCs w:val="18"/>
              </w:rPr>
              <w:t>153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18b</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B86300" w:rsidRDefault="00B86300" w:rsidP="009B2A14">
            <w:pPr>
              <w:spacing w:after="0"/>
              <w:jc w:val="center"/>
              <w:rPr>
                <w:color w:val="000000"/>
                <w:sz w:val="18"/>
                <w:szCs w:val="18"/>
              </w:rPr>
            </w:pPr>
            <w:r>
              <w:rPr>
                <w:color w:val="000000"/>
                <w:sz w:val="18"/>
                <w:szCs w:val="18"/>
              </w:rPr>
              <w:t>Placenta</w:t>
            </w:r>
          </w:p>
          <w:p w:rsidR="00B86300" w:rsidRPr="00DE5B46" w:rsidRDefault="00B86300" w:rsidP="009B2A14">
            <w:pPr>
              <w:spacing w:after="0"/>
              <w:jc w:val="center"/>
              <w:rPr>
                <w:color w:val="000000"/>
                <w:sz w:val="18"/>
                <w:szCs w:val="18"/>
              </w:rPr>
            </w:pPr>
            <w:r>
              <w:rPr>
                <w:color w:val="000000"/>
                <w:sz w:val="18"/>
                <w:szCs w:val="18"/>
              </w:rPr>
              <w:t>UCMSC</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B86300" w:rsidRDefault="00B86300" w:rsidP="009B2A14">
            <w:pPr>
              <w:spacing w:after="0"/>
              <w:jc w:val="center"/>
              <w:rPr>
                <w:color w:val="000000"/>
                <w:sz w:val="18"/>
                <w:szCs w:val="18"/>
              </w:rPr>
            </w:pPr>
            <w:r>
              <w:rPr>
                <w:color w:val="000000"/>
                <w:sz w:val="18"/>
                <w:szCs w:val="18"/>
              </w:rPr>
              <w:t>Down in PE</w:t>
            </w:r>
          </w:p>
          <w:p w:rsidR="00B86300" w:rsidRPr="00DE5B46" w:rsidRDefault="00B86300"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B86300" w:rsidRDefault="00B86300" w:rsidP="009B2A14">
            <w:pPr>
              <w:spacing w:after="0"/>
              <w:jc w:val="center"/>
              <w:rPr>
                <w:color w:val="000000"/>
                <w:sz w:val="18"/>
                <w:szCs w:val="18"/>
              </w:rPr>
            </w:pPr>
            <w:r>
              <w:rPr>
                <w:color w:val="000000"/>
                <w:sz w:val="18"/>
                <w:szCs w:val="18"/>
              </w:rPr>
              <w:t>Yes</w:t>
            </w:r>
          </w:p>
          <w:p w:rsidR="00B86300" w:rsidRPr="00DE5B46" w:rsidRDefault="00B86300"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112</w:t>
            </w:r>
          </w:p>
          <w:p w:rsidR="00B86300" w:rsidRDefault="00B86300" w:rsidP="009B2A14">
            <w:pPr>
              <w:spacing w:after="0"/>
              <w:jc w:val="center"/>
              <w:rPr>
                <w:sz w:val="18"/>
                <w:szCs w:val="18"/>
              </w:rPr>
            </w:pPr>
            <w:r>
              <w:rPr>
                <w:sz w:val="18"/>
                <w:szCs w:val="18"/>
              </w:rPr>
              <w:t>Yang 2020</w:t>
            </w:r>
          </w:p>
          <w:p w:rsidR="00B86300" w:rsidRPr="00DE5B46" w:rsidRDefault="00B86300" w:rsidP="009B2A14">
            <w:pPr>
              <w:spacing w:after="0"/>
              <w:jc w:val="center"/>
              <w:rPr>
                <w:sz w:val="18"/>
                <w:szCs w:val="18"/>
              </w:rPr>
            </w:pPr>
            <w:r>
              <w:rPr>
                <w:sz w:val="18"/>
                <w:szCs w:val="18"/>
              </w:rPr>
              <w:t>Yang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615-3p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 (trophoblast debris)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1247-5p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 (trophoblast debris)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370</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116</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4421</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125</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423-5p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128</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454</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w:t>
            </w:r>
          </w:p>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Default="009B2A14" w:rsidP="009B2A14">
            <w:pPr>
              <w:spacing w:after="0"/>
              <w:jc w:val="center"/>
              <w:rPr>
                <w:color w:val="000000"/>
                <w:sz w:val="18"/>
                <w:szCs w:val="18"/>
              </w:rPr>
            </w:pPr>
            <w:r>
              <w:rPr>
                <w:color w:val="000000"/>
                <w:sz w:val="18"/>
                <w:szCs w:val="18"/>
              </w:rPr>
              <w:t>Down in PE</w:t>
            </w:r>
          </w:p>
          <w:p w:rsidR="009B2A14" w:rsidRPr="00DE5B46" w:rsidRDefault="009B2A14" w:rsidP="009B2A14">
            <w:pPr>
              <w:spacing w:after="0"/>
              <w:jc w:val="center"/>
              <w:rPr>
                <w:color w:val="000000"/>
                <w:sz w:val="18"/>
                <w:szCs w:val="18"/>
              </w:rPr>
            </w:pPr>
            <w:r>
              <w:rPr>
                <w:color w:val="000000"/>
                <w:sz w:val="18"/>
                <w:szCs w:val="18"/>
              </w:rPr>
              <w:t>Down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142</w:t>
            </w:r>
          </w:p>
          <w:p w:rsidR="009B2A14" w:rsidRPr="00DE5B46" w:rsidRDefault="009B2A14" w:rsidP="009B2A14">
            <w:pPr>
              <w:spacing w:after="0"/>
              <w:jc w:val="center"/>
              <w:rPr>
                <w:sz w:val="18"/>
                <w:szCs w:val="18"/>
              </w:rPr>
            </w:pPr>
            <w:r>
              <w:rPr>
                <w:sz w:val="18"/>
                <w:szCs w:val="18"/>
              </w:rPr>
              <w:t>175</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362-3p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144</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134</w:t>
            </w:r>
          </w:p>
        </w:tc>
        <w:tc>
          <w:tcPr>
            <w:tcW w:w="2905" w:type="dxa"/>
            <w:vAlign w:val="center"/>
          </w:tcPr>
          <w:p w:rsidR="009B2A14" w:rsidRDefault="009B2A14" w:rsidP="009B2A14">
            <w:pPr>
              <w:spacing w:after="0"/>
              <w:jc w:val="center"/>
              <w:rPr>
                <w:color w:val="000000"/>
                <w:sz w:val="18"/>
                <w:szCs w:val="18"/>
              </w:rPr>
            </w:pPr>
            <w:r>
              <w:rPr>
                <w:color w:val="000000"/>
                <w:sz w:val="18"/>
                <w:szCs w:val="18"/>
              </w:rPr>
              <w:t>Placenta (chorionic plate)</w:t>
            </w:r>
          </w:p>
          <w:p w:rsidR="009B2A14" w:rsidRDefault="009B2A14" w:rsidP="009B2A14">
            <w:pPr>
              <w:spacing w:after="0"/>
              <w:jc w:val="center"/>
              <w:rPr>
                <w:color w:val="000000"/>
                <w:sz w:val="18"/>
                <w:szCs w:val="18"/>
              </w:rPr>
            </w:pPr>
            <w:r>
              <w:rPr>
                <w:color w:val="000000"/>
                <w:sz w:val="18"/>
                <w:szCs w:val="18"/>
              </w:rPr>
              <w:t>Placenta (basal plate)</w:t>
            </w:r>
          </w:p>
          <w:p w:rsidR="009B2A14" w:rsidRDefault="009B2A14" w:rsidP="009B2A14">
            <w:pPr>
              <w:spacing w:after="0"/>
              <w:jc w:val="center"/>
              <w:rPr>
                <w:color w:val="000000"/>
                <w:sz w:val="18"/>
                <w:szCs w:val="18"/>
              </w:rPr>
            </w:pPr>
            <w:r>
              <w:rPr>
                <w:color w:val="000000"/>
                <w:sz w:val="18"/>
                <w:szCs w:val="18"/>
              </w:rPr>
              <w:t>MPB (plasma exosomes)</w:t>
            </w:r>
          </w:p>
          <w:p w:rsidR="00C11F92" w:rsidRPr="00DE5B46" w:rsidRDefault="00C11F92" w:rsidP="009B2A14">
            <w:pPr>
              <w:spacing w:after="0"/>
              <w:jc w:val="center"/>
              <w:rPr>
                <w:color w:val="000000"/>
                <w:sz w:val="18"/>
                <w:szCs w:val="18"/>
              </w:rPr>
            </w:pPr>
            <w:r>
              <w:rPr>
                <w:color w:val="000000"/>
                <w:sz w:val="18"/>
                <w:szCs w:val="18"/>
              </w:rPr>
              <w:t>MPB</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w:t>
            </w:r>
          </w:p>
          <w:p w:rsidR="009B2A14" w:rsidRDefault="009B2A14" w:rsidP="009B2A14">
            <w:pPr>
              <w:spacing w:after="0"/>
              <w:jc w:val="center"/>
              <w:rPr>
                <w:color w:val="000000"/>
                <w:sz w:val="18"/>
                <w:szCs w:val="18"/>
              </w:rPr>
            </w:pPr>
            <w:r>
              <w:rPr>
                <w:color w:val="000000"/>
                <w:sz w:val="18"/>
                <w:szCs w:val="18"/>
              </w:rPr>
              <w:t>Up in PE</w:t>
            </w:r>
          </w:p>
          <w:p w:rsidR="009B2A14" w:rsidRDefault="009B2A14" w:rsidP="009B2A14">
            <w:pPr>
              <w:spacing w:after="0"/>
              <w:jc w:val="center"/>
              <w:rPr>
                <w:color w:val="000000"/>
                <w:sz w:val="18"/>
                <w:szCs w:val="18"/>
              </w:rPr>
            </w:pPr>
            <w:r>
              <w:rPr>
                <w:color w:val="000000"/>
                <w:sz w:val="18"/>
                <w:szCs w:val="18"/>
              </w:rPr>
              <w:t>Up in PE</w:t>
            </w:r>
          </w:p>
          <w:p w:rsidR="00C11F92" w:rsidRPr="00DE5B46" w:rsidRDefault="00C11F92" w:rsidP="009B2A14">
            <w:pPr>
              <w:spacing w:after="0"/>
              <w:jc w:val="center"/>
              <w:rPr>
                <w:color w:val="000000"/>
                <w:sz w:val="18"/>
                <w:szCs w:val="18"/>
              </w:rPr>
            </w:pPr>
            <w:r>
              <w:rPr>
                <w:color w:val="000000"/>
                <w:sz w:val="18"/>
                <w:szCs w:val="18"/>
              </w:rPr>
              <w:t>No difference</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Yes</w:t>
            </w:r>
          </w:p>
          <w:p w:rsidR="00C11F92" w:rsidRPr="00DE5B46" w:rsidRDefault="00C11F92"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color w:val="000000"/>
                <w:sz w:val="18"/>
                <w:szCs w:val="18"/>
              </w:rPr>
            </w:pPr>
            <w:r>
              <w:rPr>
                <w:color w:val="000000"/>
                <w:sz w:val="18"/>
                <w:szCs w:val="18"/>
              </w:rPr>
              <w:t>148</w:t>
            </w:r>
          </w:p>
          <w:p w:rsidR="009B2A14" w:rsidRDefault="009B2A14" w:rsidP="009B2A14">
            <w:pPr>
              <w:spacing w:after="0"/>
              <w:jc w:val="center"/>
              <w:rPr>
                <w:color w:val="000000"/>
                <w:sz w:val="18"/>
                <w:szCs w:val="18"/>
              </w:rPr>
            </w:pPr>
            <w:r>
              <w:rPr>
                <w:color w:val="000000"/>
                <w:sz w:val="18"/>
                <w:szCs w:val="18"/>
              </w:rPr>
              <w:t>148</w:t>
            </w:r>
          </w:p>
          <w:p w:rsidR="009B2A14" w:rsidRDefault="009B2A14" w:rsidP="009B2A14">
            <w:pPr>
              <w:spacing w:after="0"/>
              <w:jc w:val="center"/>
              <w:rPr>
                <w:color w:val="000000"/>
                <w:sz w:val="18"/>
                <w:szCs w:val="18"/>
              </w:rPr>
            </w:pPr>
            <w:r>
              <w:rPr>
                <w:color w:val="000000"/>
                <w:sz w:val="18"/>
                <w:szCs w:val="18"/>
              </w:rPr>
              <w:t>153</w:t>
            </w:r>
          </w:p>
          <w:p w:rsidR="00C11F92" w:rsidRPr="00DE5B46" w:rsidRDefault="00C11F92" w:rsidP="009B2A14">
            <w:pPr>
              <w:spacing w:after="0"/>
              <w:jc w:val="center"/>
              <w:rPr>
                <w:sz w:val="18"/>
                <w:szCs w:val="18"/>
              </w:rPr>
            </w:pPr>
            <w:r>
              <w:rPr>
                <w:color w:val="000000"/>
                <w:sz w:val="18"/>
                <w:szCs w:val="18"/>
              </w:rPr>
              <w:t>Dong 2020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302c</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153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618</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 (plasma exosomes)</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153</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326</w:t>
            </w:r>
          </w:p>
        </w:tc>
        <w:tc>
          <w:tcPr>
            <w:tcW w:w="2905" w:type="dxa"/>
            <w:vAlign w:val="center"/>
          </w:tcPr>
          <w:p w:rsidR="009B2A14" w:rsidRDefault="009B2A14" w:rsidP="009B2A14">
            <w:pPr>
              <w:spacing w:after="0"/>
              <w:jc w:val="center"/>
              <w:rPr>
                <w:color w:val="000000"/>
                <w:sz w:val="18"/>
                <w:szCs w:val="18"/>
              </w:rPr>
            </w:pPr>
            <w:r>
              <w:rPr>
                <w:color w:val="000000"/>
                <w:sz w:val="18"/>
                <w:szCs w:val="18"/>
              </w:rPr>
              <w:t>MPB (mononuclear cells)</w:t>
            </w:r>
          </w:p>
          <w:p w:rsidR="008019DB" w:rsidRPr="00DE5B46" w:rsidRDefault="008019DB" w:rsidP="009B2A14">
            <w:pPr>
              <w:spacing w:after="0"/>
              <w:jc w:val="center"/>
              <w:rPr>
                <w:color w:val="000000"/>
                <w:sz w:val="18"/>
                <w:szCs w:val="18"/>
              </w:rPr>
            </w:pPr>
            <w:r>
              <w:rPr>
                <w:color w:val="000000"/>
                <w:sz w:val="18"/>
                <w:szCs w:val="18"/>
              </w:rPr>
              <w:t>MPB (mononuclear cells)</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w:t>
            </w:r>
          </w:p>
          <w:p w:rsidR="008019DB" w:rsidRPr="00DE5B46" w:rsidRDefault="008019DB" w:rsidP="009B2A14">
            <w:pPr>
              <w:spacing w:after="0"/>
              <w:jc w:val="center"/>
              <w:rPr>
                <w:color w:val="000000"/>
                <w:sz w:val="18"/>
                <w:szCs w:val="18"/>
              </w:rPr>
            </w:pPr>
            <w:r>
              <w:rPr>
                <w:color w:val="000000"/>
                <w:sz w:val="18"/>
                <w:szCs w:val="18"/>
              </w:rPr>
              <w:t>Up in PE</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8019DB" w:rsidRPr="00DE5B46" w:rsidRDefault="008019DB"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155</w:t>
            </w:r>
          </w:p>
          <w:p w:rsidR="008019DB" w:rsidRPr="00DE5B46" w:rsidRDefault="008019DB" w:rsidP="009B2A14">
            <w:pPr>
              <w:spacing w:after="0"/>
              <w:jc w:val="center"/>
              <w:rPr>
                <w:sz w:val="18"/>
                <w:szCs w:val="18"/>
              </w:rPr>
            </w:pPr>
            <w:r>
              <w:rPr>
                <w:sz w:val="18"/>
                <w:szCs w:val="18"/>
              </w:rPr>
              <w:t>Zolfaghari 2021</w:t>
            </w:r>
          </w:p>
        </w:tc>
      </w:tr>
      <w:tr w:rsidR="009B2A14" w:rsidRPr="00DE5B46" w:rsidTr="0056680A">
        <w:trPr>
          <w:cantSplit/>
          <w:jc w:val="center"/>
        </w:trPr>
        <w:tc>
          <w:tcPr>
            <w:tcW w:w="0" w:type="auto"/>
            <w:vAlign w:val="bottom"/>
          </w:tcPr>
          <w:p w:rsidR="009B2A14" w:rsidRPr="00DE5B46" w:rsidRDefault="009B2A14" w:rsidP="009B2A14">
            <w:pPr>
              <w:spacing w:after="0"/>
              <w:jc w:val="center"/>
              <w:rPr>
                <w:color w:val="000000"/>
                <w:sz w:val="18"/>
                <w:szCs w:val="18"/>
              </w:rPr>
            </w:pPr>
            <w:r w:rsidRPr="00585202">
              <w:rPr>
                <w:color w:val="000000"/>
                <w:sz w:val="18"/>
                <w:szCs w:val="18"/>
              </w:rPr>
              <w:t>337-3p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160</w:t>
            </w:r>
          </w:p>
        </w:tc>
      </w:tr>
      <w:tr w:rsidR="009B2A14" w:rsidRPr="00DE5B46" w:rsidTr="0056680A">
        <w:trPr>
          <w:cantSplit/>
          <w:jc w:val="center"/>
        </w:trPr>
        <w:tc>
          <w:tcPr>
            <w:tcW w:w="0" w:type="auto"/>
            <w:vAlign w:val="bottom"/>
          </w:tcPr>
          <w:p w:rsidR="009B2A14" w:rsidRPr="00DE5B46" w:rsidRDefault="009B2A14" w:rsidP="009B2A14">
            <w:pPr>
              <w:spacing w:after="0"/>
              <w:jc w:val="center"/>
              <w:rPr>
                <w:color w:val="000000"/>
                <w:sz w:val="18"/>
                <w:szCs w:val="18"/>
              </w:rPr>
            </w:pPr>
            <w:r w:rsidRPr="00585202">
              <w:rPr>
                <w:color w:val="000000"/>
                <w:sz w:val="18"/>
                <w:szCs w:val="18"/>
              </w:rPr>
              <w:t>187-3p</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Placenta</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160</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628-3p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MPB (serum)</w:t>
            </w:r>
          </w:p>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Up in PE vs. 12gw control</w:t>
            </w:r>
          </w:p>
          <w:p w:rsidR="009B2A14" w:rsidRDefault="009B2A14" w:rsidP="009B2A14">
            <w:pPr>
              <w:spacing w:after="0"/>
              <w:jc w:val="center"/>
              <w:rPr>
                <w:color w:val="000000"/>
                <w:sz w:val="18"/>
                <w:szCs w:val="18"/>
              </w:rPr>
            </w:pPr>
            <w:r>
              <w:rPr>
                <w:color w:val="000000"/>
                <w:sz w:val="18"/>
                <w:szCs w:val="18"/>
              </w:rPr>
              <w:t>No difference vs. 16gw control</w:t>
            </w:r>
          </w:p>
          <w:p w:rsidR="009B2A14" w:rsidRPr="00DE5B46" w:rsidRDefault="009B2A14" w:rsidP="009B2A14">
            <w:pPr>
              <w:spacing w:after="0"/>
              <w:jc w:val="center"/>
              <w:rPr>
                <w:color w:val="000000"/>
                <w:sz w:val="18"/>
                <w:szCs w:val="18"/>
              </w:rPr>
            </w:pPr>
            <w:r>
              <w:rPr>
                <w:color w:val="000000"/>
                <w:sz w:val="18"/>
                <w:szCs w:val="18"/>
              </w:rPr>
              <w:t>No difference vs. 20gw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Yes</w:t>
            </w:r>
          </w:p>
          <w:p w:rsidR="009B2A14" w:rsidRDefault="009B2A14" w:rsidP="009B2A14">
            <w:pPr>
              <w:spacing w:after="0"/>
              <w:jc w:val="center"/>
              <w:rPr>
                <w:color w:val="000000"/>
                <w:sz w:val="18"/>
                <w:szCs w:val="18"/>
              </w:rPr>
            </w:pPr>
            <w:r>
              <w:rPr>
                <w:color w:val="000000"/>
                <w:sz w:val="18"/>
                <w:szCs w:val="18"/>
              </w:rPr>
              <w:t>No</w:t>
            </w:r>
          </w:p>
          <w:p w:rsidR="009B2A14" w:rsidRPr="00DE5B46" w:rsidRDefault="009B2A14" w:rsidP="009B2A14">
            <w:pPr>
              <w:spacing w:after="0"/>
              <w:jc w:val="center"/>
              <w:rPr>
                <w:color w:val="000000"/>
                <w:sz w:val="18"/>
                <w:szCs w:val="18"/>
              </w:rPr>
            </w:pPr>
            <w:r>
              <w:rPr>
                <w:color w:val="000000"/>
                <w:sz w:val="18"/>
                <w:szCs w:val="18"/>
              </w:rPr>
              <w:t>No</w:t>
            </w:r>
          </w:p>
        </w:tc>
        <w:tc>
          <w:tcPr>
            <w:tcW w:w="1805" w:type="dxa"/>
            <w:vAlign w:val="center"/>
          </w:tcPr>
          <w:p w:rsidR="009B2A14" w:rsidRDefault="009B2A14" w:rsidP="009B2A14">
            <w:pPr>
              <w:spacing w:after="0"/>
              <w:jc w:val="center"/>
              <w:rPr>
                <w:sz w:val="18"/>
                <w:szCs w:val="18"/>
              </w:rPr>
            </w:pPr>
            <w:r>
              <w:rPr>
                <w:sz w:val="18"/>
                <w:szCs w:val="18"/>
              </w:rPr>
              <w:t>168</w:t>
            </w:r>
          </w:p>
          <w:p w:rsidR="009B2A14" w:rsidRDefault="009B2A14" w:rsidP="009B2A14">
            <w:pPr>
              <w:spacing w:after="0"/>
              <w:jc w:val="center"/>
              <w:rPr>
                <w:sz w:val="18"/>
                <w:szCs w:val="18"/>
              </w:rPr>
            </w:pPr>
            <w:r>
              <w:rPr>
                <w:sz w:val="18"/>
                <w:szCs w:val="18"/>
              </w:rPr>
              <w:t>168</w:t>
            </w:r>
          </w:p>
          <w:p w:rsidR="009B2A14" w:rsidRPr="00DE5B46" w:rsidRDefault="009B2A14" w:rsidP="009B2A14">
            <w:pPr>
              <w:spacing w:after="0"/>
              <w:jc w:val="center"/>
              <w:rPr>
                <w:sz w:val="18"/>
                <w:szCs w:val="18"/>
              </w:rPr>
            </w:pPr>
            <w:r>
              <w:rPr>
                <w:sz w:val="18"/>
                <w:szCs w:val="18"/>
              </w:rPr>
              <w:t>168</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628-5p</w:t>
            </w:r>
          </w:p>
        </w:tc>
        <w:tc>
          <w:tcPr>
            <w:tcW w:w="2905" w:type="dxa"/>
            <w:vAlign w:val="center"/>
          </w:tcPr>
          <w:p w:rsidR="009B2A14" w:rsidRDefault="009B2A14" w:rsidP="009B2A14">
            <w:pPr>
              <w:spacing w:after="0"/>
              <w:jc w:val="center"/>
              <w:rPr>
                <w:color w:val="000000"/>
                <w:sz w:val="18"/>
                <w:szCs w:val="18"/>
              </w:rPr>
            </w:pPr>
            <w:r>
              <w:rPr>
                <w:color w:val="000000"/>
                <w:sz w:val="18"/>
                <w:szCs w:val="18"/>
              </w:rPr>
              <w:t>MPB (serum)</w:t>
            </w:r>
          </w:p>
          <w:p w:rsidR="009B2A14" w:rsidRDefault="009B2A14" w:rsidP="009B2A14">
            <w:pPr>
              <w:spacing w:after="0"/>
              <w:jc w:val="center"/>
              <w:rPr>
                <w:color w:val="000000"/>
                <w:sz w:val="18"/>
                <w:szCs w:val="18"/>
              </w:rPr>
            </w:pPr>
            <w:r>
              <w:rPr>
                <w:color w:val="000000"/>
                <w:sz w:val="18"/>
                <w:szCs w:val="18"/>
              </w:rPr>
              <w:t>MPB (serum)</w:t>
            </w:r>
          </w:p>
          <w:p w:rsidR="009B2A14" w:rsidRPr="00DE5B46" w:rsidRDefault="009B2A14" w:rsidP="009B2A14">
            <w:pPr>
              <w:spacing w:after="0"/>
              <w:jc w:val="center"/>
              <w:rPr>
                <w:color w:val="000000"/>
                <w:sz w:val="18"/>
                <w:szCs w:val="18"/>
              </w:rPr>
            </w:pPr>
            <w:r>
              <w:rPr>
                <w:color w:val="000000"/>
                <w:sz w:val="18"/>
                <w:szCs w:val="18"/>
              </w:rPr>
              <w:t>MPB (serum)</w:t>
            </w:r>
          </w:p>
        </w:tc>
        <w:tc>
          <w:tcPr>
            <w:tcW w:w="2976" w:type="dxa"/>
            <w:vAlign w:val="center"/>
          </w:tcPr>
          <w:p w:rsidR="009B2A14" w:rsidRDefault="009B2A14" w:rsidP="009B2A14">
            <w:pPr>
              <w:spacing w:after="0"/>
              <w:jc w:val="center"/>
              <w:rPr>
                <w:color w:val="000000"/>
                <w:sz w:val="18"/>
                <w:szCs w:val="18"/>
              </w:rPr>
            </w:pPr>
            <w:r>
              <w:rPr>
                <w:color w:val="000000"/>
                <w:sz w:val="18"/>
                <w:szCs w:val="18"/>
              </w:rPr>
              <w:t>No difference vs. 12gw control</w:t>
            </w:r>
          </w:p>
          <w:p w:rsidR="009B2A14" w:rsidRDefault="009B2A14" w:rsidP="009B2A14">
            <w:pPr>
              <w:spacing w:after="0"/>
              <w:jc w:val="center"/>
              <w:rPr>
                <w:color w:val="000000"/>
                <w:sz w:val="18"/>
                <w:szCs w:val="18"/>
              </w:rPr>
            </w:pPr>
            <w:r>
              <w:rPr>
                <w:color w:val="000000"/>
                <w:sz w:val="18"/>
                <w:szCs w:val="18"/>
              </w:rPr>
              <w:t>Up in PE vs. 16gw control</w:t>
            </w:r>
          </w:p>
          <w:p w:rsidR="009B2A14" w:rsidRPr="00DE5B46" w:rsidRDefault="009B2A14" w:rsidP="009B2A14">
            <w:pPr>
              <w:spacing w:after="0"/>
              <w:jc w:val="center"/>
              <w:rPr>
                <w:color w:val="000000"/>
                <w:sz w:val="18"/>
                <w:szCs w:val="18"/>
              </w:rPr>
            </w:pPr>
            <w:r>
              <w:rPr>
                <w:color w:val="000000"/>
                <w:sz w:val="18"/>
                <w:szCs w:val="18"/>
              </w:rPr>
              <w:t>Up in PE vs. 20gw control</w:t>
            </w:r>
          </w:p>
        </w:tc>
        <w:tc>
          <w:tcPr>
            <w:tcW w:w="709" w:type="dxa"/>
            <w:vAlign w:val="center"/>
          </w:tcPr>
          <w:p w:rsidR="009B2A14" w:rsidRDefault="009B2A14" w:rsidP="009B2A14">
            <w:pPr>
              <w:spacing w:after="0"/>
              <w:jc w:val="center"/>
              <w:rPr>
                <w:color w:val="000000"/>
                <w:sz w:val="18"/>
                <w:szCs w:val="18"/>
              </w:rPr>
            </w:pPr>
            <w:r>
              <w:rPr>
                <w:color w:val="000000"/>
                <w:sz w:val="18"/>
                <w:szCs w:val="18"/>
              </w:rPr>
              <w:t>No</w:t>
            </w:r>
          </w:p>
          <w:p w:rsidR="009B2A14" w:rsidRDefault="009B2A14" w:rsidP="009B2A14">
            <w:pPr>
              <w:spacing w:after="0"/>
              <w:jc w:val="center"/>
              <w:rPr>
                <w:color w:val="000000"/>
                <w:sz w:val="18"/>
                <w:szCs w:val="18"/>
              </w:rPr>
            </w:pPr>
            <w:r>
              <w:rPr>
                <w:color w:val="000000"/>
                <w:sz w:val="18"/>
                <w:szCs w:val="18"/>
              </w:rPr>
              <w:t>Yes</w:t>
            </w:r>
          </w:p>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Default="009B2A14" w:rsidP="009B2A14">
            <w:pPr>
              <w:spacing w:after="0"/>
              <w:jc w:val="center"/>
              <w:rPr>
                <w:sz w:val="18"/>
                <w:szCs w:val="18"/>
              </w:rPr>
            </w:pPr>
            <w:r>
              <w:rPr>
                <w:sz w:val="18"/>
                <w:szCs w:val="18"/>
              </w:rPr>
              <w:t>168</w:t>
            </w:r>
          </w:p>
          <w:p w:rsidR="009B2A14" w:rsidRDefault="009B2A14" w:rsidP="009B2A14">
            <w:pPr>
              <w:spacing w:after="0"/>
              <w:jc w:val="center"/>
              <w:rPr>
                <w:sz w:val="18"/>
                <w:szCs w:val="18"/>
              </w:rPr>
            </w:pPr>
            <w:r>
              <w:rPr>
                <w:sz w:val="18"/>
                <w:szCs w:val="18"/>
              </w:rPr>
              <w:t>168</w:t>
            </w:r>
          </w:p>
          <w:p w:rsidR="009B2A14" w:rsidRPr="00DE5B46" w:rsidRDefault="009B2A14" w:rsidP="009B2A14">
            <w:pPr>
              <w:spacing w:after="0"/>
              <w:jc w:val="center"/>
              <w:rPr>
                <w:sz w:val="18"/>
                <w:szCs w:val="18"/>
              </w:rPr>
            </w:pPr>
            <w:r>
              <w:rPr>
                <w:sz w:val="18"/>
                <w:szCs w:val="18"/>
              </w:rPr>
              <w:t>168</w:t>
            </w:r>
          </w:p>
        </w:tc>
      </w:tr>
      <w:tr w:rsidR="009B2A14" w:rsidRPr="00DE5B46" w:rsidTr="0056680A">
        <w:trPr>
          <w:cantSplit/>
          <w:jc w:val="center"/>
        </w:trPr>
        <w:tc>
          <w:tcPr>
            <w:tcW w:w="0" w:type="auto"/>
            <w:vAlign w:val="center"/>
          </w:tcPr>
          <w:p w:rsidR="009B2A14" w:rsidRPr="00DE5B46" w:rsidRDefault="009B2A14" w:rsidP="009B2A14">
            <w:pPr>
              <w:spacing w:after="0"/>
              <w:jc w:val="center"/>
              <w:rPr>
                <w:color w:val="000000"/>
                <w:sz w:val="18"/>
                <w:szCs w:val="18"/>
              </w:rPr>
            </w:pPr>
            <w:r>
              <w:rPr>
                <w:color w:val="000000"/>
                <w:sz w:val="18"/>
                <w:szCs w:val="18"/>
              </w:rPr>
              <w:t>510</w:t>
            </w:r>
          </w:p>
        </w:tc>
        <w:tc>
          <w:tcPr>
            <w:tcW w:w="2905" w:type="dxa"/>
            <w:vAlign w:val="center"/>
          </w:tcPr>
          <w:p w:rsidR="009B2A14" w:rsidRPr="00DE5B46" w:rsidRDefault="009B2A14" w:rsidP="009B2A14">
            <w:pPr>
              <w:spacing w:after="0"/>
              <w:jc w:val="center"/>
              <w:rPr>
                <w:color w:val="000000"/>
                <w:sz w:val="18"/>
                <w:szCs w:val="18"/>
              </w:rPr>
            </w:pPr>
            <w:r>
              <w:rPr>
                <w:color w:val="000000"/>
                <w:sz w:val="18"/>
                <w:szCs w:val="18"/>
              </w:rPr>
              <w:t>MPB</w:t>
            </w:r>
          </w:p>
        </w:tc>
        <w:tc>
          <w:tcPr>
            <w:tcW w:w="2976" w:type="dxa"/>
            <w:vAlign w:val="center"/>
          </w:tcPr>
          <w:p w:rsidR="009B2A14" w:rsidRPr="00DE5B46" w:rsidRDefault="009B2A14" w:rsidP="009B2A14">
            <w:pPr>
              <w:spacing w:after="0"/>
              <w:jc w:val="center"/>
              <w:rPr>
                <w:color w:val="000000"/>
                <w:sz w:val="18"/>
                <w:szCs w:val="18"/>
              </w:rPr>
            </w:pPr>
            <w:r>
              <w:rPr>
                <w:color w:val="000000"/>
                <w:sz w:val="18"/>
                <w:szCs w:val="18"/>
              </w:rPr>
              <w:t>Up in PE</w:t>
            </w:r>
          </w:p>
        </w:tc>
        <w:tc>
          <w:tcPr>
            <w:tcW w:w="709" w:type="dxa"/>
            <w:vAlign w:val="center"/>
          </w:tcPr>
          <w:p w:rsidR="009B2A14" w:rsidRPr="00DE5B46" w:rsidRDefault="009B2A14" w:rsidP="009B2A14">
            <w:pPr>
              <w:spacing w:after="0"/>
              <w:jc w:val="center"/>
              <w:rPr>
                <w:color w:val="000000"/>
                <w:sz w:val="18"/>
                <w:szCs w:val="18"/>
              </w:rPr>
            </w:pPr>
            <w:r>
              <w:rPr>
                <w:color w:val="000000"/>
                <w:sz w:val="18"/>
                <w:szCs w:val="18"/>
              </w:rPr>
              <w:t>Yes</w:t>
            </w:r>
          </w:p>
        </w:tc>
        <w:tc>
          <w:tcPr>
            <w:tcW w:w="1805" w:type="dxa"/>
            <w:vAlign w:val="center"/>
          </w:tcPr>
          <w:p w:rsidR="009B2A14" w:rsidRPr="00DE5B46" w:rsidRDefault="009B2A14" w:rsidP="009B2A14">
            <w:pPr>
              <w:spacing w:after="0"/>
              <w:jc w:val="center"/>
              <w:rPr>
                <w:sz w:val="18"/>
                <w:szCs w:val="18"/>
              </w:rPr>
            </w:pPr>
            <w:r>
              <w:rPr>
                <w:sz w:val="18"/>
                <w:szCs w:val="18"/>
              </w:rPr>
              <w:t>174</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429</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No difference</w:t>
            </w:r>
          </w:p>
        </w:tc>
        <w:tc>
          <w:tcPr>
            <w:tcW w:w="709" w:type="dxa"/>
          </w:tcPr>
          <w:p w:rsidR="009B2A14" w:rsidRPr="00DE5B46" w:rsidRDefault="009B2A14" w:rsidP="009B2A14">
            <w:pPr>
              <w:spacing w:after="0"/>
              <w:jc w:val="center"/>
              <w:rPr>
                <w:sz w:val="18"/>
                <w:szCs w:val="18"/>
              </w:rPr>
            </w:pPr>
            <w:r>
              <w:rPr>
                <w:sz w:val="18"/>
                <w:szCs w:val="18"/>
              </w:rPr>
              <w:t>No</w:t>
            </w:r>
          </w:p>
        </w:tc>
        <w:tc>
          <w:tcPr>
            <w:tcW w:w="1805" w:type="dxa"/>
          </w:tcPr>
          <w:p w:rsidR="009B2A14" w:rsidRPr="00DE5B46" w:rsidRDefault="009B2A14" w:rsidP="009B2A14">
            <w:pPr>
              <w:spacing w:after="0"/>
              <w:jc w:val="center"/>
              <w:rPr>
                <w:sz w:val="18"/>
                <w:szCs w:val="18"/>
              </w:rPr>
            </w:pPr>
            <w:r>
              <w:rPr>
                <w:sz w:val="18"/>
                <w:szCs w:val="18"/>
              </w:rPr>
              <w:t>177</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548c-5p</w:t>
            </w:r>
          </w:p>
        </w:tc>
        <w:tc>
          <w:tcPr>
            <w:tcW w:w="2905" w:type="dxa"/>
          </w:tcPr>
          <w:p w:rsidR="009B2A14" w:rsidRDefault="009B2A14" w:rsidP="009B2A14">
            <w:pPr>
              <w:spacing w:after="0"/>
              <w:jc w:val="center"/>
              <w:rPr>
                <w:sz w:val="18"/>
                <w:szCs w:val="18"/>
              </w:rPr>
            </w:pPr>
            <w:r>
              <w:rPr>
                <w:sz w:val="18"/>
                <w:szCs w:val="18"/>
              </w:rPr>
              <w:t>Placenta</w:t>
            </w:r>
          </w:p>
          <w:p w:rsidR="009B2A14" w:rsidRPr="00DE5B46" w:rsidRDefault="009B2A14" w:rsidP="009B2A14">
            <w:pPr>
              <w:spacing w:after="0"/>
              <w:jc w:val="center"/>
              <w:rPr>
                <w:sz w:val="18"/>
                <w:szCs w:val="18"/>
              </w:rPr>
            </w:pPr>
            <w:r>
              <w:rPr>
                <w:sz w:val="18"/>
                <w:szCs w:val="18"/>
              </w:rPr>
              <w:t>MPB (serum exosomes)</w:t>
            </w:r>
          </w:p>
        </w:tc>
        <w:tc>
          <w:tcPr>
            <w:tcW w:w="2976" w:type="dxa"/>
          </w:tcPr>
          <w:p w:rsidR="009B2A14" w:rsidRDefault="009B2A14" w:rsidP="009B2A14">
            <w:pPr>
              <w:spacing w:after="0"/>
              <w:jc w:val="center"/>
              <w:rPr>
                <w:sz w:val="18"/>
                <w:szCs w:val="18"/>
              </w:rPr>
            </w:pPr>
            <w:r>
              <w:rPr>
                <w:sz w:val="18"/>
                <w:szCs w:val="18"/>
              </w:rPr>
              <w:t>Down in PE</w:t>
            </w:r>
          </w:p>
          <w:p w:rsidR="009B2A14" w:rsidRPr="00DE5B46" w:rsidRDefault="009B2A14" w:rsidP="009B2A14">
            <w:pPr>
              <w:spacing w:after="0"/>
              <w:jc w:val="center"/>
              <w:rPr>
                <w:sz w:val="18"/>
                <w:szCs w:val="18"/>
              </w:rPr>
            </w:pPr>
            <w:r>
              <w:rPr>
                <w:sz w:val="18"/>
                <w:szCs w:val="18"/>
              </w:rPr>
              <w:t>Down in PE</w:t>
            </w:r>
          </w:p>
        </w:tc>
        <w:tc>
          <w:tcPr>
            <w:tcW w:w="709" w:type="dxa"/>
          </w:tcPr>
          <w:p w:rsidR="009B2A14" w:rsidRDefault="009B2A14" w:rsidP="009B2A14">
            <w:pPr>
              <w:spacing w:after="0"/>
              <w:jc w:val="center"/>
              <w:rPr>
                <w:sz w:val="18"/>
                <w:szCs w:val="18"/>
              </w:rPr>
            </w:pPr>
            <w:r>
              <w:rPr>
                <w:sz w:val="18"/>
                <w:szCs w:val="18"/>
              </w:rPr>
              <w:t>Yes</w:t>
            </w:r>
          </w:p>
          <w:p w:rsidR="009B2A14" w:rsidRPr="00DE5B46" w:rsidRDefault="009B2A14" w:rsidP="009B2A14">
            <w:pPr>
              <w:spacing w:after="0"/>
              <w:jc w:val="center"/>
              <w:rPr>
                <w:sz w:val="18"/>
                <w:szCs w:val="18"/>
              </w:rPr>
            </w:pPr>
            <w:r>
              <w:rPr>
                <w:sz w:val="18"/>
                <w:szCs w:val="18"/>
              </w:rPr>
              <w:t>Yes</w:t>
            </w:r>
          </w:p>
        </w:tc>
        <w:tc>
          <w:tcPr>
            <w:tcW w:w="1805" w:type="dxa"/>
          </w:tcPr>
          <w:p w:rsidR="009B2A14" w:rsidRDefault="009B2A14" w:rsidP="009B2A14">
            <w:pPr>
              <w:spacing w:after="0"/>
              <w:jc w:val="center"/>
              <w:rPr>
                <w:sz w:val="18"/>
                <w:szCs w:val="18"/>
              </w:rPr>
            </w:pPr>
            <w:r>
              <w:rPr>
                <w:sz w:val="18"/>
                <w:szCs w:val="18"/>
              </w:rPr>
              <w:t>179</w:t>
            </w:r>
          </w:p>
          <w:p w:rsidR="009B2A14" w:rsidRPr="00DE5B46" w:rsidRDefault="009B2A14" w:rsidP="009B2A14">
            <w:pPr>
              <w:spacing w:after="0"/>
              <w:jc w:val="center"/>
              <w:rPr>
                <w:sz w:val="18"/>
                <w:szCs w:val="18"/>
              </w:rPr>
            </w:pPr>
            <w:r>
              <w:rPr>
                <w:sz w:val="18"/>
                <w:szCs w:val="18"/>
              </w:rPr>
              <w:t>179</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320a</w:t>
            </w:r>
          </w:p>
        </w:tc>
        <w:tc>
          <w:tcPr>
            <w:tcW w:w="2905" w:type="dxa"/>
          </w:tcPr>
          <w:p w:rsidR="009B2A14" w:rsidRDefault="009B2A14" w:rsidP="009B2A14">
            <w:pPr>
              <w:spacing w:after="0"/>
              <w:jc w:val="center"/>
              <w:rPr>
                <w:sz w:val="18"/>
                <w:szCs w:val="18"/>
              </w:rPr>
            </w:pPr>
            <w:r>
              <w:rPr>
                <w:sz w:val="18"/>
                <w:szCs w:val="18"/>
              </w:rPr>
              <w:t>Placenta</w:t>
            </w:r>
          </w:p>
          <w:p w:rsidR="009B2A14" w:rsidRPr="00DE5B46" w:rsidRDefault="009B2A14" w:rsidP="009B2A14">
            <w:pPr>
              <w:spacing w:after="0"/>
              <w:jc w:val="center"/>
              <w:rPr>
                <w:sz w:val="18"/>
                <w:szCs w:val="18"/>
              </w:rPr>
            </w:pPr>
            <w:r>
              <w:rPr>
                <w:sz w:val="18"/>
                <w:szCs w:val="18"/>
              </w:rPr>
              <w:t>MPB (plasma)</w:t>
            </w:r>
          </w:p>
        </w:tc>
        <w:tc>
          <w:tcPr>
            <w:tcW w:w="2976" w:type="dxa"/>
          </w:tcPr>
          <w:p w:rsidR="009B2A14" w:rsidRDefault="009B2A14" w:rsidP="009B2A14">
            <w:pPr>
              <w:spacing w:after="0"/>
              <w:jc w:val="center"/>
              <w:rPr>
                <w:sz w:val="18"/>
                <w:szCs w:val="18"/>
              </w:rPr>
            </w:pPr>
            <w:r>
              <w:rPr>
                <w:sz w:val="18"/>
                <w:szCs w:val="18"/>
              </w:rPr>
              <w:t>Down in PE</w:t>
            </w:r>
          </w:p>
          <w:p w:rsidR="009B2A14" w:rsidRPr="00DE5B46" w:rsidRDefault="009B2A14" w:rsidP="009B2A14">
            <w:pPr>
              <w:spacing w:after="0"/>
              <w:jc w:val="center"/>
              <w:rPr>
                <w:sz w:val="18"/>
                <w:szCs w:val="18"/>
              </w:rPr>
            </w:pPr>
            <w:r>
              <w:rPr>
                <w:sz w:val="18"/>
                <w:szCs w:val="18"/>
              </w:rPr>
              <w:t>Up in PE</w:t>
            </w:r>
          </w:p>
        </w:tc>
        <w:tc>
          <w:tcPr>
            <w:tcW w:w="709" w:type="dxa"/>
          </w:tcPr>
          <w:p w:rsidR="009B2A14" w:rsidRDefault="009B2A14" w:rsidP="009B2A14">
            <w:pPr>
              <w:spacing w:after="0"/>
              <w:jc w:val="center"/>
              <w:rPr>
                <w:sz w:val="18"/>
                <w:szCs w:val="18"/>
              </w:rPr>
            </w:pPr>
            <w:r>
              <w:rPr>
                <w:sz w:val="18"/>
                <w:szCs w:val="18"/>
              </w:rPr>
              <w:t>Yes</w:t>
            </w:r>
          </w:p>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183</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411</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Down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186</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431</w:t>
            </w:r>
          </w:p>
        </w:tc>
        <w:tc>
          <w:tcPr>
            <w:tcW w:w="2905" w:type="dxa"/>
          </w:tcPr>
          <w:p w:rsidR="009B2A14" w:rsidRPr="00DE5B46" w:rsidRDefault="009B2A14" w:rsidP="009B2A14">
            <w:pPr>
              <w:spacing w:after="0"/>
              <w:jc w:val="center"/>
              <w:rPr>
                <w:sz w:val="18"/>
                <w:szCs w:val="18"/>
              </w:rPr>
            </w:pPr>
            <w:r>
              <w:rPr>
                <w:sz w:val="18"/>
                <w:szCs w:val="18"/>
              </w:rPr>
              <w:t>Placenta</w:t>
            </w:r>
          </w:p>
        </w:tc>
        <w:tc>
          <w:tcPr>
            <w:tcW w:w="2976" w:type="dxa"/>
          </w:tcPr>
          <w:p w:rsidR="009B2A14" w:rsidRPr="00DE5B46" w:rsidRDefault="009B2A14" w:rsidP="009B2A14">
            <w:pPr>
              <w:spacing w:after="0"/>
              <w:jc w:val="center"/>
              <w:rPr>
                <w:sz w:val="18"/>
                <w:szCs w:val="18"/>
              </w:rPr>
            </w:pPr>
            <w:r>
              <w:rPr>
                <w:sz w:val="18"/>
                <w:szCs w:val="18"/>
              </w:rPr>
              <w:t>Up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188</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1304-5p</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Up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192</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lastRenderedPageBreak/>
              <w:t>5002-5p</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Up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192</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188-3p</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Down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192</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211-5p</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Down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192</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Hiv1-miR-TAR-3p</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Down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192</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4432</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Down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192</w:t>
            </w:r>
          </w:p>
        </w:tc>
      </w:tr>
      <w:tr w:rsidR="009B2A14" w:rsidRPr="00DE5B46" w:rsidTr="0056680A">
        <w:trPr>
          <w:jc w:val="center"/>
        </w:trPr>
        <w:tc>
          <w:tcPr>
            <w:tcW w:w="0" w:type="auto"/>
          </w:tcPr>
          <w:p w:rsidR="009B2A14" w:rsidRPr="00DE5B46" w:rsidRDefault="009B2A14" w:rsidP="009B2A14">
            <w:pPr>
              <w:spacing w:after="0"/>
              <w:jc w:val="center"/>
              <w:rPr>
                <w:sz w:val="18"/>
                <w:szCs w:val="18"/>
              </w:rPr>
            </w:pPr>
            <w:r>
              <w:rPr>
                <w:sz w:val="18"/>
                <w:szCs w:val="18"/>
              </w:rPr>
              <w:t>4498</w:t>
            </w:r>
          </w:p>
        </w:tc>
        <w:tc>
          <w:tcPr>
            <w:tcW w:w="2905" w:type="dxa"/>
          </w:tcPr>
          <w:p w:rsidR="009B2A14" w:rsidRPr="00DE5B46" w:rsidRDefault="009B2A14" w:rsidP="009B2A14">
            <w:pPr>
              <w:spacing w:after="0"/>
              <w:jc w:val="center"/>
              <w:rPr>
                <w:sz w:val="18"/>
                <w:szCs w:val="18"/>
              </w:rPr>
            </w:pPr>
            <w:r>
              <w:rPr>
                <w:sz w:val="18"/>
                <w:szCs w:val="18"/>
              </w:rPr>
              <w:t>MPB (plasma)</w:t>
            </w:r>
          </w:p>
        </w:tc>
        <w:tc>
          <w:tcPr>
            <w:tcW w:w="2976" w:type="dxa"/>
          </w:tcPr>
          <w:p w:rsidR="009B2A14" w:rsidRPr="00DE5B46" w:rsidRDefault="009B2A14" w:rsidP="009B2A14">
            <w:pPr>
              <w:spacing w:after="0"/>
              <w:jc w:val="center"/>
              <w:rPr>
                <w:sz w:val="18"/>
                <w:szCs w:val="18"/>
              </w:rPr>
            </w:pPr>
            <w:r>
              <w:rPr>
                <w:sz w:val="18"/>
                <w:szCs w:val="18"/>
              </w:rPr>
              <w:t>Down in PE</w:t>
            </w:r>
          </w:p>
        </w:tc>
        <w:tc>
          <w:tcPr>
            <w:tcW w:w="709" w:type="dxa"/>
          </w:tcPr>
          <w:p w:rsidR="009B2A14" w:rsidRPr="00DE5B46" w:rsidRDefault="009B2A14" w:rsidP="009B2A14">
            <w:pPr>
              <w:spacing w:after="0"/>
              <w:jc w:val="center"/>
              <w:rPr>
                <w:sz w:val="18"/>
                <w:szCs w:val="18"/>
              </w:rPr>
            </w:pPr>
            <w:r>
              <w:rPr>
                <w:sz w:val="18"/>
                <w:szCs w:val="18"/>
              </w:rPr>
              <w:t>Yes</w:t>
            </w:r>
          </w:p>
        </w:tc>
        <w:tc>
          <w:tcPr>
            <w:tcW w:w="1805" w:type="dxa"/>
          </w:tcPr>
          <w:p w:rsidR="009B2A14" w:rsidRPr="00DE5B46" w:rsidRDefault="009B2A14" w:rsidP="009B2A14">
            <w:pPr>
              <w:spacing w:after="0"/>
              <w:jc w:val="center"/>
              <w:rPr>
                <w:sz w:val="18"/>
                <w:szCs w:val="18"/>
              </w:rPr>
            </w:pPr>
            <w:r>
              <w:rPr>
                <w:sz w:val="18"/>
                <w:szCs w:val="18"/>
              </w:rPr>
              <w:t>192</w:t>
            </w:r>
          </w:p>
        </w:tc>
      </w:tr>
      <w:tr w:rsidR="00941DC4" w:rsidRPr="00DE5B46" w:rsidTr="0056680A">
        <w:trPr>
          <w:jc w:val="center"/>
        </w:trPr>
        <w:tc>
          <w:tcPr>
            <w:tcW w:w="0" w:type="auto"/>
          </w:tcPr>
          <w:p w:rsidR="00941DC4" w:rsidRDefault="00941DC4" w:rsidP="009B2A14">
            <w:pPr>
              <w:spacing w:after="0"/>
              <w:jc w:val="center"/>
              <w:rPr>
                <w:sz w:val="18"/>
                <w:szCs w:val="18"/>
              </w:rPr>
            </w:pPr>
            <w:r>
              <w:rPr>
                <w:sz w:val="18"/>
                <w:szCs w:val="18"/>
              </w:rPr>
              <w:t>30b</w:t>
            </w:r>
          </w:p>
        </w:tc>
        <w:tc>
          <w:tcPr>
            <w:tcW w:w="2905" w:type="dxa"/>
          </w:tcPr>
          <w:p w:rsidR="00941DC4" w:rsidRDefault="00941DC4" w:rsidP="009B2A14">
            <w:pPr>
              <w:spacing w:after="0"/>
              <w:jc w:val="center"/>
              <w:rPr>
                <w:sz w:val="18"/>
                <w:szCs w:val="18"/>
              </w:rPr>
            </w:pPr>
            <w:r>
              <w:rPr>
                <w:sz w:val="18"/>
                <w:szCs w:val="18"/>
              </w:rPr>
              <w:t>Placenta (villi)</w:t>
            </w:r>
          </w:p>
        </w:tc>
        <w:tc>
          <w:tcPr>
            <w:tcW w:w="2976" w:type="dxa"/>
          </w:tcPr>
          <w:p w:rsidR="00941DC4" w:rsidRDefault="00941DC4" w:rsidP="009B2A14">
            <w:pPr>
              <w:spacing w:after="0"/>
              <w:jc w:val="center"/>
              <w:rPr>
                <w:sz w:val="18"/>
                <w:szCs w:val="18"/>
              </w:rPr>
            </w:pPr>
            <w:r>
              <w:rPr>
                <w:sz w:val="18"/>
                <w:szCs w:val="18"/>
              </w:rPr>
              <w:t>Up in PE</w:t>
            </w:r>
          </w:p>
        </w:tc>
        <w:tc>
          <w:tcPr>
            <w:tcW w:w="709" w:type="dxa"/>
          </w:tcPr>
          <w:p w:rsidR="00941DC4" w:rsidRDefault="00941DC4" w:rsidP="009B2A14">
            <w:pPr>
              <w:spacing w:after="0"/>
              <w:jc w:val="center"/>
              <w:rPr>
                <w:sz w:val="18"/>
                <w:szCs w:val="18"/>
              </w:rPr>
            </w:pPr>
            <w:r>
              <w:rPr>
                <w:sz w:val="18"/>
                <w:szCs w:val="18"/>
              </w:rPr>
              <w:t>Yes</w:t>
            </w:r>
          </w:p>
        </w:tc>
        <w:tc>
          <w:tcPr>
            <w:tcW w:w="1805" w:type="dxa"/>
          </w:tcPr>
          <w:p w:rsidR="00941DC4" w:rsidRDefault="00941DC4" w:rsidP="009B2A14">
            <w:pPr>
              <w:spacing w:after="0"/>
              <w:jc w:val="center"/>
              <w:rPr>
                <w:sz w:val="18"/>
                <w:szCs w:val="18"/>
              </w:rPr>
            </w:pPr>
            <w:r>
              <w:rPr>
                <w:sz w:val="18"/>
                <w:szCs w:val="18"/>
              </w:rPr>
              <w:t>Qian 2019</w:t>
            </w:r>
          </w:p>
        </w:tc>
      </w:tr>
      <w:tr w:rsidR="008C638D" w:rsidRPr="00DE5B46" w:rsidTr="0056680A">
        <w:trPr>
          <w:jc w:val="center"/>
        </w:trPr>
        <w:tc>
          <w:tcPr>
            <w:tcW w:w="0" w:type="auto"/>
          </w:tcPr>
          <w:p w:rsidR="008C638D" w:rsidRDefault="008C638D" w:rsidP="009B2A14">
            <w:pPr>
              <w:spacing w:after="0"/>
              <w:jc w:val="center"/>
              <w:rPr>
                <w:sz w:val="18"/>
                <w:szCs w:val="18"/>
              </w:rPr>
            </w:pPr>
            <w:r>
              <w:rPr>
                <w:sz w:val="18"/>
                <w:szCs w:val="18"/>
              </w:rPr>
              <w:t>128</w:t>
            </w:r>
          </w:p>
        </w:tc>
        <w:tc>
          <w:tcPr>
            <w:tcW w:w="2905" w:type="dxa"/>
          </w:tcPr>
          <w:p w:rsidR="008C638D" w:rsidRDefault="008C638D" w:rsidP="009B2A14">
            <w:pPr>
              <w:spacing w:after="0"/>
              <w:jc w:val="center"/>
              <w:rPr>
                <w:sz w:val="18"/>
                <w:szCs w:val="18"/>
              </w:rPr>
            </w:pPr>
            <w:r>
              <w:rPr>
                <w:sz w:val="18"/>
                <w:szCs w:val="18"/>
              </w:rPr>
              <w:t>MPB (plasma)</w:t>
            </w:r>
          </w:p>
        </w:tc>
        <w:tc>
          <w:tcPr>
            <w:tcW w:w="2976" w:type="dxa"/>
          </w:tcPr>
          <w:p w:rsidR="008C638D" w:rsidRDefault="008C638D" w:rsidP="009B2A14">
            <w:pPr>
              <w:spacing w:after="0"/>
              <w:jc w:val="center"/>
              <w:rPr>
                <w:sz w:val="18"/>
                <w:szCs w:val="18"/>
              </w:rPr>
            </w:pPr>
            <w:r>
              <w:rPr>
                <w:sz w:val="18"/>
                <w:szCs w:val="18"/>
              </w:rPr>
              <w:t>No difference</w:t>
            </w:r>
          </w:p>
        </w:tc>
        <w:tc>
          <w:tcPr>
            <w:tcW w:w="709" w:type="dxa"/>
          </w:tcPr>
          <w:p w:rsidR="008C638D" w:rsidRDefault="008C638D" w:rsidP="009B2A14">
            <w:pPr>
              <w:spacing w:after="0"/>
              <w:jc w:val="center"/>
              <w:rPr>
                <w:sz w:val="18"/>
                <w:szCs w:val="18"/>
              </w:rPr>
            </w:pPr>
            <w:r>
              <w:rPr>
                <w:sz w:val="18"/>
                <w:szCs w:val="18"/>
              </w:rPr>
              <w:t>No</w:t>
            </w:r>
          </w:p>
        </w:tc>
        <w:tc>
          <w:tcPr>
            <w:tcW w:w="1805" w:type="dxa"/>
          </w:tcPr>
          <w:p w:rsidR="008C638D" w:rsidRDefault="008C638D" w:rsidP="009B2A14">
            <w:pPr>
              <w:spacing w:after="0"/>
              <w:jc w:val="center"/>
              <w:rPr>
                <w:sz w:val="18"/>
                <w:szCs w:val="18"/>
              </w:rPr>
            </w:pPr>
            <w:r>
              <w:rPr>
                <w:sz w:val="18"/>
                <w:szCs w:val="18"/>
              </w:rPr>
              <w:t>Akgor 2020</w:t>
            </w:r>
          </w:p>
        </w:tc>
      </w:tr>
      <w:tr w:rsidR="008C638D" w:rsidRPr="00DE5B46" w:rsidTr="0056680A">
        <w:trPr>
          <w:jc w:val="center"/>
        </w:trPr>
        <w:tc>
          <w:tcPr>
            <w:tcW w:w="0" w:type="auto"/>
          </w:tcPr>
          <w:p w:rsidR="008C638D" w:rsidRDefault="008C638D" w:rsidP="009B2A14">
            <w:pPr>
              <w:spacing w:after="0"/>
              <w:jc w:val="center"/>
              <w:rPr>
                <w:sz w:val="18"/>
                <w:szCs w:val="18"/>
              </w:rPr>
            </w:pPr>
            <w:r>
              <w:rPr>
                <w:sz w:val="18"/>
                <w:szCs w:val="18"/>
              </w:rPr>
              <w:t>302b-3p</w:t>
            </w:r>
          </w:p>
        </w:tc>
        <w:tc>
          <w:tcPr>
            <w:tcW w:w="2905" w:type="dxa"/>
          </w:tcPr>
          <w:p w:rsidR="008C638D" w:rsidRDefault="008C638D" w:rsidP="009B2A14">
            <w:pPr>
              <w:spacing w:after="0"/>
              <w:jc w:val="center"/>
              <w:rPr>
                <w:sz w:val="18"/>
                <w:szCs w:val="18"/>
              </w:rPr>
            </w:pPr>
            <w:r>
              <w:rPr>
                <w:sz w:val="18"/>
                <w:szCs w:val="18"/>
              </w:rPr>
              <w:t>MPB (plasma)</w:t>
            </w:r>
          </w:p>
        </w:tc>
        <w:tc>
          <w:tcPr>
            <w:tcW w:w="2976" w:type="dxa"/>
          </w:tcPr>
          <w:p w:rsidR="008C638D" w:rsidRDefault="008C638D" w:rsidP="009B2A14">
            <w:pPr>
              <w:spacing w:after="0"/>
              <w:jc w:val="center"/>
              <w:rPr>
                <w:sz w:val="18"/>
                <w:szCs w:val="18"/>
              </w:rPr>
            </w:pPr>
            <w:r>
              <w:rPr>
                <w:sz w:val="18"/>
                <w:szCs w:val="18"/>
              </w:rPr>
              <w:t>Up in PE</w:t>
            </w:r>
          </w:p>
        </w:tc>
        <w:tc>
          <w:tcPr>
            <w:tcW w:w="709" w:type="dxa"/>
          </w:tcPr>
          <w:p w:rsidR="008C638D" w:rsidRDefault="008C638D" w:rsidP="009B2A14">
            <w:pPr>
              <w:spacing w:after="0"/>
              <w:jc w:val="center"/>
              <w:rPr>
                <w:sz w:val="18"/>
                <w:szCs w:val="18"/>
              </w:rPr>
            </w:pPr>
            <w:r>
              <w:rPr>
                <w:sz w:val="18"/>
                <w:szCs w:val="18"/>
              </w:rPr>
              <w:t>Yes</w:t>
            </w:r>
          </w:p>
        </w:tc>
        <w:tc>
          <w:tcPr>
            <w:tcW w:w="1805" w:type="dxa"/>
          </w:tcPr>
          <w:p w:rsidR="008C638D" w:rsidRDefault="008C638D" w:rsidP="009B2A14">
            <w:pPr>
              <w:spacing w:after="0"/>
              <w:jc w:val="center"/>
              <w:rPr>
                <w:sz w:val="18"/>
                <w:szCs w:val="18"/>
              </w:rPr>
            </w:pPr>
            <w:r>
              <w:rPr>
                <w:sz w:val="18"/>
                <w:szCs w:val="18"/>
              </w:rPr>
              <w:t>Akgor 2020</w:t>
            </w:r>
          </w:p>
        </w:tc>
      </w:tr>
      <w:tr w:rsidR="00955159" w:rsidRPr="00DE5B46" w:rsidTr="0056680A">
        <w:trPr>
          <w:jc w:val="center"/>
        </w:trPr>
        <w:tc>
          <w:tcPr>
            <w:tcW w:w="0" w:type="auto"/>
          </w:tcPr>
          <w:p w:rsidR="00955159" w:rsidRDefault="00955159" w:rsidP="009B2A14">
            <w:pPr>
              <w:spacing w:after="0"/>
              <w:jc w:val="center"/>
              <w:rPr>
                <w:sz w:val="18"/>
                <w:szCs w:val="18"/>
              </w:rPr>
            </w:pPr>
            <w:r>
              <w:rPr>
                <w:sz w:val="18"/>
                <w:szCs w:val="18"/>
              </w:rPr>
              <w:t>191-5p</w:t>
            </w:r>
          </w:p>
        </w:tc>
        <w:tc>
          <w:tcPr>
            <w:tcW w:w="2905" w:type="dxa"/>
          </w:tcPr>
          <w:p w:rsidR="00955159" w:rsidRDefault="00955159" w:rsidP="009B2A14">
            <w:pPr>
              <w:spacing w:after="0"/>
              <w:jc w:val="center"/>
              <w:rPr>
                <w:sz w:val="18"/>
                <w:szCs w:val="18"/>
              </w:rPr>
            </w:pPr>
            <w:r>
              <w:rPr>
                <w:sz w:val="18"/>
                <w:szCs w:val="18"/>
              </w:rPr>
              <w:t>MPB (plasma)</w:t>
            </w:r>
          </w:p>
        </w:tc>
        <w:tc>
          <w:tcPr>
            <w:tcW w:w="2976" w:type="dxa"/>
          </w:tcPr>
          <w:p w:rsidR="00955159" w:rsidRDefault="00955159" w:rsidP="009B2A14">
            <w:pPr>
              <w:spacing w:after="0"/>
              <w:jc w:val="center"/>
              <w:rPr>
                <w:sz w:val="18"/>
                <w:szCs w:val="18"/>
              </w:rPr>
            </w:pPr>
            <w:r>
              <w:rPr>
                <w:sz w:val="18"/>
                <w:szCs w:val="18"/>
              </w:rPr>
              <w:t>Up in PE</w:t>
            </w:r>
          </w:p>
        </w:tc>
        <w:tc>
          <w:tcPr>
            <w:tcW w:w="709" w:type="dxa"/>
          </w:tcPr>
          <w:p w:rsidR="00955159" w:rsidRDefault="00955159" w:rsidP="009B2A14">
            <w:pPr>
              <w:spacing w:after="0"/>
              <w:jc w:val="center"/>
              <w:rPr>
                <w:sz w:val="18"/>
                <w:szCs w:val="18"/>
              </w:rPr>
            </w:pPr>
            <w:r>
              <w:rPr>
                <w:sz w:val="18"/>
                <w:szCs w:val="18"/>
              </w:rPr>
              <w:t>Yes</w:t>
            </w:r>
          </w:p>
        </w:tc>
        <w:tc>
          <w:tcPr>
            <w:tcW w:w="1805" w:type="dxa"/>
          </w:tcPr>
          <w:p w:rsidR="00955159" w:rsidRDefault="00955159" w:rsidP="009B2A14">
            <w:pPr>
              <w:spacing w:after="0"/>
              <w:jc w:val="center"/>
              <w:rPr>
                <w:sz w:val="18"/>
                <w:szCs w:val="18"/>
              </w:rPr>
            </w:pPr>
            <w:r>
              <w:rPr>
                <w:sz w:val="18"/>
                <w:szCs w:val="18"/>
              </w:rPr>
              <w:t>Akgor 2020</w:t>
            </w:r>
          </w:p>
        </w:tc>
      </w:tr>
      <w:tr w:rsidR="00D87061" w:rsidRPr="00DE5B46" w:rsidTr="0056680A">
        <w:trPr>
          <w:jc w:val="center"/>
        </w:trPr>
        <w:tc>
          <w:tcPr>
            <w:tcW w:w="0" w:type="auto"/>
          </w:tcPr>
          <w:p w:rsidR="00D87061" w:rsidRDefault="00D87061" w:rsidP="009B2A14">
            <w:pPr>
              <w:spacing w:after="0"/>
              <w:jc w:val="center"/>
              <w:rPr>
                <w:sz w:val="18"/>
                <w:szCs w:val="18"/>
              </w:rPr>
            </w:pPr>
            <w:r>
              <w:rPr>
                <w:sz w:val="18"/>
                <w:szCs w:val="18"/>
              </w:rPr>
              <w:t>191-3p</w:t>
            </w:r>
          </w:p>
        </w:tc>
        <w:tc>
          <w:tcPr>
            <w:tcW w:w="2905" w:type="dxa"/>
          </w:tcPr>
          <w:p w:rsidR="00D87061" w:rsidRDefault="00D87061" w:rsidP="009B2A14">
            <w:pPr>
              <w:spacing w:after="0"/>
              <w:jc w:val="center"/>
              <w:rPr>
                <w:sz w:val="18"/>
                <w:szCs w:val="18"/>
              </w:rPr>
            </w:pPr>
            <w:r>
              <w:rPr>
                <w:sz w:val="18"/>
                <w:szCs w:val="18"/>
              </w:rPr>
              <w:t>Placenta (hDMSC)</w:t>
            </w:r>
          </w:p>
        </w:tc>
        <w:tc>
          <w:tcPr>
            <w:tcW w:w="2976" w:type="dxa"/>
          </w:tcPr>
          <w:p w:rsidR="00D87061" w:rsidRDefault="00D87061" w:rsidP="009B2A14">
            <w:pPr>
              <w:spacing w:after="0"/>
              <w:jc w:val="center"/>
              <w:rPr>
                <w:sz w:val="18"/>
                <w:szCs w:val="18"/>
              </w:rPr>
            </w:pPr>
            <w:r>
              <w:rPr>
                <w:sz w:val="18"/>
                <w:szCs w:val="18"/>
              </w:rPr>
              <w:t>Up in PE</w:t>
            </w:r>
          </w:p>
        </w:tc>
        <w:tc>
          <w:tcPr>
            <w:tcW w:w="709" w:type="dxa"/>
          </w:tcPr>
          <w:p w:rsidR="00D87061" w:rsidRDefault="00D87061" w:rsidP="009B2A14">
            <w:pPr>
              <w:spacing w:after="0"/>
              <w:jc w:val="center"/>
              <w:rPr>
                <w:sz w:val="18"/>
                <w:szCs w:val="18"/>
              </w:rPr>
            </w:pPr>
            <w:r>
              <w:rPr>
                <w:sz w:val="18"/>
                <w:szCs w:val="18"/>
              </w:rPr>
              <w:t>No</w:t>
            </w:r>
          </w:p>
        </w:tc>
        <w:tc>
          <w:tcPr>
            <w:tcW w:w="1805" w:type="dxa"/>
          </w:tcPr>
          <w:p w:rsidR="00D87061" w:rsidRDefault="00D87061" w:rsidP="009B2A14">
            <w:pPr>
              <w:spacing w:after="0"/>
              <w:jc w:val="center"/>
              <w:rPr>
                <w:sz w:val="18"/>
                <w:szCs w:val="18"/>
              </w:rPr>
            </w:pPr>
            <w:r>
              <w:rPr>
                <w:sz w:val="18"/>
                <w:szCs w:val="18"/>
              </w:rPr>
              <w:t>Kamali-Simsek 2021</w:t>
            </w:r>
          </w:p>
        </w:tc>
      </w:tr>
      <w:tr w:rsidR="00EC030F" w:rsidRPr="00DE5B46" w:rsidTr="0056680A">
        <w:trPr>
          <w:jc w:val="center"/>
        </w:trPr>
        <w:tc>
          <w:tcPr>
            <w:tcW w:w="0" w:type="auto"/>
          </w:tcPr>
          <w:p w:rsidR="00EC030F" w:rsidRDefault="00EC030F" w:rsidP="009B2A14">
            <w:pPr>
              <w:spacing w:after="0"/>
              <w:jc w:val="center"/>
              <w:rPr>
                <w:sz w:val="18"/>
                <w:szCs w:val="18"/>
              </w:rPr>
            </w:pPr>
            <w:r>
              <w:rPr>
                <w:sz w:val="18"/>
                <w:szCs w:val="18"/>
              </w:rPr>
              <w:t>375</w:t>
            </w:r>
          </w:p>
        </w:tc>
        <w:tc>
          <w:tcPr>
            <w:tcW w:w="2905" w:type="dxa"/>
          </w:tcPr>
          <w:p w:rsidR="00EC030F" w:rsidRDefault="00EC030F" w:rsidP="009B2A14">
            <w:pPr>
              <w:spacing w:after="0"/>
              <w:jc w:val="center"/>
              <w:rPr>
                <w:sz w:val="18"/>
                <w:szCs w:val="18"/>
              </w:rPr>
            </w:pPr>
            <w:r>
              <w:rPr>
                <w:sz w:val="18"/>
                <w:szCs w:val="18"/>
              </w:rPr>
              <w:t>MPB (plasma)</w:t>
            </w:r>
          </w:p>
        </w:tc>
        <w:tc>
          <w:tcPr>
            <w:tcW w:w="2976" w:type="dxa"/>
          </w:tcPr>
          <w:p w:rsidR="00EC030F" w:rsidRDefault="00EC030F" w:rsidP="009B2A14">
            <w:pPr>
              <w:spacing w:after="0"/>
              <w:jc w:val="center"/>
              <w:rPr>
                <w:sz w:val="18"/>
                <w:szCs w:val="18"/>
              </w:rPr>
            </w:pPr>
            <w:r>
              <w:rPr>
                <w:sz w:val="18"/>
                <w:szCs w:val="18"/>
              </w:rPr>
              <w:t>Down in PE</w:t>
            </w:r>
          </w:p>
        </w:tc>
        <w:tc>
          <w:tcPr>
            <w:tcW w:w="709" w:type="dxa"/>
          </w:tcPr>
          <w:p w:rsidR="00EC030F" w:rsidRDefault="00EC030F" w:rsidP="009B2A14">
            <w:pPr>
              <w:spacing w:after="0"/>
              <w:jc w:val="center"/>
              <w:rPr>
                <w:sz w:val="18"/>
                <w:szCs w:val="18"/>
              </w:rPr>
            </w:pPr>
            <w:r>
              <w:rPr>
                <w:sz w:val="18"/>
                <w:szCs w:val="18"/>
              </w:rPr>
              <w:t>Yes</w:t>
            </w:r>
          </w:p>
        </w:tc>
        <w:tc>
          <w:tcPr>
            <w:tcW w:w="1805" w:type="dxa"/>
          </w:tcPr>
          <w:p w:rsidR="00EC030F" w:rsidRDefault="00EC030F" w:rsidP="009B2A14">
            <w:pPr>
              <w:spacing w:after="0"/>
              <w:jc w:val="center"/>
              <w:rPr>
                <w:sz w:val="18"/>
                <w:szCs w:val="18"/>
              </w:rPr>
            </w:pPr>
            <w:r>
              <w:rPr>
                <w:sz w:val="18"/>
                <w:szCs w:val="18"/>
              </w:rPr>
              <w:t>Akgor 2020</w:t>
            </w:r>
          </w:p>
        </w:tc>
      </w:tr>
      <w:tr w:rsidR="001E4225" w:rsidRPr="00DE5B46" w:rsidTr="0056680A">
        <w:trPr>
          <w:jc w:val="center"/>
        </w:trPr>
        <w:tc>
          <w:tcPr>
            <w:tcW w:w="0" w:type="auto"/>
          </w:tcPr>
          <w:p w:rsidR="001E4225" w:rsidRDefault="001E4225" w:rsidP="009B2A14">
            <w:pPr>
              <w:spacing w:after="0"/>
              <w:jc w:val="center"/>
              <w:rPr>
                <w:sz w:val="18"/>
                <w:szCs w:val="18"/>
              </w:rPr>
            </w:pPr>
            <w:r>
              <w:rPr>
                <w:sz w:val="18"/>
                <w:szCs w:val="18"/>
              </w:rPr>
              <w:t>139-5p</w:t>
            </w:r>
          </w:p>
        </w:tc>
        <w:tc>
          <w:tcPr>
            <w:tcW w:w="2905" w:type="dxa"/>
          </w:tcPr>
          <w:p w:rsidR="001E4225" w:rsidRDefault="001E4225" w:rsidP="009B2A14">
            <w:pPr>
              <w:spacing w:after="0"/>
              <w:jc w:val="center"/>
              <w:rPr>
                <w:sz w:val="18"/>
                <w:szCs w:val="18"/>
              </w:rPr>
            </w:pPr>
            <w:r>
              <w:rPr>
                <w:sz w:val="18"/>
                <w:szCs w:val="18"/>
              </w:rPr>
              <w:t>MPB (plasma)</w:t>
            </w:r>
          </w:p>
        </w:tc>
        <w:tc>
          <w:tcPr>
            <w:tcW w:w="2976" w:type="dxa"/>
          </w:tcPr>
          <w:p w:rsidR="001E4225" w:rsidRDefault="001E4225" w:rsidP="009B2A14">
            <w:pPr>
              <w:spacing w:after="0"/>
              <w:jc w:val="center"/>
              <w:rPr>
                <w:sz w:val="18"/>
                <w:szCs w:val="18"/>
              </w:rPr>
            </w:pPr>
            <w:r>
              <w:rPr>
                <w:sz w:val="18"/>
                <w:szCs w:val="18"/>
              </w:rPr>
              <w:t>No difference</w:t>
            </w:r>
          </w:p>
        </w:tc>
        <w:tc>
          <w:tcPr>
            <w:tcW w:w="709" w:type="dxa"/>
          </w:tcPr>
          <w:p w:rsidR="001E4225" w:rsidRDefault="001E4225" w:rsidP="009B2A14">
            <w:pPr>
              <w:spacing w:after="0"/>
              <w:jc w:val="center"/>
              <w:rPr>
                <w:sz w:val="18"/>
                <w:szCs w:val="18"/>
              </w:rPr>
            </w:pPr>
            <w:r>
              <w:rPr>
                <w:sz w:val="18"/>
                <w:szCs w:val="18"/>
              </w:rPr>
              <w:t>No</w:t>
            </w:r>
          </w:p>
        </w:tc>
        <w:tc>
          <w:tcPr>
            <w:tcW w:w="1805" w:type="dxa"/>
          </w:tcPr>
          <w:p w:rsidR="001E4225" w:rsidRDefault="001E4225" w:rsidP="009B2A14">
            <w:pPr>
              <w:spacing w:after="0"/>
              <w:jc w:val="center"/>
              <w:rPr>
                <w:sz w:val="18"/>
                <w:szCs w:val="18"/>
              </w:rPr>
            </w:pPr>
            <w:r>
              <w:rPr>
                <w:sz w:val="18"/>
                <w:szCs w:val="18"/>
              </w:rPr>
              <w:t>Akgor 2020</w:t>
            </w:r>
          </w:p>
        </w:tc>
      </w:tr>
      <w:tr w:rsidR="00447070" w:rsidRPr="00DE5B46" w:rsidTr="0056680A">
        <w:trPr>
          <w:jc w:val="center"/>
        </w:trPr>
        <w:tc>
          <w:tcPr>
            <w:tcW w:w="0" w:type="auto"/>
          </w:tcPr>
          <w:p w:rsidR="00447070" w:rsidRDefault="00447070" w:rsidP="009B2A14">
            <w:pPr>
              <w:spacing w:after="0"/>
              <w:jc w:val="center"/>
              <w:rPr>
                <w:sz w:val="18"/>
                <w:szCs w:val="18"/>
              </w:rPr>
            </w:pPr>
            <w:r>
              <w:rPr>
                <w:sz w:val="18"/>
                <w:szCs w:val="18"/>
              </w:rPr>
              <w:t>214-3p</w:t>
            </w:r>
          </w:p>
        </w:tc>
        <w:tc>
          <w:tcPr>
            <w:tcW w:w="2905" w:type="dxa"/>
          </w:tcPr>
          <w:p w:rsidR="00447070" w:rsidRDefault="00447070" w:rsidP="009B2A14">
            <w:pPr>
              <w:spacing w:after="0"/>
              <w:jc w:val="center"/>
              <w:rPr>
                <w:sz w:val="18"/>
                <w:szCs w:val="18"/>
              </w:rPr>
            </w:pPr>
            <w:r>
              <w:rPr>
                <w:sz w:val="18"/>
                <w:szCs w:val="18"/>
              </w:rPr>
              <w:t>MPB (plasma)</w:t>
            </w:r>
          </w:p>
          <w:p w:rsidR="00DC31B5" w:rsidRDefault="00DC31B5" w:rsidP="009B2A14">
            <w:pPr>
              <w:spacing w:after="0"/>
              <w:jc w:val="center"/>
              <w:rPr>
                <w:sz w:val="18"/>
                <w:szCs w:val="18"/>
              </w:rPr>
            </w:pPr>
            <w:r>
              <w:rPr>
                <w:sz w:val="18"/>
                <w:szCs w:val="18"/>
              </w:rPr>
              <w:t>MPB (serum)</w:t>
            </w:r>
          </w:p>
        </w:tc>
        <w:tc>
          <w:tcPr>
            <w:tcW w:w="2976" w:type="dxa"/>
          </w:tcPr>
          <w:p w:rsidR="00447070" w:rsidRDefault="00447070" w:rsidP="009B2A14">
            <w:pPr>
              <w:spacing w:after="0"/>
              <w:jc w:val="center"/>
              <w:rPr>
                <w:sz w:val="18"/>
                <w:szCs w:val="18"/>
              </w:rPr>
            </w:pPr>
            <w:r>
              <w:rPr>
                <w:sz w:val="18"/>
                <w:szCs w:val="18"/>
              </w:rPr>
              <w:t>No difference</w:t>
            </w:r>
          </w:p>
          <w:p w:rsidR="00DC31B5" w:rsidRDefault="00DC31B5" w:rsidP="009B2A14">
            <w:pPr>
              <w:spacing w:after="0"/>
              <w:jc w:val="center"/>
              <w:rPr>
                <w:sz w:val="18"/>
                <w:szCs w:val="18"/>
              </w:rPr>
            </w:pPr>
            <w:r>
              <w:rPr>
                <w:sz w:val="18"/>
                <w:szCs w:val="18"/>
              </w:rPr>
              <w:t>Up in PE</w:t>
            </w:r>
          </w:p>
        </w:tc>
        <w:tc>
          <w:tcPr>
            <w:tcW w:w="709" w:type="dxa"/>
          </w:tcPr>
          <w:p w:rsidR="00447070" w:rsidRDefault="00447070" w:rsidP="009B2A14">
            <w:pPr>
              <w:spacing w:after="0"/>
              <w:jc w:val="center"/>
              <w:rPr>
                <w:sz w:val="18"/>
                <w:szCs w:val="18"/>
              </w:rPr>
            </w:pPr>
            <w:r>
              <w:rPr>
                <w:sz w:val="18"/>
                <w:szCs w:val="18"/>
              </w:rPr>
              <w:t>No</w:t>
            </w:r>
          </w:p>
          <w:p w:rsidR="00DC31B5" w:rsidRDefault="00DC31B5" w:rsidP="009B2A14">
            <w:pPr>
              <w:spacing w:after="0"/>
              <w:jc w:val="center"/>
              <w:rPr>
                <w:sz w:val="18"/>
                <w:szCs w:val="18"/>
              </w:rPr>
            </w:pPr>
            <w:r>
              <w:rPr>
                <w:sz w:val="18"/>
                <w:szCs w:val="18"/>
              </w:rPr>
              <w:t>Yes</w:t>
            </w:r>
          </w:p>
        </w:tc>
        <w:tc>
          <w:tcPr>
            <w:tcW w:w="1805" w:type="dxa"/>
          </w:tcPr>
          <w:p w:rsidR="00447070" w:rsidRDefault="00447070" w:rsidP="009B2A14">
            <w:pPr>
              <w:spacing w:after="0"/>
              <w:jc w:val="center"/>
              <w:rPr>
                <w:sz w:val="18"/>
                <w:szCs w:val="18"/>
              </w:rPr>
            </w:pPr>
            <w:r>
              <w:rPr>
                <w:sz w:val="18"/>
                <w:szCs w:val="18"/>
              </w:rPr>
              <w:t>Akgor 2020</w:t>
            </w:r>
          </w:p>
          <w:p w:rsidR="00DC31B5" w:rsidRDefault="00DC31B5" w:rsidP="009B2A14">
            <w:pPr>
              <w:spacing w:after="0"/>
              <w:jc w:val="center"/>
              <w:rPr>
                <w:sz w:val="18"/>
                <w:szCs w:val="18"/>
              </w:rPr>
            </w:pPr>
            <w:r>
              <w:rPr>
                <w:sz w:val="18"/>
                <w:szCs w:val="18"/>
              </w:rPr>
              <w:t>Kim 2020</w:t>
            </w:r>
          </w:p>
        </w:tc>
      </w:tr>
      <w:tr w:rsidR="00D9478F" w:rsidRPr="00DE5B46" w:rsidTr="0056680A">
        <w:trPr>
          <w:jc w:val="center"/>
        </w:trPr>
        <w:tc>
          <w:tcPr>
            <w:tcW w:w="0" w:type="auto"/>
          </w:tcPr>
          <w:p w:rsidR="00D9478F" w:rsidRDefault="00D9478F" w:rsidP="009B2A14">
            <w:pPr>
              <w:spacing w:after="0"/>
              <w:jc w:val="center"/>
              <w:rPr>
                <w:sz w:val="18"/>
                <w:szCs w:val="18"/>
              </w:rPr>
            </w:pPr>
            <w:r>
              <w:rPr>
                <w:sz w:val="18"/>
                <w:szCs w:val="18"/>
              </w:rPr>
              <w:t>214-5p</w:t>
            </w:r>
          </w:p>
        </w:tc>
        <w:tc>
          <w:tcPr>
            <w:tcW w:w="2905" w:type="dxa"/>
          </w:tcPr>
          <w:p w:rsidR="00D9478F" w:rsidRDefault="00D9478F" w:rsidP="009B2A14">
            <w:pPr>
              <w:spacing w:after="0"/>
              <w:jc w:val="center"/>
              <w:rPr>
                <w:sz w:val="18"/>
                <w:szCs w:val="18"/>
              </w:rPr>
            </w:pPr>
            <w:r>
              <w:rPr>
                <w:sz w:val="18"/>
                <w:szCs w:val="18"/>
              </w:rPr>
              <w:t>Placenta</w:t>
            </w:r>
          </w:p>
          <w:p w:rsidR="000235A7" w:rsidRDefault="000235A7" w:rsidP="009B2A14">
            <w:pPr>
              <w:spacing w:after="0"/>
              <w:jc w:val="center"/>
              <w:rPr>
                <w:sz w:val="18"/>
                <w:szCs w:val="18"/>
              </w:rPr>
            </w:pPr>
            <w:r>
              <w:rPr>
                <w:sz w:val="18"/>
                <w:szCs w:val="18"/>
              </w:rPr>
              <w:t>MPB (ECFC)</w:t>
            </w:r>
          </w:p>
        </w:tc>
        <w:tc>
          <w:tcPr>
            <w:tcW w:w="2976" w:type="dxa"/>
          </w:tcPr>
          <w:p w:rsidR="00D9478F" w:rsidRDefault="00D9478F" w:rsidP="009B2A14">
            <w:pPr>
              <w:spacing w:after="0"/>
              <w:jc w:val="center"/>
              <w:rPr>
                <w:sz w:val="18"/>
                <w:szCs w:val="18"/>
              </w:rPr>
            </w:pPr>
            <w:r>
              <w:rPr>
                <w:sz w:val="18"/>
                <w:szCs w:val="18"/>
              </w:rPr>
              <w:t>Up in PE</w:t>
            </w:r>
          </w:p>
          <w:p w:rsidR="000235A7" w:rsidRDefault="000235A7" w:rsidP="009B2A14">
            <w:pPr>
              <w:spacing w:after="0"/>
              <w:jc w:val="center"/>
              <w:rPr>
                <w:sz w:val="18"/>
                <w:szCs w:val="18"/>
              </w:rPr>
            </w:pPr>
            <w:r>
              <w:rPr>
                <w:sz w:val="18"/>
                <w:szCs w:val="18"/>
              </w:rPr>
              <w:t>Down in PE</w:t>
            </w:r>
          </w:p>
        </w:tc>
        <w:tc>
          <w:tcPr>
            <w:tcW w:w="709" w:type="dxa"/>
          </w:tcPr>
          <w:p w:rsidR="00D9478F" w:rsidRDefault="00D9478F" w:rsidP="009B2A14">
            <w:pPr>
              <w:spacing w:after="0"/>
              <w:jc w:val="center"/>
              <w:rPr>
                <w:sz w:val="18"/>
                <w:szCs w:val="18"/>
              </w:rPr>
            </w:pPr>
            <w:r>
              <w:rPr>
                <w:sz w:val="18"/>
                <w:szCs w:val="18"/>
              </w:rPr>
              <w:t>Yes</w:t>
            </w:r>
          </w:p>
          <w:p w:rsidR="000235A7" w:rsidRDefault="000235A7" w:rsidP="009B2A14">
            <w:pPr>
              <w:spacing w:after="0"/>
              <w:jc w:val="center"/>
              <w:rPr>
                <w:sz w:val="18"/>
                <w:szCs w:val="18"/>
              </w:rPr>
            </w:pPr>
            <w:r>
              <w:rPr>
                <w:sz w:val="18"/>
                <w:szCs w:val="18"/>
              </w:rPr>
              <w:t>Yes</w:t>
            </w:r>
          </w:p>
        </w:tc>
        <w:tc>
          <w:tcPr>
            <w:tcW w:w="1805" w:type="dxa"/>
          </w:tcPr>
          <w:p w:rsidR="00D9478F" w:rsidRDefault="00D9478F" w:rsidP="009B2A14">
            <w:pPr>
              <w:spacing w:after="0"/>
              <w:jc w:val="center"/>
              <w:rPr>
                <w:sz w:val="18"/>
                <w:szCs w:val="18"/>
              </w:rPr>
            </w:pPr>
            <w:r>
              <w:rPr>
                <w:sz w:val="18"/>
                <w:szCs w:val="18"/>
              </w:rPr>
              <w:t>Gong 2020</w:t>
            </w:r>
          </w:p>
          <w:p w:rsidR="000235A7" w:rsidRDefault="000235A7" w:rsidP="009B2A14">
            <w:pPr>
              <w:spacing w:after="0"/>
              <w:jc w:val="center"/>
              <w:rPr>
                <w:sz w:val="18"/>
                <w:szCs w:val="18"/>
              </w:rPr>
            </w:pPr>
            <w:r>
              <w:rPr>
                <w:sz w:val="18"/>
                <w:szCs w:val="18"/>
              </w:rPr>
              <w:t>Brodowski 2021</w:t>
            </w:r>
          </w:p>
        </w:tc>
      </w:tr>
      <w:tr w:rsidR="001C70B8" w:rsidRPr="00DE5B46" w:rsidTr="0056680A">
        <w:trPr>
          <w:jc w:val="center"/>
        </w:trPr>
        <w:tc>
          <w:tcPr>
            <w:tcW w:w="0" w:type="auto"/>
          </w:tcPr>
          <w:p w:rsidR="001C70B8" w:rsidRDefault="001C70B8" w:rsidP="009B2A14">
            <w:pPr>
              <w:spacing w:after="0"/>
              <w:jc w:val="center"/>
              <w:rPr>
                <w:sz w:val="18"/>
                <w:szCs w:val="18"/>
              </w:rPr>
            </w:pPr>
            <w:r>
              <w:rPr>
                <w:sz w:val="18"/>
                <w:szCs w:val="18"/>
              </w:rPr>
              <w:t>646</w:t>
            </w:r>
          </w:p>
        </w:tc>
        <w:tc>
          <w:tcPr>
            <w:tcW w:w="2905" w:type="dxa"/>
          </w:tcPr>
          <w:p w:rsidR="001C70B8" w:rsidRDefault="001C70B8" w:rsidP="009B2A14">
            <w:pPr>
              <w:spacing w:after="0"/>
              <w:jc w:val="center"/>
              <w:rPr>
                <w:sz w:val="18"/>
                <w:szCs w:val="18"/>
              </w:rPr>
            </w:pPr>
            <w:r>
              <w:rPr>
                <w:sz w:val="18"/>
                <w:szCs w:val="18"/>
              </w:rPr>
              <w:t>MPB</w:t>
            </w:r>
          </w:p>
          <w:p w:rsidR="001C70B8" w:rsidRDefault="001C70B8" w:rsidP="009B2A14">
            <w:pPr>
              <w:spacing w:after="0"/>
              <w:jc w:val="center"/>
              <w:rPr>
                <w:sz w:val="18"/>
                <w:szCs w:val="18"/>
              </w:rPr>
            </w:pPr>
            <w:r>
              <w:rPr>
                <w:sz w:val="18"/>
                <w:szCs w:val="18"/>
              </w:rPr>
              <w:t>UC blood</w:t>
            </w:r>
          </w:p>
        </w:tc>
        <w:tc>
          <w:tcPr>
            <w:tcW w:w="2976" w:type="dxa"/>
          </w:tcPr>
          <w:p w:rsidR="001C70B8" w:rsidRDefault="001C70B8" w:rsidP="009B2A14">
            <w:pPr>
              <w:spacing w:after="0"/>
              <w:jc w:val="center"/>
              <w:rPr>
                <w:sz w:val="18"/>
                <w:szCs w:val="18"/>
              </w:rPr>
            </w:pPr>
            <w:r>
              <w:rPr>
                <w:sz w:val="18"/>
                <w:szCs w:val="18"/>
              </w:rPr>
              <w:t>Up in PE</w:t>
            </w:r>
          </w:p>
          <w:p w:rsidR="001C70B8" w:rsidRDefault="001C70B8" w:rsidP="009B2A14">
            <w:pPr>
              <w:spacing w:after="0"/>
              <w:jc w:val="center"/>
              <w:rPr>
                <w:sz w:val="18"/>
                <w:szCs w:val="18"/>
              </w:rPr>
            </w:pPr>
            <w:r>
              <w:rPr>
                <w:sz w:val="18"/>
                <w:szCs w:val="18"/>
              </w:rPr>
              <w:t>Up in PE</w:t>
            </w:r>
          </w:p>
        </w:tc>
        <w:tc>
          <w:tcPr>
            <w:tcW w:w="709" w:type="dxa"/>
          </w:tcPr>
          <w:p w:rsidR="001C70B8" w:rsidRDefault="001C70B8" w:rsidP="009B2A14">
            <w:pPr>
              <w:spacing w:after="0"/>
              <w:jc w:val="center"/>
              <w:rPr>
                <w:sz w:val="18"/>
                <w:szCs w:val="18"/>
              </w:rPr>
            </w:pPr>
            <w:r>
              <w:rPr>
                <w:sz w:val="18"/>
                <w:szCs w:val="18"/>
              </w:rPr>
              <w:t>Yes</w:t>
            </w:r>
          </w:p>
          <w:p w:rsidR="001C70B8" w:rsidRDefault="001C70B8" w:rsidP="009B2A14">
            <w:pPr>
              <w:spacing w:after="0"/>
              <w:jc w:val="center"/>
              <w:rPr>
                <w:sz w:val="18"/>
                <w:szCs w:val="18"/>
              </w:rPr>
            </w:pPr>
            <w:r>
              <w:rPr>
                <w:sz w:val="18"/>
                <w:szCs w:val="18"/>
              </w:rPr>
              <w:t>Yes</w:t>
            </w:r>
          </w:p>
        </w:tc>
        <w:tc>
          <w:tcPr>
            <w:tcW w:w="1805" w:type="dxa"/>
          </w:tcPr>
          <w:p w:rsidR="001C70B8" w:rsidRDefault="001C70B8" w:rsidP="009B2A14">
            <w:pPr>
              <w:spacing w:after="0"/>
              <w:jc w:val="center"/>
              <w:rPr>
                <w:sz w:val="18"/>
                <w:szCs w:val="18"/>
              </w:rPr>
            </w:pPr>
            <w:r>
              <w:rPr>
                <w:sz w:val="18"/>
                <w:szCs w:val="18"/>
              </w:rPr>
              <w:t>Dong 2020</w:t>
            </w:r>
          </w:p>
          <w:p w:rsidR="001C70B8" w:rsidRDefault="001C70B8" w:rsidP="009B2A14">
            <w:pPr>
              <w:spacing w:after="0"/>
              <w:jc w:val="center"/>
              <w:rPr>
                <w:sz w:val="18"/>
                <w:szCs w:val="18"/>
              </w:rPr>
            </w:pPr>
            <w:r>
              <w:rPr>
                <w:sz w:val="18"/>
                <w:szCs w:val="18"/>
              </w:rPr>
              <w:t>Dong 2020</w:t>
            </w:r>
          </w:p>
        </w:tc>
      </w:tr>
      <w:tr w:rsidR="001C70B8" w:rsidRPr="00DE5B46" w:rsidTr="0056680A">
        <w:trPr>
          <w:jc w:val="center"/>
        </w:trPr>
        <w:tc>
          <w:tcPr>
            <w:tcW w:w="0" w:type="auto"/>
          </w:tcPr>
          <w:p w:rsidR="001C70B8" w:rsidRDefault="001C70B8" w:rsidP="009B2A14">
            <w:pPr>
              <w:spacing w:after="0"/>
              <w:jc w:val="center"/>
              <w:rPr>
                <w:sz w:val="18"/>
                <w:szCs w:val="18"/>
              </w:rPr>
            </w:pPr>
            <w:r>
              <w:rPr>
                <w:sz w:val="18"/>
                <w:szCs w:val="18"/>
              </w:rPr>
              <w:t>34b</w:t>
            </w:r>
          </w:p>
        </w:tc>
        <w:tc>
          <w:tcPr>
            <w:tcW w:w="2905" w:type="dxa"/>
          </w:tcPr>
          <w:p w:rsidR="001C70B8" w:rsidRDefault="001C70B8" w:rsidP="009B2A14">
            <w:pPr>
              <w:spacing w:after="0"/>
              <w:jc w:val="center"/>
              <w:rPr>
                <w:sz w:val="18"/>
                <w:szCs w:val="18"/>
              </w:rPr>
            </w:pPr>
            <w:r>
              <w:rPr>
                <w:sz w:val="18"/>
                <w:szCs w:val="18"/>
              </w:rPr>
              <w:t>MPB</w:t>
            </w:r>
          </w:p>
        </w:tc>
        <w:tc>
          <w:tcPr>
            <w:tcW w:w="2976" w:type="dxa"/>
          </w:tcPr>
          <w:p w:rsidR="001C70B8" w:rsidRDefault="001C70B8" w:rsidP="009B2A14">
            <w:pPr>
              <w:spacing w:after="0"/>
              <w:jc w:val="center"/>
              <w:rPr>
                <w:sz w:val="18"/>
                <w:szCs w:val="18"/>
              </w:rPr>
            </w:pPr>
            <w:r>
              <w:rPr>
                <w:sz w:val="18"/>
                <w:szCs w:val="18"/>
              </w:rPr>
              <w:t>Up in PE</w:t>
            </w:r>
          </w:p>
        </w:tc>
        <w:tc>
          <w:tcPr>
            <w:tcW w:w="709" w:type="dxa"/>
          </w:tcPr>
          <w:p w:rsidR="001C70B8" w:rsidRDefault="001C70B8" w:rsidP="009B2A14">
            <w:pPr>
              <w:spacing w:after="0"/>
              <w:jc w:val="center"/>
              <w:rPr>
                <w:sz w:val="18"/>
                <w:szCs w:val="18"/>
              </w:rPr>
            </w:pPr>
            <w:r>
              <w:rPr>
                <w:sz w:val="18"/>
                <w:szCs w:val="18"/>
              </w:rPr>
              <w:t>Yes</w:t>
            </w:r>
          </w:p>
        </w:tc>
        <w:tc>
          <w:tcPr>
            <w:tcW w:w="1805" w:type="dxa"/>
          </w:tcPr>
          <w:p w:rsidR="001C70B8" w:rsidRDefault="001C70B8" w:rsidP="009B2A14">
            <w:pPr>
              <w:spacing w:after="0"/>
              <w:jc w:val="center"/>
              <w:rPr>
                <w:sz w:val="18"/>
                <w:szCs w:val="18"/>
              </w:rPr>
            </w:pPr>
            <w:r>
              <w:rPr>
                <w:sz w:val="18"/>
                <w:szCs w:val="18"/>
              </w:rPr>
              <w:t>Dong 2020</w:t>
            </w:r>
          </w:p>
        </w:tc>
      </w:tr>
      <w:tr w:rsidR="001C70B8" w:rsidRPr="00DE5B46" w:rsidTr="0056680A">
        <w:trPr>
          <w:jc w:val="center"/>
        </w:trPr>
        <w:tc>
          <w:tcPr>
            <w:tcW w:w="0" w:type="auto"/>
          </w:tcPr>
          <w:p w:rsidR="001C70B8" w:rsidRDefault="001C70B8" w:rsidP="009B2A14">
            <w:pPr>
              <w:spacing w:after="0"/>
              <w:jc w:val="center"/>
              <w:rPr>
                <w:sz w:val="18"/>
                <w:szCs w:val="18"/>
              </w:rPr>
            </w:pPr>
            <w:r>
              <w:rPr>
                <w:sz w:val="18"/>
                <w:szCs w:val="18"/>
              </w:rPr>
              <w:t>302d</w:t>
            </w:r>
          </w:p>
        </w:tc>
        <w:tc>
          <w:tcPr>
            <w:tcW w:w="2905" w:type="dxa"/>
          </w:tcPr>
          <w:p w:rsidR="001C70B8" w:rsidRDefault="001C70B8" w:rsidP="009B2A14">
            <w:pPr>
              <w:spacing w:after="0"/>
              <w:jc w:val="center"/>
              <w:rPr>
                <w:sz w:val="18"/>
                <w:szCs w:val="18"/>
              </w:rPr>
            </w:pPr>
            <w:r>
              <w:rPr>
                <w:sz w:val="18"/>
                <w:szCs w:val="18"/>
              </w:rPr>
              <w:t>MPB</w:t>
            </w:r>
          </w:p>
        </w:tc>
        <w:tc>
          <w:tcPr>
            <w:tcW w:w="2976" w:type="dxa"/>
          </w:tcPr>
          <w:p w:rsidR="001C70B8" w:rsidRDefault="001C70B8" w:rsidP="009B2A14">
            <w:pPr>
              <w:spacing w:after="0"/>
              <w:jc w:val="center"/>
              <w:rPr>
                <w:sz w:val="18"/>
                <w:szCs w:val="18"/>
              </w:rPr>
            </w:pPr>
            <w:r>
              <w:rPr>
                <w:sz w:val="18"/>
                <w:szCs w:val="18"/>
              </w:rPr>
              <w:t>Up in PE</w:t>
            </w:r>
          </w:p>
        </w:tc>
        <w:tc>
          <w:tcPr>
            <w:tcW w:w="709" w:type="dxa"/>
          </w:tcPr>
          <w:p w:rsidR="001C70B8" w:rsidRDefault="001C70B8" w:rsidP="009B2A14">
            <w:pPr>
              <w:spacing w:after="0"/>
              <w:jc w:val="center"/>
              <w:rPr>
                <w:sz w:val="18"/>
                <w:szCs w:val="18"/>
              </w:rPr>
            </w:pPr>
            <w:r>
              <w:rPr>
                <w:sz w:val="18"/>
                <w:szCs w:val="18"/>
              </w:rPr>
              <w:t>Yes</w:t>
            </w:r>
          </w:p>
        </w:tc>
        <w:tc>
          <w:tcPr>
            <w:tcW w:w="1805" w:type="dxa"/>
          </w:tcPr>
          <w:p w:rsidR="001C70B8" w:rsidRDefault="001C70B8" w:rsidP="009B2A14">
            <w:pPr>
              <w:spacing w:after="0"/>
              <w:jc w:val="center"/>
              <w:rPr>
                <w:sz w:val="18"/>
                <w:szCs w:val="18"/>
              </w:rPr>
            </w:pPr>
            <w:r>
              <w:rPr>
                <w:sz w:val="18"/>
                <w:szCs w:val="18"/>
              </w:rPr>
              <w:t>Dong 2020</w:t>
            </w:r>
          </w:p>
        </w:tc>
      </w:tr>
      <w:tr w:rsidR="00C11F92" w:rsidRPr="00DE5B46" w:rsidTr="0056680A">
        <w:trPr>
          <w:jc w:val="center"/>
        </w:trPr>
        <w:tc>
          <w:tcPr>
            <w:tcW w:w="0" w:type="auto"/>
          </w:tcPr>
          <w:p w:rsidR="00C11F92" w:rsidRDefault="00C11F92" w:rsidP="009B2A14">
            <w:pPr>
              <w:spacing w:after="0"/>
              <w:jc w:val="center"/>
              <w:rPr>
                <w:sz w:val="18"/>
                <w:szCs w:val="18"/>
              </w:rPr>
            </w:pPr>
            <w:r>
              <w:rPr>
                <w:sz w:val="18"/>
                <w:szCs w:val="18"/>
              </w:rPr>
              <w:t>147a</w:t>
            </w:r>
          </w:p>
        </w:tc>
        <w:tc>
          <w:tcPr>
            <w:tcW w:w="2905" w:type="dxa"/>
          </w:tcPr>
          <w:p w:rsidR="00C11F92" w:rsidRDefault="00C11F92" w:rsidP="009B2A14">
            <w:pPr>
              <w:spacing w:after="0"/>
              <w:jc w:val="center"/>
              <w:rPr>
                <w:sz w:val="18"/>
                <w:szCs w:val="18"/>
              </w:rPr>
            </w:pPr>
            <w:r>
              <w:rPr>
                <w:sz w:val="18"/>
                <w:szCs w:val="18"/>
              </w:rPr>
              <w:t>MPB</w:t>
            </w:r>
          </w:p>
        </w:tc>
        <w:tc>
          <w:tcPr>
            <w:tcW w:w="2976" w:type="dxa"/>
          </w:tcPr>
          <w:p w:rsidR="00C11F92" w:rsidRDefault="00C11F92" w:rsidP="009B2A14">
            <w:pPr>
              <w:spacing w:after="0"/>
              <w:jc w:val="center"/>
              <w:rPr>
                <w:sz w:val="18"/>
                <w:szCs w:val="18"/>
              </w:rPr>
            </w:pPr>
            <w:r>
              <w:rPr>
                <w:sz w:val="18"/>
                <w:szCs w:val="18"/>
              </w:rPr>
              <w:t>No difference</w:t>
            </w:r>
          </w:p>
        </w:tc>
        <w:tc>
          <w:tcPr>
            <w:tcW w:w="709" w:type="dxa"/>
          </w:tcPr>
          <w:p w:rsidR="00C11F92" w:rsidRDefault="00C11F92" w:rsidP="009B2A14">
            <w:pPr>
              <w:spacing w:after="0"/>
              <w:jc w:val="center"/>
              <w:rPr>
                <w:sz w:val="18"/>
                <w:szCs w:val="18"/>
              </w:rPr>
            </w:pPr>
            <w:r>
              <w:rPr>
                <w:sz w:val="18"/>
                <w:szCs w:val="18"/>
              </w:rPr>
              <w:t>No</w:t>
            </w:r>
          </w:p>
        </w:tc>
        <w:tc>
          <w:tcPr>
            <w:tcW w:w="1805" w:type="dxa"/>
          </w:tcPr>
          <w:p w:rsidR="00C11F92" w:rsidRDefault="00C11F92" w:rsidP="009B2A14">
            <w:pPr>
              <w:spacing w:after="0"/>
              <w:jc w:val="center"/>
              <w:rPr>
                <w:sz w:val="18"/>
                <w:szCs w:val="18"/>
              </w:rPr>
            </w:pPr>
            <w:r>
              <w:rPr>
                <w:sz w:val="18"/>
                <w:szCs w:val="18"/>
              </w:rPr>
              <w:t>Dong 2020</w:t>
            </w:r>
          </w:p>
        </w:tc>
      </w:tr>
      <w:tr w:rsidR="00E93F2D" w:rsidRPr="00DE5B46" w:rsidTr="0056680A">
        <w:trPr>
          <w:jc w:val="center"/>
        </w:trPr>
        <w:tc>
          <w:tcPr>
            <w:tcW w:w="0" w:type="auto"/>
          </w:tcPr>
          <w:p w:rsidR="00E93F2D" w:rsidRDefault="00E93F2D" w:rsidP="009B2A14">
            <w:pPr>
              <w:spacing w:after="0"/>
              <w:jc w:val="center"/>
              <w:rPr>
                <w:sz w:val="18"/>
                <w:szCs w:val="18"/>
              </w:rPr>
            </w:pPr>
            <w:r>
              <w:rPr>
                <w:sz w:val="18"/>
                <w:szCs w:val="18"/>
              </w:rPr>
              <w:t>140</w:t>
            </w:r>
          </w:p>
        </w:tc>
        <w:tc>
          <w:tcPr>
            <w:tcW w:w="2905" w:type="dxa"/>
          </w:tcPr>
          <w:p w:rsidR="00E93F2D" w:rsidRDefault="00E93F2D" w:rsidP="009B2A14">
            <w:pPr>
              <w:spacing w:after="0"/>
              <w:jc w:val="center"/>
              <w:rPr>
                <w:sz w:val="18"/>
                <w:szCs w:val="18"/>
              </w:rPr>
            </w:pPr>
            <w:r>
              <w:rPr>
                <w:sz w:val="18"/>
                <w:szCs w:val="18"/>
              </w:rPr>
              <w:t>MPB</w:t>
            </w:r>
          </w:p>
        </w:tc>
        <w:tc>
          <w:tcPr>
            <w:tcW w:w="2976" w:type="dxa"/>
          </w:tcPr>
          <w:p w:rsidR="00E93F2D" w:rsidRDefault="00E93F2D" w:rsidP="009B2A14">
            <w:pPr>
              <w:spacing w:after="0"/>
              <w:jc w:val="center"/>
              <w:rPr>
                <w:sz w:val="18"/>
                <w:szCs w:val="18"/>
              </w:rPr>
            </w:pPr>
            <w:r>
              <w:rPr>
                <w:sz w:val="18"/>
                <w:szCs w:val="18"/>
              </w:rPr>
              <w:t>No difference</w:t>
            </w:r>
          </w:p>
        </w:tc>
        <w:tc>
          <w:tcPr>
            <w:tcW w:w="709" w:type="dxa"/>
          </w:tcPr>
          <w:p w:rsidR="00E93F2D" w:rsidRDefault="00E93F2D" w:rsidP="009B2A14">
            <w:pPr>
              <w:spacing w:after="0"/>
              <w:jc w:val="center"/>
              <w:rPr>
                <w:sz w:val="18"/>
                <w:szCs w:val="18"/>
              </w:rPr>
            </w:pPr>
            <w:r>
              <w:rPr>
                <w:sz w:val="18"/>
                <w:szCs w:val="18"/>
              </w:rPr>
              <w:t>No</w:t>
            </w:r>
          </w:p>
        </w:tc>
        <w:tc>
          <w:tcPr>
            <w:tcW w:w="1805" w:type="dxa"/>
          </w:tcPr>
          <w:p w:rsidR="00E93F2D" w:rsidRDefault="00E93F2D" w:rsidP="009B2A14">
            <w:pPr>
              <w:spacing w:after="0"/>
              <w:jc w:val="center"/>
              <w:rPr>
                <w:sz w:val="18"/>
                <w:szCs w:val="18"/>
              </w:rPr>
            </w:pPr>
            <w:r>
              <w:rPr>
                <w:sz w:val="18"/>
                <w:szCs w:val="18"/>
              </w:rPr>
              <w:t>Dong 2020</w:t>
            </w:r>
          </w:p>
        </w:tc>
      </w:tr>
      <w:tr w:rsidR="00D41466" w:rsidRPr="00DE5B46" w:rsidTr="0056680A">
        <w:trPr>
          <w:jc w:val="center"/>
        </w:trPr>
        <w:tc>
          <w:tcPr>
            <w:tcW w:w="0" w:type="auto"/>
          </w:tcPr>
          <w:p w:rsidR="00D41466" w:rsidRDefault="00D41466" w:rsidP="009B2A14">
            <w:pPr>
              <w:spacing w:after="0"/>
              <w:jc w:val="center"/>
              <w:rPr>
                <w:sz w:val="18"/>
                <w:szCs w:val="18"/>
              </w:rPr>
            </w:pPr>
            <w:r>
              <w:rPr>
                <w:sz w:val="18"/>
                <w:szCs w:val="18"/>
              </w:rPr>
              <w:t>107</w:t>
            </w:r>
          </w:p>
        </w:tc>
        <w:tc>
          <w:tcPr>
            <w:tcW w:w="2905" w:type="dxa"/>
          </w:tcPr>
          <w:p w:rsidR="00D41466" w:rsidRDefault="00D41466" w:rsidP="009B2A14">
            <w:pPr>
              <w:spacing w:after="0"/>
              <w:jc w:val="center"/>
              <w:rPr>
                <w:sz w:val="18"/>
                <w:szCs w:val="18"/>
              </w:rPr>
            </w:pPr>
            <w:r>
              <w:rPr>
                <w:sz w:val="18"/>
                <w:szCs w:val="18"/>
              </w:rPr>
              <w:t>MPB</w:t>
            </w:r>
          </w:p>
        </w:tc>
        <w:tc>
          <w:tcPr>
            <w:tcW w:w="2976" w:type="dxa"/>
          </w:tcPr>
          <w:p w:rsidR="00D41466" w:rsidRDefault="00D41466" w:rsidP="009B2A14">
            <w:pPr>
              <w:spacing w:after="0"/>
              <w:jc w:val="center"/>
              <w:rPr>
                <w:sz w:val="18"/>
                <w:szCs w:val="18"/>
              </w:rPr>
            </w:pPr>
            <w:r>
              <w:rPr>
                <w:sz w:val="18"/>
                <w:szCs w:val="18"/>
              </w:rPr>
              <w:t>No difference</w:t>
            </w:r>
          </w:p>
        </w:tc>
        <w:tc>
          <w:tcPr>
            <w:tcW w:w="709" w:type="dxa"/>
          </w:tcPr>
          <w:p w:rsidR="00D41466" w:rsidRDefault="00D41466" w:rsidP="009B2A14">
            <w:pPr>
              <w:spacing w:after="0"/>
              <w:jc w:val="center"/>
              <w:rPr>
                <w:sz w:val="18"/>
                <w:szCs w:val="18"/>
              </w:rPr>
            </w:pPr>
            <w:r>
              <w:rPr>
                <w:sz w:val="18"/>
                <w:szCs w:val="18"/>
              </w:rPr>
              <w:t>No</w:t>
            </w:r>
          </w:p>
        </w:tc>
        <w:tc>
          <w:tcPr>
            <w:tcW w:w="1805" w:type="dxa"/>
          </w:tcPr>
          <w:p w:rsidR="00D41466" w:rsidRDefault="00D41466" w:rsidP="009B2A14">
            <w:pPr>
              <w:spacing w:after="0"/>
              <w:jc w:val="center"/>
              <w:rPr>
                <w:sz w:val="18"/>
                <w:szCs w:val="18"/>
              </w:rPr>
            </w:pPr>
            <w:r>
              <w:rPr>
                <w:sz w:val="18"/>
                <w:szCs w:val="18"/>
              </w:rPr>
              <w:t>Dong 2020</w:t>
            </w:r>
          </w:p>
        </w:tc>
      </w:tr>
      <w:tr w:rsidR="00496C62" w:rsidRPr="00DE5B46" w:rsidTr="0056680A">
        <w:trPr>
          <w:jc w:val="center"/>
        </w:trPr>
        <w:tc>
          <w:tcPr>
            <w:tcW w:w="0" w:type="auto"/>
          </w:tcPr>
          <w:p w:rsidR="00496C62" w:rsidRDefault="00496C62" w:rsidP="009B2A14">
            <w:pPr>
              <w:spacing w:after="0"/>
              <w:jc w:val="center"/>
              <w:rPr>
                <w:sz w:val="18"/>
                <w:szCs w:val="18"/>
              </w:rPr>
            </w:pPr>
            <w:r>
              <w:rPr>
                <w:sz w:val="18"/>
                <w:szCs w:val="18"/>
              </w:rPr>
              <w:t>507</w:t>
            </w:r>
          </w:p>
        </w:tc>
        <w:tc>
          <w:tcPr>
            <w:tcW w:w="2905" w:type="dxa"/>
          </w:tcPr>
          <w:p w:rsidR="00496C62" w:rsidRDefault="00496C62" w:rsidP="009B2A14">
            <w:pPr>
              <w:spacing w:after="0"/>
              <w:jc w:val="center"/>
              <w:rPr>
                <w:sz w:val="18"/>
                <w:szCs w:val="18"/>
              </w:rPr>
            </w:pPr>
            <w:r>
              <w:rPr>
                <w:sz w:val="18"/>
                <w:szCs w:val="18"/>
              </w:rPr>
              <w:t>Placenta</w:t>
            </w:r>
          </w:p>
        </w:tc>
        <w:tc>
          <w:tcPr>
            <w:tcW w:w="2976" w:type="dxa"/>
          </w:tcPr>
          <w:p w:rsidR="00496C62" w:rsidRDefault="00496C62" w:rsidP="009B2A14">
            <w:pPr>
              <w:spacing w:after="0"/>
              <w:jc w:val="center"/>
              <w:rPr>
                <w:sz w:val="18"/>
                <w:szCs w:val="18"/>
              </w:rPr>
            </w:pPr>
            <w:r>
              <w:rPr>
                <w:sz w:val="18"/>
                <w:szCs w:val="18"/>
              </w:rPr>
              <w:t>Up in PE</w:t>
            </w:r>
          </w:p>
        </w:tc>
        <w:tc>
          <w:tcPr>
            <w:tcW w:w="709" w:type="dxa"/>
          </w:tcPr>
          <w:p w:rsidR="00496C62" w:rsidRDefault="00496C62" w:rsidP="009B2A14">
            <w:pPr>
              <w:spacing w:after="0"/>
              <w:jc w:val="center"/>
              <w:rPr>
                <w:sz w:val="18"/>
                <w:szCs w:val="18"/>
              </w:rPr>
            </w:pPr>
            <w:r>
              <w:rPr>
                <w:sz w:val="18"/>
                <w:szCs w:val="18"/>
              </w:rPr>
              <w:t>Yes</w:t>
            </w:r>
          </w:p>
        </w:tc>
        <w:tc>
          <w:tcPr>
            <w:tcW w:w="1805" w:type="dxa"/>
          </w:tcPr>
          <w:p w:rsidR="00496C62" w:rsidRDefault="00496C62" w:rsidP="009B2A14">
            <w:pPr>
              <w:spacing w:after="0"/>
              <w:jc w:val="center"/>
              <w:rPr>
                <w:sz w:val="18"/>
                <w:szCs w:val="18"/>
              </w:rPr>
            </w:pPr>
            <w:r>
              <w:rPr>
                <w:sz w:val="18"/>
                <w:szCs w:val="18"/>
              </w:rPr>
              <w:t>Li H, 2020</w:t>
            </w:r>
          </w:p>
        </w:tc>
      </w:tr>
      <w:tr w:rsidR="00ED3394" w:rsidRPr="00DE5B46" w:rsidTr="0056680A">
        <w:trPr>
          <w:jc w:val="center"/>
        </w:trPr>
        <w:tc>
          <w:tcPr>
            <w:tcW w:w="0" w:type="auto"/>
          </w:tcPr>
          <w:p w:rsidR="00ED3394" w:rsidRDefault="00ED3394" w:rsidP="009B2A14">
            <w:pPr>
              <w:spacing w:after="0"/>
              <w:jc w:val="center"/>
              <w:rPr>
                <w:sz w:val="18"/>
                <w:szCs w:val="18"/>
              </w:rPr>
            </w:pPr>
            <w:r>
              <w:rPr>
                <w:sz w:val="18"/>
                <w:szCs w:val="18"/>
              </w:rPr>
              <w:t>23b-5p</w:t>
            </w:r>
          </w:p>
        </w:tc>
        <w:tc>
          <w:tcPr>
            <w:tcW w:w="2905" w:type="dxa"/>
          </w:tcPr>
          <w:p w:rsidR="00ED3394" w:rsidRDefault="00ED3394" w:rsidP="009B2A14">
            <w:pPr>
              <w:spacing w:after="0"/>
              <w:jc w:val="center"/>
              <w:rPr>
                <w:sz w:val="18"/>
                <w:szCs w:val="18"/>
              </w:rPr>
            </w:pPr>
            <w:r>
              <w:rPr>
                <w:sz w:val="18"/>
                <w:szCs w:val="18"/>
              </w:rPr>
              <w:t>MPB (plasma)</w:t>
            </w:r>
          </w:p>
        </w:tc>
        <w:tc>
          <w:tcPr>
            <w:tcW w:w="2976" w:type="dxa"/>
          </w:tcPr>
          <w:p w:rsidR="00ED3394" w:rsidRDefault="00ED3394" w:rsidP="009B2A14">
            <w:pPr>
              <w:spacing w:after="0"/>
              <w:jc w:val="center"/>
              <w:rPr>
                <w:sz w:val="18"/>
                <w:szCs w:val="18"/>
              </w:rPr>
            </w:pPr>
            <w:r>
              <w:rPr>
                <w:sz w:val="18"/>
                <w:szCs w:val="18"/>
              </w:rPr>
              <w:t>Down in PE</w:t>
            </w:r>
          </w:p>
        </w:tc>
        <w:tc>
          <w:tcPr>
            <w:tcW w:w="709" w:type="dxa"/>
          </w:tcPr>
          <w:p w:rsidR="00ED3394" w:rsidRDefault="00ED3394" w:rsidP="009B2A14">
            <w:pPr>
              <w:spacing w:after="0"/>
              <w:jc w:val="center"/>
              <w:rPr>
                <w:sz w:val="18"/>
                <w:szCs w:val="18"/>
              </w:rPr>
            </w:pPr>
            <w:r>
              <w:rPr>
                <w:sz w:val="18"/>
                <w:szCs w:val="18"/>
              </w:rPr>
              <w:t>Yes</w:t>
            </w:r>
          </w:p>
        </w:tc>
        <w:tc>
          <w:tcPr>
            <w:tcW w:w="1805" w:type="dxa"/>
          </w:tcPr>
          <w:p w:rsidR="00ED3394" w:rsidRDefault="00ED3394" w:rsidP="009B2A14">
            <w:pPr>
              <w:spacing w:after="0"/>
              <w:jc w:val="center"/>
              <w:rPr>
                <w:sz w:val="18"/>
                <w:szCs w:val="18"/>
              </w:rPr>
            </w:pPr>
            <w:r>
              <w:rPr>
                <w:sz w:val="18"/>
                <w:szCs w:val="18"/>
              </w:rPr>
              <w:t>Mavreli 2020</w:t>
            </w:r>
          </w:p>
        </w:tc>
      </w:tr>
      <w:tr w:rsidR="00ED3394" w:rsidRPr="00DE5B46" w:rsidTr="0056680A">
        <w:trPr>
          <w:jc w:val="center"/>
        </w:trPr>
        <w:tc>
          <w:tcPr>
            <w:tcW w:w="0" w:type="auto"/>
          </w:tcPr>
          <w:p w:rsidR="00ED3394" w:rsidRDefault="00ED3394" w:rsidP="009B2A14">
            <w:pPr>
              <w:spacing w:after="0"/>
              <w:jc w:val="center"/>
              <w:rPr>
                <w:sz w:val="18"/>
                <w:szCs w:val="18"/>
              </w:rPr>
            </w:pPr>
            <w:r>
              <w:rPr>
                <w:sz w:val="18"/>
                <w:szCs w:val="18"/>
              </w:rPr>
              <w:t>99b</w:t>
            </w:r>
          </w:p>
        </w:tc>
        <w:tc>
          <w:tcPr>
            <w:tcW w:w="2905" w:type="dxa"/>
          </w:tcPr>
          <w:p w:rsidR="00ED3394" w:rsidRDefault="00ED3394" w:rsidP="009B2A14">
            <w:pPr>
              <w:spacing w:after="0"/>
              <w:jc w:val="center"/>
              <w:rPr>
                <w:sz w:val="18"/>
                <w:szCs w:val="18"/>
              </w:rPr>
            </w:pPr>
            <w:r>
              <w:rPr>
                <w:sz w:val="18"/>
                <w:szCs w:val="18"/>
              </w:rPr>
              <w:t>MPB (plasma)</w:t>
            </w:r>
          </w:p>
        </w:tc>
        <w:tc>
          <w:tcPr>
            <w:tcW w:w="2976" w:type="dxa"/>
          </w:tcPr>
          <w:p w:rsidR="00ED3394" w:rsidRDefault="00ED3394" w:rsidP="009B2A14">
            <w:pPr>
              <w:spacing w:after="0"/>
              <w:jc w:val="center"/>
              <w:rPr>
                <w:sz w:val="18"/>
                <w:szCs w:val="18"/>
              </w:rPr>
            </w:pPr>
            <w:r>
              <w:rPr>
                <w:sz w:val="18"/>
                <w:szCs w:val="18"/>
              </w:rPr>
              <w:t>Down in PE</w:t>
            </w:r>
          </w:p>
        </w:tc>
        <w:tc>
          <w:tcPr>
            <w:tcW w:w="709" w:type="dxa"/>
          </w:tcPr>
          <w:p w:rsidR="00ED3394" w:rsidRDefault="00ED3394" w:rsidP="009B2A14">
            <w:pPr>
              <w:spacing w:after="0"/>
              <w:jc w:val="center"/>
              <w:rPr>
                <w:sz w:val="18"/>
                <w:szCs w:val="18"/>
              </w:rPr>
            </w:pPr>
            <w:r>
              <w:rPr>
                <w:sz w:val="18"/>
                <w:szCs w:val="18"/>
              </w:rPr>
              <w:t>Yes</w:t>
            </w:r>
          </w:p>
        </w:tc>
        <w:tc>
          <w:tcPr>
            <w:tcW w:w="1805" w:type="dxa"/>
          </w:tcPr>
          <w:p w:rsidR="00ED3394" w:rsidRDefault="00ED3394" w:rsidP="009B2A14">
            <w:pPr>
              <w:spacing w:after="0"/>
              <w:jc w:val="center"/>
              <w:rPr>
                <w:sz w:val="18"/>
                <w:szCs w:val="18"/>
              </w:rPr>
            </w:pPr>
            <w:r>
              <w:rPr>
                <w:sz w:val="18"/>
                <w:szCs w:val="18"/>
              </w:rPr>
              <w:t>Mavreli 2020</w:t>
            </w:r>
          </w:p>
        </w:tc>
      </w:tr>
      <w:tr w:rsidR="00B72140" w:rsidRPr="00DE5B46" w:rsidTr="0056680A">
        <w:trPr>
          <w:jc w:val="center"/>
        </w:trPr>
        <w:tc>
          <w:tcPr>
            <w:tcW w:w="0" w:type="auto"/>
          </w:tcPr>
          <w:p w:rsidR="00B72140" w:rsidRDefault="00B72140" w:rsidP="009B2A14">
            <w:pPr>
              <w:spacing w:after="0"/>
              <w:jc w:val="center"/>
              <w:rPr>
                <w:sz w:val="18"/>
                <w:szCs w:val="18"/>
              </w:rPr>
            </w:pPr>
            <w:r>
              <w:rPr>
                <w:sz w:val="18"/>
                <w:szCs w:val="18"/>
              </w:rPr>
              <w:t>655-3p</w:t>
            </w:r>
          </w:p>
        </w:tc>
        <w:tc>
          <w:tcPr>
            <w:tcW w:w="2905" w:type="dxa"/>
          </w:tcPr>
          <w:p w:rsidR="00B72140" w:rsidRDefault="00B72140" w:rsidP="009B2A14">
            <w:pPr>
              <w:spacing w:after="0"/>
              <w:jc w:val="center"/>
              <w:rPr>
                <w:sz w:val="18"/>
                <w:szCs w:val="18"/>
              </w:rPr>
            </w:pPr>
            <w:r>
              <w:rPr>
                <w:sz w:val="18"/>
                <w:szCs w:val="18"/>
              </w:rPr>
              <w:t>Placenta</w:t>
            </w:r>
          </w:p>
        </w:tc>
        <w:tc>
          <w:tcPr>
            <w:tcW w:w="2976" w:type="dxa"/>
          </w:tcPr>
          <w:p w:rsidR="00B72140" w:rsidRDefault="00B72140" w:rsidP="009B2A14">
            <w:pPr>
              <w:spacing w:after="0"/>
              <w:jc w:val="center"/>
              <w:rPr>
                <w:sz w:val="18"/>
                <w:szCs w:val="18"/>
              </w:rPr>
            </w:pPr>
            <w:r>
              <w:rPr>
                <w:sz w:val="18"/>
                <w:szCs w:val="18"/>
              </w:rPr>
              <w:t>Up in PE</w:t>
            </w:r>
          </w:p>
        </w:tc>
        <w:tc>
          <w:tcPr>
            <w:tcW w:w="709" w:type="dxa"/>
          </w:tcPr>
          <w:p w:rsidR="00B72140" w:rsidRDefault="00B72140" w:rsidP="009B2A14">
            <w:pPr>
              <w:spacing w:after="0"/>
              <w:jc w:val="center"/>
              <w:rPr>
                <w:sz w:val="18"/>
                <w:szCs w:val="18"/>
              </w:rPr>
            </w:pPr>
            <w:r>
              <w:rPr>
                <w:sz w:val="18"/>
                <w:szCs w:val="18"/>
              </w:rPr>
              <w:t>Yes</w:t>
            </w:r>
          </w:p>
        </w:tc>
        <w:tc>
          <w:tcPr>
            <w:tcW w:w="1805" w:type="dxa"/>
          </w:tcPr>
          <w:p w:rsidR="00B72140" w:rsidRDefault="00B72140" w:rsidP="009B2A14">
            <w:pPr>
              <w:spacing w:after="0"/>
              <w:jc w:val="center"/>
              <w:rPr>
                <w:sz w:val="18"/>
                <w:szCs w:val="18"/>
              </w:rPr>
            </w:pPr>
            <w:r>
              <w:rPr>
                <w:sz w:val="18"/>
                <w:szCs w:val="18"/>
              </w:rPr>
              <w:t>Song 2020</w:t>
            </w:r>
          </w:p>
        </w:tc>
      </w:tr>
      <w:tr w:rsidR="00006F05" w:rsidRPr="00DE5B46" w:rsidTr="0056680A">
        <w:trPr>
          <w:jc w:val="center"/>
        </w:trPr>
        <w:tc>
          <w:tcPr>
            <w:tcW w:w="0" w:type="auto"/>
          </w:tcPr>
          <w:p w:rsidR="00006F05" w:rsidRDefault="00006F05" w:rsidP="00006F05">
            <w:pPr>
              <w:spacing w:after="0"/>
              <w:jc w:val="center"/>
              <w:rPr>
                <w:sz w:val="18"/>
                <w:szCs w:val="18"/>
              </w:rPr>
            </w:pPr>
            <w:r>
              <w:rPr>
                <w:sz w:val="18"/>
                <w:szCs w:val="18"/>
              </w:rPr>
              <w:t>135a</w:t>
            </w:r>
          </w:p>
        </w:tc>
        <w:tc>
          <w:tcPr>
            <w:tcW w:w="2905" w:type="dxa"/>
          </w:tcPr>
          <w:p w:rsidR="00006F05" w:rsidRDefault="00006F05" w:rsidP="009B2A14">
            <w:pPr>
              <w:spacing w:after="0"/>
              <w:jc w:val="center"/>
              <w:rPr>
                <w:sz w:val="18"/>
                <w:szCs w:val="18"/>
              </w:rPr>
            </w:pPr>
            <w:r>
              <w:rPr>
                <w:sz w:val="18"/>
                <w:szCs w:val="18"/>
              </w:rPr>
              <w:t xml:space="preserve">Placenta </w:t>
            </w:r>
          </w:p>
        </w:tc>
        <w:tc>
          <w:tcPr>
            <w:tcW w:w="2976" w:type="dxa"/>
          </w:tcPr>
          <w:p w:rsidR="00006F05" w:rsidRDefault="00006F05" w:rsidP="009B2A14">
            <w:pPr>
              <w:spacing w:after="0"/>
              <w:jc w:val="center"/>
              <w:rPr>
                <w:sz w:val="18"/>
                <w:szCs w:val="18"/>
              </w:rPr>
            </w:pPr>
            <w:r>
              <w:rPr>
                <w:sz w:val="18"/>
                <w:szCs w:val="18"/>
              </w:rPr>
              <w:t>Up in PE</w:t>
            </w:r>
          </w:p>
        </w:tc>
        <w:tc>
          <w:tcPr>
            <w:tcW w:w="709" w:type="dxa"/>
          </w:tcPr>
          <w:p w:rsidR="00006F05" w:rsidRDefault="00006F05" w:rsidP="009B2A14">
            <w:pPr>
              <w:spacing w:after="0"/>
              <w:jc w:val="center"/>
              <w:rPr>
                <w:sz w:val="18"/>
                <w:szCs w:val="18"/>
              </w:rPr>
            </w:pPr>
            <w:r>
              <w:rPr>
                <w:sz w:val="18"/>
                <w:szCs w:val="18"/>
              </w:rPr>
              <w:t>Yes</w:t>
            </w:r>
          </w:p>
        </w:tc>
        <w:tc>
          <w:tcPr>
            <w:tcW w:w="1805" w:type="dxa"/>
          </w:tcPr>
          <w:p w:rsidR="00006F05" w:rsidRDefault="00006F05" w:rsidP="009B2A14">
            <w:pPr>
              <w:spacing w:after="0"/>
              <w:jc w:val="center"/>
              <w:rPr>
                <w:sz w:val="18"/>
                <w:szCs w:val="18"/>
              </w:rPr>
            </w:pPr>
            <w:r>
              <w:rPr>
                <w:sz w:val="18"/>
                <w:szCs w:val="18"/>
              </w:rPr>
              <w:t>Wu 2020</w:t>
            </w:r>
          </w:p>
        </w:tc>
      </w:tr>
      <w:tr w:rsidR="007922C3" w:rsidRPr="00DE5B46" w:rsidTr="0056680A">
        <w:trPr>
          <w:jc w:val="center"/>
        </w:trPr>
        <w:tc>
          <w:tcPr>
            <w:tcW w:w="0" w:type="auto"/>
          </w:tcPr>
          <w:p w:rsidR="007922C3" w:rsidRDefault="007922C3" w:rsidP="00006F05">
            <w:pPr>
              <w:spacing w:after="0"/>
              <w:jc w:val="center"/>
              <w:rPr>
                <w:sz w:val="18"/>
                <w:szCs w:val="18"/>
              </w:rPr>
            </w:pPr>
            <w:r>
              <w:rPr>
                <w:sz w:val="18"/>
                <w:szCs w:val="18"/>
              </w:rPr>
              <w:t>1270</w:t>
            </w:r>
          </w:p>
        </w:tc>
        <w:tc>
          <w:tcPr>
            <w:tcW w:w="2905" w:type="dxa"/>
          </w:tcPr>
          <w:p w:rsidR="007922C3" w:rsidRDefault="007922C3" w:rsidP="009B2A14">
            <w:pPr>
              <w:spacing w:after="0"/>
              <w:jc w:val="center"/>
              <w:rPr>
                <w:sz w:val="18"/>
                <w:szCs w:val="18"/>
              </w:rPr>
            </w:pPr>
            <w:r>
              <w:rPr>
                <w:sz w:val="18"/>
                <w:szCs w:val="18"/>
              </w:rPr>
              <w:t xml:space="preserve">UCB </w:t>
            </w:r>
            <w:r w:rsidR="00DE25DF">
              <w:rPr>
                <w:sz w:val="18"/>
                <w:szCs w:val="18"/>
              </w:rPr>
              <w:t>(</w:t>
            </w:r>
            <w:r>
              <w:rPr>
                <w:sz w:val="18"/>
                <w:szCs w:val="18"/>
              </w:rPr>
              <w:t>ECFC</w:t>
            </w:r>
            <w:r w:rsidR="00DE25DF">
              <w:rPr>
                <w:sz w:val="18"/>
                <w:szCs w:val="18"/>
              </w:rPr>
              <w:t>)</w:t>
            </w:r>
          </w:p>
        </w:tc>
        <w:tc>
          <w:tcPr>
            <w:tcW w:w="2976" w:type="dxa"/>
          </w:tcPr>
          <w:p w:rsidR="007922C3" w:rsidRDefault="007922C3" w:rsidP="009B2A14">
            <w:pPr>
              <w:spacing w:after="0"/>
              <w:jc w:val="center"/>
              <w:rPr>
                <w:sz w:val="18"/>
                <w:szCs w:val="18"/>
              </w:rPr>
            </w:pPr>
            <w:r>
              <w:rPr>
                <w:sz w:val="18"/>
                <w:szCs w:val="18"/>
              </w:rPr>
              <w:t>Down in PE</w:t>
            </w:r>
          </w:p>
        </w:tc>
        <w:tc>
          <w:tcPr>
            <w:tcW w:w="709" w:type="dxa"/>
          </w:tcPr>
          <w:p w:rsidR="007922C3" w:rsidRDefault="007922C3" w:rsidP="009B2A14">
            <w:pPr>
              <w:spacing w:after="0"/>
              <w:jc w:val="center"/>
              <w:rPr>
                <w:sz w:val="18"/>
                <w:szCs w:val="18"/>
              </w:rPr>
            </w:pPr>
            <w:r>
              <w:rPr>
                <w:sz w:val="18"/>
                <w:szCs w:val="18"/>
              </w:rPr>
              <w:t>Yes</w:t>
            </w:r>
          </w:p>
        </w:tc>
        <w:tc>
          <w:tcPr>
            <w:tcW w:w="1805" w:type="dxa"/>
          </w:tcPr>
          <w:p w:rsidR="007922C3" w:rsidRDefault="007922C3" w:rsidP="009B2A14">
            <w:pPr>
              <w:spacing w:after="0"/>
              <w:jc w:val="center"/>
              <w:rPr>
                <w:sz w:val="18"/>
                <w:szCs w:val="18"/>
              </w:rPr>
            </w:pPr>
            <w:r>
              <w:rPr>
                <w:sz w:val="18"/>
                <w:szCs w:val="18"/>
              </w:rPr>
              <w:t>Brodowski 2021</w:t>
            </w:r>
          </w:p>
        </w:tc>
      </w:tr>
      <w:tr w:rsidR="00501300" w:rsidRPr="00DE5B46" w:rsidTr="0056680A">
        <w:trPr>
          <w:jc w:val="center"/>
        </w:trPr>
        <w:tc>
          <w:tcPr>
            <w:tcW w:w="0" w:type="auto"/>
          </w:tcPr>
          <w:p w:rsidR="00501300" w:rsidRDefault="00501300" w:rsidP="00006F05">
            <w:pPr>
              <w:spacing w:after="0"/>
              <w:jc w:val="center"/>
              <w:rPr>
                <w:sz w:val="18"/>
                <w:szCs w:val="18"/>
              </w:rPr>
            </w:pPr>
            <w:r>
              <w:rPr>
                <w:sz w:val="18"/>
                <w:szCs w:val="18"/>
              </w:rPr>
              <w:t>2467</w:t>
            </w:r>
            <w:r w:rsidR="00B0523C">
              <w:rPr>
                <w:sz w:val="18"/>
                <w:szCs w:val="18"/>
              </w:rPr>
              <w:t>-5p</w:t>
            </w:r>
          </w:p>
        </w:tc>
        <w:tc>
          <w:tcPr>
            <w:tcW w:w="2905" w:type="dxa"/>
          </w:tcPr>
          <w:p w:rsidR="00501300" w:rsidRDefault="00501300" w:rsidP="009B2A14">
            <w:pPr>
              <w:spacing w:after="0"/>
              <w:jc w:val="center"/>
              <w:rPr>
                <w:sz w:val="18"/>
                <w:szCs w:val="18"/>
              </w:rPr>
            </w:pPr>
            <w:r>
              <w:rPr>
                <w:sz w:val="18"/>
                <w:szCs w:val="18"/>
              </w:rPr>
              <w:t xml:space="preserve">UCB </w:t>
            </w:r>
            <w:r w:rsidR="00DE25DF">
              <w:rPr>
                <w:sz w:val="18"/>
                <w:szCs w:val="18"/>
              </w:rPr>
              <w:t>(</w:t>
            </w:r>
            <w:r>
              <w:rPr>
                <w:sz w:val="18"/>
                <w:szCs w:val="18"/>
              </w:rPr>
              <w:t>ECFC</w:t>
            </w:r>
            <w:r w:rsidR="00DE25DF">
              <w:rPr>
                <w:sz w:val="18"/>
                <w:szCs w:val="18"/>
              </w:rPr>
              <w:t>)</w:t>
            </w:r>
          </w:p>
        </w:tc>
        <w:tc>
          <w:tcPr>
            <w:tcW w:w="2976" w:type="dxa"/>
          </w:tcPr>
          <w:p w:rsidR="00501300" w:rsidRDefault="00501300" w:rsidP="009B2A14">
            <w:pPr>
              <w:spacing w:after="0"/>
              <w:jc w:val="center"/>
              <w:rPr>
                <w:sz w:val="18"/>
                <w:szCs w:val="18"/>
              </w:rPr>
            </w:pPr>
            <w:r>
              <w:rPr>
                <w:sz w:val="18"/>
                <w:szCs w:val="18"/>
              </w:rPr>
              <w:t>Up in PE</w:t>
            </w:r>
          </w:p>
        </w:tc>
        <w:tc>
          <w:tcPr>
            <w:tcW w:w="709" w:type="dxa"/>
          </w:tcPr>
          <w:p w:rsidR="00501300" w:rsidRDefault="00501300" w:rsidP="009B2A14">
            <w:pPr>
              <w:spacing w:after="0"/>
              <w:jc w:val="center"/>
              <w:rPr>
                <w:sz w:val="18"/>
                <w:szCs w:val="18"/>
              </w:rPr>
            </w:pPr>
            <w:r>
              <w:rPr>
                <w:sz w:val="18"/>
                <w:szCs w:val="18"/>
              </w:rPr>
              <w:t>Yes</w:t>
            </w:r>
          </w:p>
        </w:tc>
        <w:tc>
          <w:tcPr>
            <w:tcW w:w="1805" w:type="dxa"/>
          </w:tcPr>
          <w:p w:rsidR="00501300" w:rsidRDefault="00501300" w:rsidP="009B2A14">
            <w:pPr>
              <w:spacing w:after="0"/>
              <w:jc w:val="center"/>
              <w:rPr>
                <w:sz w:val="18"/>
                <w:szCs w:val="18"/>
              </w:rPr>
            </w:pPr>
            <w:r>
              <w:rPr>
                <w:sz w:val="18"/>
                <w:szCs w:val="18"/>
              </w:rPr>
              <w:t>Brodowski 2021</w:t>
            </w:r>
          </w:p>
        </w:tc>
      </w:tr>
      <w:tr w:rsidR="00DE25DF" w:rsidRPr="00DE5B46" w:rsidTr="0056680A">
        <w:trPr>
          <w:jc w:val="center"/>
        </w:trPr>
        <w:tc>
          <w:tcPr>
            <w:tcW w:w="0" w:type="auto"/>
          </w:tcPr>
          <w:p w:rsidR="00DE25DF" w:rsidRDefault="00DE25DF" w:rsidP="00006F05">
            <w:pPr>
              <w:spacing w:after="0"/>
              <w:jc w:val="center"/>
              <w:rPr>
                <w:sz w:val="18"/>
                <w:szCs w:val="18"/>
              </w:rPr>
            </w:pPr>
            <w:r>
              <w:rPr>
                <w:sz w:val="18"/>
                <w:szCs w:val="18"/>
              </w:rPr>
              <w:t>3177</w:t>
            </w:r>
            <w:r w:rsidR="00B0523C">
              <w:rPr>
                <w:sz w:val="18"/>
                <w:szCs w:val="18"/>
              </w:rPr>
              <w:t>-5p</w:t>
            </w:r>
          </w:p>
        </w:tc>
        <w:tc>
          <w:tcPr>
            <w:tcW w:w="2905" w:type="dxa"/>
          </w:tcPr>
          <w:p w:rsidR="00DE25DF" w:rsidRDefault="00DE25DF" w:rsidP="009B2A14">
            <w:pPr>
              <w:spacing w:after="0"/>
              <w:jc w:val="center"/>
              <w:rPr>
                <w:sz w:val="18"/>
                <w:szCs w:val="18"/>
              </w:rPr>
            </w:pPr>
            <w:r>
              <w:rPr>
                <w:sz w:val="18"/>
                <w:szCs w:val="18"/>
              </w:rPr>
              <w:t xml:space="preserve">MPB (ECFC) </w:t>
            </w:r>
          </w:p>
        </w:tc>
        <w:tc>
          <w:tcPr>
            <w:tcW w:w="2976" w:type="dxa"/>
          </w:tcPr>
          <w:p w:rsidR="00DE25DF" w:rsidRDefault="00DE25DF" w:rsidP="009B2A14">
            <w:pPr>
              <w:spacing w:after="0"/>
              <w:jc w:val="center"/>
              <w:rPr>
                <w:sz w:val="18"/>
                <w:szCs w:val="18"/>
              </w:rPr>
            </w:pPr>
            <w:r>
              <w:rPr>
                <w:sz w:val="18"/>
                <w:szCs w:val="18"/>
              </w:rPr>
              <w:t>Up in PE</w:t>
            </w:r>
          </w:p>
        </w:tc>
        <w:tc>
          <w:tcPr>
            <w:tcW w:w="709" w:type="dxa"/>
          </w:tcPr>
          <w:p w:rsidR="00DE25DF" w:rsidRDefault="00DE25DF" w:rsidP="009B2A14">
            <w:pPr>
              <w:spacing w:after="0"/>
              <w:jc w:val="center"/>
              <w:rPr>
                <w:sz w:val="18"/>
                <w:szCs w:val="18"/>
              </w:rPr>
            </w:pPr>
            <w:r>
              <w:rPr>
                <w:sz w:val="18"/>
                <w:szCs w:val="18"/>
              </w:rPr>
              <w:t>Yes</w:t>
            </w:r>
          </w:p>
        </w:tc>
        <w:tc>
          <w:tcPr>
            <w:tcW w:w="1805" w:type="dxa"/>
          </w:tcPr>
          <w:p w:rsidR="00DE25DF" w:rsidRDefault="00DE25DF" w:rsidP="009B2A14">
            <w:pPr>
              <w:spacing w:after="0"/>
              <w:jc w:val="center"/>
              <w:rPr>
                <w:sz w:val="18"/>
                <w:szCs w:val="18"/>
              </w:rPr>
            </w:pPr>
            <w:r>
              <w:rPr>
                <w:sz w:val="18"/>
                <w:szCs w:val="18"/>
              </w:rPr>
              <w:t>Brodowski 2021</w:t>
            </w:r>
          </w:p>
        </w:tc>
      </w:tr>
      <w:tr w:rsidR="00264F99" w:rsidRPr="00DE5B46" w:rsidTr="0056680A">
        <w:trPr>
          <w:jc w:val="center"/>
        </w:trPr>
        <w:tc>
          <w:tcPr>
            <w:tcW w:w="0" w:type="auto"/>
          </w:tcPr>
          <w:p w:rsidR="00264F99" w:rsidRDefault="00264F99" w:rsidP="00006F05">
            <w:pPr>
              <w:spacing w:after="0"/>
              <w:jc w:val="center"/>
              <w:rPr>
                <w:sz w:val="18"/>
                <w:szCs w:val="18"/>
              </w:rPr>
            </w:pPr>
            <w:r>
              <w:rPr>
                <w:sz w:val="18"/>
                <w:szCs w:val="18"/>
              </w:rPr>
              <w:t>let-7b-3p</w:t>
            </w:r>
          </w:p>
        </w:tc>
        <w:tc>
          <w:tcPr>
            <w:tcW w:w="2905" w:type="dxa"/>
          </w:tcPr>
          <w:p w:rsidR="00264F99" w:rsidRDefault="00264F99" w:rsidP="009B2A14">
            <w:pPr>
              <w:spacing w:after="0"/>
              <w:jc w:val="center"/>
              <w:rPr>
                <w:sz w:val="18"/>
                <w:szCs w:val="18"/>
              </w:rPr>
            </w:pPr>
            <w:r>
              <w:rPr>
                <w:sz w:val="18"/>
                <w:szCs w:val="18"/>
              </w:rPr>
              <w:t>Placenta (hDMSC)</w:t>
            </w:r>
          </w:p>
        </w:tc>
        <w:tc>
          <w:tcPr>
            <w:tcW w:w="2976" w:type="dxa"/>
          </w:tcPr>
          <w:p w:rsidR="00264F99" w:rsidRDefault="00264F99" w:rsidP="009B2A14">
            <w:pPr>
              <w:spacing w:after="0"/>
              <w:jc w:val="center"/>
              <w:rPr>
                <w:sz w:val="18"/>
                <w:szCs w:val="18"/>
              </w:rPr>
            </w:pPr>
            <w:r>
              <w:rPr>
                <w:sz w:val="18"/>
                <w:szCs w:val="18"/>
              </w:rPr>
              <w:t>Up in PE</w:t>
            </w:r>
          </w:p>
        </w:tc>
        <w:tc>
          <w:tcPr>
            <w:tcW w:w="709" w:type="dxa"/>
          </w:tcPr>
          <w:p w:rsidR="00264F99" w:rsidRDefault="00264F99" w:rsidP="009B2A14">
            <w:pPr>
              <w:spacing w:after="0"/>
              <w:jc w:val="center"/>
              <w:rPr>
                <w:sz w:val="18"/>
                <w:szCs w:val="18"/>
              </w:rPr>
            </w:pPr>
            <w:r>
              <w:rPr>
                <w:sz w:val="18"/>
                <w:szCs w:val="18"/>
              </w:rPr>
              <w:t>No</w:t>
            </w:r>
          </w:p>
        </w:tc>
        <w:tc>
          <w:tcPr>
            <w:tcW w:w="1805" w:type="dxa"/>
          </w:tcPr>
          <w:p w:rsidR="00264F99" w:rsidRDefault="00264F99" w:rsidP="009B2A14">
            <w:pPr>
              <w:spacing w:after="0"/>
              <w:jc w:val="center"/>
              <w:rPr>
                <w:sz w:val="18"/>
                <w:szCs w:val="18"/>
              </w:rPr>
            </w:pPr>
            <w:r>
              <w:rPr>
                <w:sz w:val="18"/>
                <w:szCs w:val="18"/>
              </w:rPr>
              <w:t>Kamali-Simsek 2021</w:t>
            </w:r>
          </w:p>
        </w:tc>
      </w:tr>
      <w:tr w:rsidR="00D9104A" w:rsidRPr="00DE5B46" w:rsidTr="0056680A">
        <w:trPr>
          <w:jc w:val="center"/>
        </w:trPr>
        <w:tc>
          <w:tcPr>
            <w:tcW w:w="0" w:type="auto"/>
          </w:tcPr>
          <w:p w:rsidR="00D9104A" w:rsidRDefault="00D9104A" w:rsidP="00006F05">
            <w:pPr>
              <w:spacing w:after="0"/>
              <w:jc w:val="center"/>
              <w:rPr>
                <w:sz w:val="18"/>
                <w:szCs w:val="18"/>
              </w:rPr>
            </w:pPr>
            <w:r>
              <w:rPr>
                <w:sz w:val="18"/>
                <w:szCs w:val="18"/>
              </w:rPr>
              <w:t>425-3p</w:t>
            </w:r>
          </w:p>
        </w:tc>
        <w:tc>
          <w:tcPr>
            <w:tcW w:w="2905" w:type="dxa"/>
          </w:tcPr>
          <w:p w:rsidR="00D9104A" w:rsidRDefault="00D9104A" w:rsidP="009B2A14">
            <w:pPr>
              <w:spacing w:after="0"/>
              <w:jc w:val="center"/>
              <w:rPr>
                <w:sz w:val="18"/>
                <w:szCs w:val="18"/>
              </w:rPr>
            </w:pPr>
            <w:r>
              <w:rPr>
                <w:sz w:val="18"/>
                <w:szCs w:val="18"/>
              </w:rPr>
              <w:t>Placenta (hDMSC)</w:t>
            </w:r>
          </w:p>
        </w:tc>
        <w:tc>
          <w:tcPr>
            <w:tcW w:w="2976" w:type="dxa"/>
          </w:tcPr>
          <w:p w:rsidR="00D9104A" w:rsidRDefault="00D9104A" w:rsidP="009B2A14">
            <w:pPr>
              <w:spacing w:after="0"/>
              <w:jc w:val="center"/>
              <w:rPr>
                <w:sz w:val="18"/>
                <w:szCs w:val="18"/>
              </w:rPr>
            </w:pPr>
            <w:r>
              <w:rPr>
                <w:sz w:val="18"/>
                <w:szCs w:val="18"/>
              </w:rPr>
              <w:t>No difference in PE</w:t>
            </w:r>
          </w:p>
        </w:tc>
        <w:tc>
          <w:tcPr>
            <w:tcW w:w="709" w:type="dxa"/>
          </w:tcPr>
          <w:p w:rsidR="00D9104A" w:rsidRDefault="00D9104A" w:rsidP="009B2A14">
            <w:pPr>
              <w:spacing w:after="0"/>
              <w:jc w:val="center"/>
              <w:rPr>
                <w:sz w:val="18"/>
                <w:szCs w:val="18"/>
              </w:rPr>
            </w:pPr>
            <w:r>
              <w:rPr>
                <w:sz w:val="18"/>
                <w:szCs w:val="18"/>
              </w:rPr>
              <w:t>No</w:t>
            </w:r>
          </w:p>
        </w:tc>
        <w:tc>
          <w:tcPr>
            <w:tcW w:w="1805" w:type="dxa"/>
          </w:tcPr>
          <w:p w:rsidR="00D9104A" w:rsidRDefault="00D9104A" w:rsidP="009B2A14">
            <w:pPr>
              <w:spacing w:after="0"/>
              <w:jc w:val="center"/>
              <w:rPr>
                <w:sz w:val="18"/>
                <w:szCs w:val="18"/>
              </w:rPr>
            </w:pPr>
            <w:r>
              <w:rPr>
                <w:sz w:val="18"/>
                <w:szCs w:val="18"/>
              </w:rPr>
              <w:t>Kamali-Simsek 2021</w:t>
            </w:r>
          </w:p>
        </w:tc>
      </w:tr>
      <w:tr w:rsidR="00722E52" w:rsidRPr="00DE5B46" w:rsidTr="0056680A">
        <w:trPr>
          <w:jc w:val="center"/>
        </w:trPr>
        <w:tc>
          <w:tcPr>
            <w:tcW w:w="0" w:type="auto"/>
          </w:tcPr>
          <w:p w:rsidR="00722E52" w:rsidRDefault="00722E52" w:rsidP="00006F05">
            <w:pPr>
              <w:spacing w:after="0"/>
              <w:jc w:val="center"/>
              <w:rPr>
                <w:sz w:val="18"/>
                <w:szCs w:val="18"/>
              </w:rPr>
            </w:pPr>
            <w:r>
              <w:rPr>
                <w:sz w:val="18"/>
                <w:szCs w:val="18"/>
              </w:rPr>
              <w:t>550a-5p</w:t>
            </w:r>
          </w:p>
        </w:tc>
        <w:tc>
          <w:tcPr>
            <w:tcW w:w="2905" w:type="dxa"/>
          </w:tcPr>
          <w:p w:rsidR="00722E52" w:rsidRDefault="00722E52" w:rsidP="009B2A14">
            <w:pPr>
              <w:spacing w:after="0"/>
              <w:jc w:val="center"/>
              <w:rPr>
                <w:sz w:val="18"/>
                <w:szCs w:val="18"/>
              </w:rPr>
            </w:pPr>
            <w:r>
              <w:rPr>
                <w:sz w:val="18"/>
                <w:szCs w:val="18"/>
              </w:rPr>
              <w:t>Placenta (hDMSC)</w:t>
            </w:r>
          </w:p>
        </w:tc>
        <w:tc>
          <w:tcPr>
            <w:tcW w:w="2976" w:type="dxa"/>
          </w:tcPr>
          <w:p w:rsidR="00722E52" w:rsidRDefault="00722E52" w:rsidP="009B2A14">
            <w:pPr>
              <w:spacing w:after="0"/>
              <w:jc w:val="center"/>
              <w:rPr>
                <w:sz w:val="18"/>
                <w:szCs w:val="18"/>
              </w:rPr>
            </w:pPr>
            <w:r>
              <w:rPr>
                <w:sz w:val="18"/>
                <w:szCs w:val="18"/>
              </w:rPr>
              <w:t>Up in PE</w:t>
            </w:r>
          </w:p>
        </w:tc>
        <w:tc>
          <w:tcPr>
            <w:tcW w:w="709" w:type="dxa"/>
          </w:tcPr>
          <w:p w:rsidR="00722E52" w:rsidRDefault="00722E52" w:rsidP="009B2A14">
            <w:pPr>
              <w:spacing w:after="0"/>
              <w:jc w:val="center"/>
              <w:rPr>
                <w:sz w:val="18"/>
                <w:szCs w:val="18"/>
              </w:rPr>
            </w:pPr>
            <w:r>
              <w:rPr>
                <w:sz w:val="18"/>
                <w:szCs w:val="18"/>
              </w:rPr>
              <w:t>Yes</w:t>
            </w:r>
          </w:p>
        </w:tc>
        <w:tc>
          <w:tcPr>
            <w:tcW w:w="1805" w:type="dxa"/>
          </w:tcPr>
          <w:p w:rsidR="00722E52" w:rsidRDefault="00722E52" w:rsidP="009B2A14">
            <w:pPr>
              <w:spacing w:after="0"/>
              <w:jc w:val="center"/>
              <w:rPr>
                <w:sz w:val="18"/>
                <w:szCs w:val="18"/>
              </w:rPr>
            </w:pPr>
            <w:r>
              <w:rPr>
                <w:sz w:val="18"/>
                <w:szCs w:val="18"/>
              </w:rPr>
              <w:t>Kamali-Simsek 2021</w:t>
            </w:r>
          </w:p>
        </w:tc>
      </w:tr>
      <w:tr w:rsidR="00722E52" w:rsidRPr="00DE5B46" w:rsidTr="0056680A">
        <w:trPr>
          <w:jc w:val="center"/>
        </w:trPr>
        <w:tc>
          <w:tcPr>
            <w:tcW w:w="0" w:type="auto"/>
          </w:tcPr>
          <w:p w:rsidR="00722E52" w:rsidRDefault="00722E52" w:rsidP="00006F05">
            <w:pPr>
              <w:spacing w:after="0"/>
              <w:jc w:val="center"/>
              <w:rPr>
                <w:sz w:val="18"/>
                <w:szCs w:val="18"/>
              </w:rPr>
            </w:pPr>
            <w:r>
              <w:rPr>
                <w:sz w:val="18"/>
                <w:szCs w:val="18"/>
              </w:rPr>
              <w:t>33b-3p</w:t>
            </w:r>
          </w:p>
        </w:tc>
        <w:tc>
          <w:tcPr>
            <w:tcW w:w="2905" w:type="dxa"/>
          </w:tcPr>
          <w:p w:rsidR="00722E52" w:rsidRDefault="00722E52" w:rsidP="009B2A14">
            <w:pPr>
              <w:spacing w:after="0"/>
              <w:jc w:val="center"/>
              <w:rPr>
                <w:sz w:val="18"/>
                <w:szCs w:val="18"/>
              </w:rPr>
            </w:pPr>
            <w:r>
              <w:rPr>
                <w:sz w:val="18"/>
                <w:szCs w:val="18"/>
              </w:rPr>
              <w:t>Placenta (hDMSC)</w:t>
            </w:r>
          </w:p>
        </w:tc>
        <w:tc>
          <w:tcPr>
            <w:tcW w:w="2976" w:type="dxa"/>
          </w:tcPr>
          <w:p w:rsidR="00722E52" w:rsidRDefault="00722E52" w:rsidP="009B2A14">
            <w:pPr>
              <w:spacing w:after="0"/>
              <w:jc w:val="center"/>
              <w:rPr>
                <w:sz w:val="18"/>
                <w:szCs w:val="18"/>
              </w:rPr>
            </w:pPr>
            <w:r>
              <w:rPr>
                <w:sz w:val="18"/>
                <w:szCs w:val="18"/>
              </w:rPr>
              <w:t>Up in PE</w:t>
            </w:r>
          </w:p>
        </w:tc>
        <w:tc>
          <w:tcPr>
            <w:tcW w:w="709" w:type="dxa"/>
          </w:tcPr>
          <w:p w:rsidR="00722E52" w:rsidRDefault="00722E52" w:rsidP="009B2A14">
            <w:pPr>
              <w:spacing w:after="0"/>
              <w:jc w:val="center"/>
              <w:rPr>
                <w:sz w:val="18"/>
                <w:szCs w:val="18"/>
              </w:rPr>
            </w:pPr>
            <w:r>
              <w:rPr>
                <w:sz w:val="18"/>
                <w:szCs w:val="18"/>
              </w:rPr>
              <w:t>Yes</w:t>
            </w:r>
          </w:p>
        </w:tc>
        <w:tc>
          <w:tcPr>
            <w:tcW w:w="1805" w:type="dxa"/>
          </w:tcPr>
          <w:p w:rsidR="00722E52" w:rsidRDefault="00722E52" w:rsidP="009B2A14">
            <w:pPr>
              <w:spacing w:after="0"/>
              <w:jc w:val="center"/>
              <w:rPr>
                <w:sz w:val="18"/>
                <w:szCs w:val="18"/>
              </w:rPr>
            </w:pPr>
            <w:r>
              <w:rPr>
                <w:sz w:val="18"/>
                <w:szCs w:val="18"/>
              </w:rPr>
              <w:t>Kamali-Simsek 2021</w:t>
            </w:r>
          </w:p>
        </w:tc>
      </w:tr>
      <w:tr w:rsidR="00E75A64" w:rsidRPr="00DE5B46" w:rsidTr="0056680A">
        <w:trPr>
          <w:jc w:val="center"/>
        </w:trPr>
        <w:tc>
          <w:tcPr>
            <w:tcW w:w="0" w:type="auto"/>
          </w:tcPr>
          <w:p w:rsidR="00E75A64" w:rsidRDefault="00E75A64" w:rsidP="00006F05">
            <w:pPr>
              <w:spacing w:after="0"/>
              <w:jc w:val="center"/>
              <w:rPr>
                <w:sz w:val="18"/>
                <w:szCs w:val="18"/>
              </w:rPr>
            </w:pPr>
            <w:r>
              <w:rPr>
                <w:sz w:val="18"/>
                <w:szCs w:val="18"/>
              </w:rPr>
              <w:t>135-3p</w:t>
            </w:r>
          </w:p>
        </w:tc>
        <w:tc>
          <w:tcPr>
            <w:tcW w:w="2905" w:type="dxa"/>
          </w:tcPr>
          <w:p w:rsidR="00E75A64" w:rsidRDefault="00E75A64" w:rsidP="009B2A14">
            <w:pPr>
              <w:spacing w:after="0"/>
              <w:jc w:val="center"/>
              <w:rPr>
                <w:sz w:val="18"/>
                <w:szCs w:val="18"/>
              </w:rPr>
            </w:pPr>
            <w:r>
              <w:rPr>
                <w:sz w:val="18"/>
                <w:szCs w:val="18"/>
              </w:rPr>
              <w:t>Placenta</w:t>
            </w:r>
          </w:p>
        </w:tc>
        <w:tc>
          <w:tcPr>
            <w:tcW w:w="2976" w:type="dxa"/>
          </w:tcPr>
          <w:p w:rsidR="00E75A64" w:rsidRDefault="00E75A64" w:rsidP="009B2A14">
            <w:pPr>
              <w:spacing w:after="0"/>
              <w:jc w:val="center"/>
              <w:rPr>
                <w:sz w:val="18"/>
                <w:szCs w:val="18"/>
              </w:rPr>
            </w:pPr>
            <w:r>
              <w:rPr>
                <w:sz w:val="18"/>
                <w:szCs w:val="18"/>
              </w:rPr>
              <w:t>Down in PE</w:t>
            </w:r>
          </w:p>
        </w:tc>
        <w:tc>
          <w:tcPr>
            <w:tcW w:w="709" w:type="dxa"/>
          </w:tcPr>
          <w:p w:rsidR="00E75A64" w:rsidRDefault="00E75A64" w:rsidP="009B2A14">
            <w:pPr>
              <w:spacing w:after="0"/>
              <w:jc w:val="center"/>
              <w:rPr>
                <w:sz w:val="18"/>
                <w:szCs w:val="18"/>
              </w:rPr>
            </w:pPr>
            <w:r>
              <w:rPr>
                <w:sz w:val="18"/>
                <w:szCs w:val="18"/>
              </w:rPr>
              <w:t>Yes</w:t>
            </w:r>
          </w:p>
        </w:tc>
        <w:tc>
          <w:tcPr>
            <w:tcW w:w="1805" w:type="dxa"/>
          </w:tcPr>
          <w:p w:rsidR="00E75A64" w:rsidRDefault="00E75A64" w:rsidP="009B2A14">
            <w:pPr>
              <w:spacing w:after="0"/>
              <w:jc w:val="center"/>
              <w:rPr>
                <w:sz w:val="18"/>
                <w:szCs w:val="18"/>
              </w:rPr>
            </w:pPr>
            <w:r>
              <w:rPr>
                <w:sz w:val="18"/>
                <w:szCs w:val="18"/>
              </w:rPr>
              <w:t>Zhao 2021</w:t>
            </w:r>
          </w:p>
        </w:tc>
      </w:tr>
      <w:tr w:rsidR="00E75A64" w:rsidRPr="00DE5B46" w:rsidTr="0056680A">
        <w:trPr>
          <w:jc w:val="center"/>
        </w:trPr>
        <w:tc>
          <w:tcPr>
            <w:tcW w:w="0" w:type="auto"/>
          </w:tcPr>
          <w:p w:rsidR="00E75A64" w:rsidRDefault="00E75A64" w:rsidP="00006F05">
            <w:pPr>
              <w:spacing w:after="0"/>
              <w:jc w:val="center"/>
              <w:rPr>
                <w:sz w:val="18"/>
                <w:szCs w:val="18"/>
              </w:rPr>
            </w:pPr>
            <w:r>
              <w:rPr>
                <w:sz w:val="18"/>
                <w:szCs w:val="18"/>
              </w:rPr>
              <w:t>135-5p</w:t>
            </w:r>
          </w:p>
        </w:tc>
        <w:tc>
          <w:tcPr>
            <w:tcW w:w="2905" w:type="dxa"/>
          </w:tcPr>
          <w:p w:rsidR="00E75A64" w:rsidRDefault="00E75A64" w:rsidP="009B2A14">
            <w:pPr>
              <w:spacing w:after="0"/>
              <w:jc w:val="center"/>
              <w:rPr>
                <w:sz w:val="18"/>
                <w:szCs w:val="18"/>
              </w:rPr>
            </w:pPr>
            <w:r>
              <w:rPr>
                <w:sz w:val="18"/>
                <w:szCs w:val="18"/>
              </w:rPr>
              <w:t>Placenta</w:t>
            </w:r>
          </w:p>
        </w:tc>
        <w:tc>
          <w:tcPr>
            <w:tcW w:w="2976" w:type="dxa"/>
          </w:tcPr>
          <w:p w:rsidR="00E75A64" w:rsidRDefault="00E75A64" w:rsidP="009B2A14">
            <w:pPr>
              <w:spacing w:after="0"/>
              <w:jc w:val="center"/>
              <w:rPr>
                <w:sz w:val="18"/>
                <w:szCs w:val="18"/>
              </w:rPr>
            </w:pPr>
            <w:r>
              <w:rPr>
                <w:sz w:val="18"/>
                <w:szCs w:val="18"/>
              </w:rPr>
              <w:t>Down in PE</w:t>
            </w:r>
          </w:p>
        </w:tc>
        <w:tc>
          <w:tcPr>
            <w:tcW w:w="709" w:type="dxa"/>
          </w:tcPr>
          <w:p w:rsidR="00E75A64" w:rsidRDefault="00E75A64" w:rsidP="009B2A14">
            <w:pPr>
              <w:spacing w:after="0"/>
              <w:jc w:val="center"/>
              <w:rPr>
                <w:sz w:val="18"/>
                <w:szCs w:val="18"/>
              </w:rPr>
            </w:pPr>
            <w:r>
              <w:rPr>
                <w:sz w:val="18"/>
                <w:szCs w:val="18"/>
              </w:rPr>
              <w:t>Yes</w:t>
            </w:r>
          </w:p>
        </w:tc>
        <w:tc>
          <w:tcPr>
            <w:tcW w:w="1805" w:type="dxa"/>
          </w:tcPr>
          <w:p w:rsidR="00E75A64" w:rsidRDefault="00E75A64" w:rsidP="009B2A14">
            <w:pPr>
              <w:spacing w:after="0"/>
              <w:jc w:val="center"/>
              <w:rPr>
                <w:sz w:val="18"/>
                <w:szCs w:val="18"/>
              </w:rPr>
            </w:pPr>
            <w:r>
              <w:rPr>
                <w:sz w:val="18"/>
                <w:szCs w:val="18"/>
              </w:rPr>
              <w:t>Zhao 2021</w:t>
            </w:r>
          </w:p>
        </w:tc>
      </w:tr>
      <w:tr w:rsidR="00AB63D6" w:rsidRPr="00DE5B46" w:rsidTr="0056680A">
        <w:trPr>
          <w:jc w:val="center"/>
        </w:trPr>
        <w:tc>
          <w:tcPr>
            <w:tcW w:w="0" w:type="auto"/>
          </w:tcPr>
          <w:p w:rsidR="00AB63D6" w:rsidRDefault="00AB63D6" w:rsidP="00006F05">
            <w:pPr>
              <w:spacing w:after="0"/>
              <w:jc w:val="center"/>
              <w:rPr>
                <w:sz w:val="18"/>
                <w:szCs w:val="18"/>
              </w:rPr>
            </w:pPr>
            <w:r>
              <w:rPr>
                <w:sz w:val="18"/>
                <w:szCs w:val="18"/>
              </w:rPr>
              <w:lastRenderedPageBreak/>
              <w:t>27b-3p</w:t>
            </w:r>
          </w:p>
        </w:tc>
        <w:tc>
          <w:tcPr>
            <w:tcW w:w="2905" w:type="dxa"/>
          </w:tcPr>
          <w:p w:rsidR="00AB63D6" w:rsidRDefault="00AB63D6" w:rsidP="009B2A14">
            <w:pPr>
              <w:spacing w:after="0"/>
              <w:jc w:val="center"/>
              <w:rPr>
                <w:sz w:val="18"/>
                <w:szCs w:val="18"/>
              </w:rPr>
            </w:pPr>
            <w:r>
              <w:rPr>
                <w:sz w:val="18"/>
                <w:szCs w:val="18"/>
              </w:rPr>
              <w:t>MPB (serum)</w:t>
            </w:r>
          </w:p>
        </w:tc>
        <w:tc>
          <w:tcPr>
            <w:tcW w:w="2976" w:type="dxa"/>
          </w:tcPr>
          <w:p w:rsidR="00AB63D6" w:rsidRDefault="00AB63D6" w:rsidP="009B2A14">
            <w:pPr>
              <w:spacing w:after="0"/>
              <w:jc w:val="center"/>
              <w:rPr>
                <w:sz w:val="18"/>
                <w:szCs w:val="18"/>
              </w:rPr>
            </w:pPr>
            <w:r>
              <w:rPr>
                <w:sz w:val="18"/>
                <w:szCs w:val="18"/>
              </w:rPr>
              <w:t>Up in PE</w:t>
            </w:r>
          </w:p>
        </w:tc>
        <w:tc>
          <w:tcPr>
            <w:tcW w:w="709" w:type="dxa"/>
          </w:tcPr>
          <w:p w:rsidR="00AB63D6" w:rsidRDefault="00AB63D6" w:rsidP="009B2A14">
            <w:pPr>
              <w:spacing w:after="0"/>
              <w:jc w:val="center"/>
              <w:rPr>
                <w:sz w:val="18"/>
                <w:szCs w:val="18"/>
              </w:rPr>
            </w:pPr>
            <w:r>
              <w:rPr>
                <w:sz w:val="18"/>
                <w:szCs w:val="18"/>
              </w:rPr>
              <w:t>Yes</w:t>
            </w:r>
          </w:p>
        </w:tc>
        <w:tc>
          <w:tcPr>
            <w:tcW w:w="1805" w:type="dxa"/>
          </w:tcPr>
          <w:p w:rsidR="00AB63D6" w:rsidRDefault="00AB63D6" w:rsidP="009B2A14">
            <w:pPr>
              <w:spacing w:after="0"/>
              <w:jc w:val="center"/>
              <w:rPr>
                <w:sz w:val="18"/>
                <w:szCs w:val="18"/>
              </w:rPr>
            </w:pPr>
            <w:r>
              <w:rPr>
                <w:sz w:val="18"/>
                <w:szCs w:val="18"/>
              </w:rPr>
              <w:t>Zhu 2021</w:t>
            </w:r>
          </w:p>
        </w:tc>
      </w:tr>
    </w:tbl>
    <w:p w:rsidR="009B2A14" w:rsidRDefault="009B2A14" w:rsidP="001F349E">
      <w:pPr>
        <w:pStyle w:val="Heading1"/>
        <w:numPr>
          <w:ilvl w:val="0"/>
          <w:numId w:val="0"/>
        </w:numPr>
        <w:ind w:left="567"/>
      </w:pPr>
    </w:p>
    <w:p w:rsidR="009B2A14" w:rsidRDefault="009B2A14" w:rsidP="009B2A14">
      <w:pPr>
        <w:rPr>
          <w:rFonts w:eastAsia="Cambria" w:cs="Times New Roman"/>
          <w:szCs w:val="24"/>
        </w:rPr>
      </w:pPr>
      <w:r>
        <w:br w:type="page"/>
      </w:r>
    </w:p>
    <w:p w:rsidR="00994A3D" w:rsidRDefault="00994A3D" w:rsidP="00994A3D">
      <w:pPr>
        <w:pStyle w:val="Heading1"/>
        <w:keepNext/>
      </w:pPr>
      <w:r w:rsidRPr="0001436A">
        <w:lastRenderedPageBreak/>
        <w:t>Supplementary</w:t>
      </w:r>
      <w:r w:rsidRPr="001549D3">
        <w:t xml:space="preserve"> Figures</w:t>
      </w:r>
    </w:p>
    <w:p w:rsidR="00000000" w:rsidRDefault="003F696B">
      <w:r w:rsidRPr="00E33D6E">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94.5pt">
            <v:imagedata r:id="rId12" o:title="Figure 9"/>
          </v:shape>
        </w:pict>
      </w:r>
    </w:p>
    <w:p w:rsidR="00D34147" w:rsidRDefault="00D34147" w:rsidP="00D34147">
      <w:pPr>
        <w:rPr>
          <w:szCs w:val="24"/>
        </w:rPr>
      </w:pPr>
      <w:r w:rsidRPr="0001436A">
        <w:rPr>
          <w:rFonts w:cs="Times New Roman"/>
          <w:b/>
          <w:szCs w:val="24"/>
        </w:rPr>
        <w:t xml:space="preserve">Supplementary Figure </w:t>
      </w:r>
      <w:r w:rsidR="003F696B">
        <w:rPr>
          <w:rFonts w:cs="Times New Roman"/>
          <w:b/>
          <w:szCs w:val="24"/>
        </w:rPr>
        <w:t>S</w:t>
      </w:r>
      <w:r w:rsidR="00E33D6E" w:rsidRPr="0001436A">
        <w:rPr>
          <w:rFonts w:cs="Times New Roman"/>
          <w:b/>
          <w:szCs w:val="24"/>
        </w:rPr>
        <w:fldChar w:fldCharType="begin"/>
      </w:r>
      <w:r w:rsidRPr="0001436A">
        <w:rPr>
          <w:rFonts w:cs="Times New Roman"/>
          <w:b/>
          <w:szCs w:val="24"/>
        </w:rPr>
        <w:instrText xml:space="preserve"> SEQ Figure \* ARABIC </w:instrText>
      </w:r>
      <w:r w:rsidR="00E33D6E" w:rsidRPr="0001436A">
        <w:rPr>
          <w:rFonts w:cs="Times New Roman"/>
          <w:b/>
          <w:szCs w:val="24"/>
        </w:rPr>
        <w:fldChar w:fldCharType="separate"/>
      </w:r>
      <w:r>
        <w:rPr>
          <w:rFonts w:cs="Times New Roman"/>
          <w:b/>
          <w:noProof/>
          <w:szCs w:val="24"/>
        </w:rPr>
        <w:t>1</w:t>
      </w:r>
      <w:r w:rsidR="00E33D6E" w:rsidRPr="0001436A">
        <w:rPr>
          <w:rFonts w:cs="Times New Roman"/>
          <w:b/>
          <w:szCs w:val="24"/>
        </w:rPr>
        <w:fldChar w:fldCharType="end"/>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miRNA-17 in placenta between women with vs. without preeclampsia </w:t>
      </w:r>
      <w:r>
        <w:rPr>
          <w:rFonts w:cs="Times New Roman"/>
          <w:szCs w:val="24"/>
          <w:shd w:val="clear" w:color="auto" w:fill="FFFFFF"/>
        </w:rPr>
        <w:t>(SMD=0.</w:t>
      </w:r>
      <w:r w:rsidR="008D647E">
        <w:rPr>
          <w:rFonts w:cs="Times New Roman"/>
          <w:szCs w:val="24"/>
          <w:shd w:val="clear" w:color="auto" w:fill="FFFFFF"/>
        </w:rPr>
        <w:t>22</w:t>
      </w:r>
      <w:r>
        <w:rPr>
          <w:rFonts w:cs="Times New Roman"/>
          <w:szCs w:val="24"/>
          <w:shd w:val="clear" w:color="auto" w:fill="FFFFFF"/>
        </w:rPr>
        <w:t>, 95%CI=-</w:t>
      </w:r>
      <w:r w:rsidR="000E783D">
        <w:rPr>
          <w:rFonts w:cs="Times New Roman"/>
          <w:szCs w:val="24"/>
          <w:shd w:val="clear" w:color="auto" w:fill="FFFFFF"/>
        </w:rPr>
        <w:t>1.</w:t>
      </w:r>
      <w:r w:rsidR="008D647E">
        <w:rPr>
          <w:rFonts w:cs="Times New Roman"/>
          <w:szCs w:val="24"/>
          <w:shd w:val="clear" w:color="auto" w:fill="FFFFFF"/>
        </w:rPr>
        <w:t>35</w:t>
      </w:r>
      <w:r>
        <w:rPr>
          <w:rFonts w:cs="Times New Roman"/>
          <w:szCs w:val="24"/>
          <w:shd w:val="clear" w:color="auto" w:fill="FFFFFF"/>
        </w:rPr>
        <w:t>-</w:t>
      </w:r>
      <w:r w:rsidR="000E783D">
        <w:rPr>
          <w:rFonts w:cs="Times New Roman"/>
          <w:szCs w:val="24"/>
          <w:shd w:val="clear" w:color="auto" w:fill="FFFFFF"/>
        </w:rPr>
        <w:t>1.</w:t>
      </w:r>
      <w:r w:rsidR="008D647E">
        <w:rPr>
          <w:rFonts w:cs="Times New Roman"/>
          <w:szCs w:val="24"/>
          <w:shd w:val="clear" w:color="auto" w:fill="FFFFFF"/>
        </w:rPr>
        <w:t>79</w:t>
      </w:r>
      <w:r>
        <w:rPr>
          <w:rFonts w:cs="Times New Roman"/>
          <w:szCs w:val="24"/>
          <w:shd w:val="clear" w:color="auto" w:fill="FFFFFF"/>
        </w:rPr>
        <w:t>, p=0.</w:t>
      </w:r>
      <w:r w:rsidR="008D647E">
        <w:rPr>
          <w:rFonts w:cs="Times New Roman"/>
          <w:szCs w:val="24"/>
          <w:shd w:val="clear" w:color="auto" w:fill="FFFFFF"/>
        </w:rPr>
        <w:t>790</w:t>
      </w:r>
      <w:r>
        <w:rPr>
          <w:rFonts w:cs="Times New Roman"/>
          <w:szCs w:val="24"/>
          <w:shd w:val="clear" w:color="auto" w:fill="FFFFFF"/>
        </w:rPr>
        <w:t>)</w:t>
      </w:r>
      <w:r>
        <w:rPr>
          <w:szCs w:val="24"/>
        </w:rPr>
        <w:t>.</w:t>
      </w:r>
    </w:p>
    <w:p w:rsidR="00000000" w:rsidRDefault="003F696B">
      <w:r>
        <w:pict>
          <v:shape id="_x0000_i1026" type="#_x0000_t75" style="width:489pt;height:97.5pt">
            <v:imagedata r:id="rId13" o:title="Figure 10"/>
          </v:shape>
        </w:pict>
      </w:r>
    </w:p>
    <w:p w:rsidR="00D34147" w:rsidRDefault="00D34147" w:rsidP="00D34147">
      <w:pPr>
        <w:rPr>
          <w:szCs w:val="24"/>
        </w:rPr>
      </w:pPr>
      <w:r w:rsidRPr="0001436A">
        <w:rPr>
          <w:rFonts w:cs="Times New Roman"/>
          <w:b/>
          <w:szCs w:val="24"/>
        </w:rPr>
        <w:t xml:space="preserve">Supplementary Figure </w:t>
      </w:r>
      <w:r w:rsidR="003F696B">
        <w:rPr>
          <w:rFonts w:cs="Times New Roman"/>
          <w:b/>
          <w:szCs w:val="24"/>
        </w:rPr>
        <w:t>S</w:t>
      </w:r>
      <w:r>
        <w:rPr>
          <w:rFonts w:cs="Times New Roman"/>
          <w:b/>
          <w:szCs w:val="24"/>
        </w:rPr>
        <w:t>2</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miRNA-30-3p in placenta between women with vs. without preeclampsia </w:t>
      </w:r>
      <w:r>
        <w:rPr>
          <w:rFonts w:cs="Times New Roman"/>
          <w:szCs w:val="24"/>
          <w:shd w:val="clear" w:color="auto" w:fill="FFFFFF"/>
        </w:rPr>
        <w:t>(SMD=</w:t>
      </w:r>
      <w:r w:rsidR="000E783D">
        <w:rPr>
          <w:rFonts w:cs="Times New Roman"/>
          <w:szCs w:val="24"/>
          <w:shd w:val="clear" w:color="auto" w:fill="FFFFFF"/>
        </w:rPr>
        <w:t>1.</w:t>
      </w:r>
      <w:r w:rsidR="008D647E">
        <w:rPr>
          <w:rFonts w:cs="Times New Roman"/>
          <w:szCs w:val="24"/>
          <w:shd w:val="clear" w:color="auto" w:fill="FFFFFF"/>
        </w:rPr>
        <w:t>00</w:t>
      </w:r>
      <w:r>
        <w:rPr>
          <w:rFonts w:cs="Times New Roman"/>
          <w:szCs w:val="24"/>
          <w:shd w:val="clear" w:color="auto" w:fill="FFFFFF"/>
        </w:rPr>
        <w:t>, 95%CI=-0.</w:t>
      </w:r>
      <w:r w:rsidR="008D647E">
        <w:rPr>
          <w:rFonts w:cs="Times New Roman"/>
          <w:szCs w:val="24"/>
          <w:shd w:val="clear" w:color="auto" w:fill="FFFFFF"/>
        </w:rPr>
        <w:t>50</w:t>
      </w:r>
      <w:r>
        <w:rPr>
          <w:rFonts w:cs="Times New Roman"/>
          <w:szCs w:val="24"/>
          <w:shd w:val="clear" w:color="auto" w:fill="FFFFFF"/>
        </w:rPr>
        <w:t>-</w:t>
      </w:r>
      <w:r w:rsidR="000E783D">
        <w:rPr>
          <w:rFonts w:cs="Times New Roman"/>
          <w:szCs w:val="24"/>
          <w:shd w:val="clear" w:color="auto" w:fill="FFFFFF"/>
        </w:rPr>
        <w:t>2.</w:t>
      </w:r>
      <w:r w:rsidR="008D647E">
        <w:rPr>
          <w:rFonts w:cs="Times New Roman"/>
          <w:szCs w:val="24"/>
          <w:shd w:val="clear" w:color="auto" w:fill="FFFFFF"/>
        </w:rPr>
        <w:t>50</w:t>
      </w:r>
      <w:r>
        <w:rPr>
          <w:rFonts w:cs="Times New Roman"/>
          <w:szCs w:val="24"/>
          <w:shd w:val="clear" w:color="auto" w:fill="FFFFFF"/>
        </w:rPr>
        <w:t>, p=0.</w:t>
      </w:r>
      <w:r w:rsidR="008D647E">
        <w:rPr>
          <w:rFonts w:cs="Times New Roman"/>
          <w:szCs w:val="24"/>
          <w:shd w:val="clear" w:color="auto" w:fill="FFFFFF"/>
        </w:rPr>
        <w:t>190</w:t>
      </w:r>
      <w:r>
        <w:rPr>
          <w:rFonts w:cs="Times New Roman"/>
          <w:szCs w:val="24"/>
          <w:shd w:val="clear" w:color="auto" w:fill="FFFFFF"/>
        </w:rPr>
        <w:t>)</w:t>
      </w:r>
      <w:r>
        <w:rPr>
          <w:szCs w:val="24"/>
        </w:rPr>
        <w:t>.</w:t>
      </w:r>
    </w:p>
    <w:p w:rsidR="00000000" w:rsidRDefault="003F696B">
      <w:r>
        <w:pict>
          <v:shape id="_x0000_i1027" type="#_x0000_t75" style="width:489pt;height:182.25pt">
            <v:imagedata r:id="rId14" o:title="Figure 11"/>
          </v:shape>
        </w:pict>
      </w:r>
    </w:p>
    <w:p w:rsidR="008D647E" w:rsidRDefault="008D647E" w:rsidP="008D647E">
      <w:pPr>
        <w:rPr>
          <w:szCs w:val="24"/>
        </w:rPr>
      </w:pPr>
      <w:r w:rsidRPr="0001436A">
        <w:rPr>
          <w:rFonts w:cs="Times New Roman"/>
          <w:b/>
          <w:szCs w:val="24"/>
        </w:rPr>
        <w:t xml:space="preserve">Supplementary Figure </w:t>
      </w:r>
      <w:r w:rsidR="003F696B">
        <w:rPr>
          <w:rFonts w:cs="Times New Roman"/>
          <w:b/>
          <w:szCs w:val="24"/>
        </w:rPr>
        <w:t>S</w:t>
      </w:r>
      <w:r>
        <w:rPr>
          <w:rFonts w:cs="Times New Roman"/>
          <w:b/>
          <w:szCs w:val="24"/>
        </w:rPr>
        <w:t>3</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miRNA-181a in placenta between women with vs. without preeclampsia </w:t>
      </w:r>
      <w:r>
        <w:rPr>
          <w:rFonts w:cs="Times New Roman"/>
          <w:szCs w:val="24"/>
          <w:shd w:val="clear" w:color="auto" w:fill="FFFFFF"/>
        </w:rPr>
        <w:t>(SMD=</w:t>
      </w:r>
      <w:r w:rsidR="000E783D">
        <w:rPr>
          <w:rFonts w:cs="Times New Roman"/>
          <w:szCs w:val="24"/>
          <w:shd w:val="clear" w:color="auto" w:fill="FFFFFF"/>
        </w:rPr>
        <w:t>0.</w:t>
      </w:r>
      <w:r>
        <w:rPr>
          <w:rFonts w:cs="Times New Roman"/>
          <w:szCs w:val="24"/>
          <w:shd w:val="clear" w:color="auto" w:fill="FFFFFF"/>
        </w:rPr>
        <w:t>05, 95%CI=-0.99-</w:t>
      </w:r>
      <w:r w:rsidR="000E783D">
        <w:rPr>
          <w:rFonts w:cs="Times New Roman"/>
          <w:szCs w:val="24"/>
          <w:shd w:val="clear" w:color="auto" w:fill="FFFFFF"/>
        </w:rPr>
        <w:t>1.</w:t>
      </w:r>
      <w:r>
        <w:rPr>
          <w:rFonts w:cs="Times New Roman"/>
          <w:szCs w:val="24"/>
          <w:shd w:val="clear" w:color="auto" w:fill="FFFFFF"/>
        </w:rPr>
        <w:t>08, p=0.930)</w:t>
      </w:r>
      <w:r>
        <w:rPr>
          <w:szCs w:val="24"/>
        </w:rPr>
        <w:t>.</w:t>
      </w:r>
    </w:p>
    <w:p w:rsidR="008D647E" w:rsidRDefault="003F696B" w:rsidP="008D647E">
      <w:pPr>
        <w:rPr>
          <w:szCs w:val="24"/>
        </w:rPr>
      </w:pPr>
      <w:r w:rsidRPr="00E33D6E">
        <w:rPr>
          <w:szCs w:val="24"/>
        </w:rPr>
        <w:pict>
          <v:shape id="_x0000_i1028" type="#_x0000_t75" style="width:488.25pt;height:90pt">
            <v:imagedata r:id="rId15" o:title="Figure 13"/>
          </v:shape>
        </w:pict>
      </w:r>
    </w:p>
    <w:p w:rsidR="008D647E" w:rsidRDefault="008D647E" w:rsidP="008D647E">
      <w:pPr>
        <w:rPr>
          <w:szCs w:val="24"/>
        </w:rPr>
      </w:pPr>
      <w:r w:rsidRPr="0001436A">
        <w:rPr>
          <w:rFonts w:cs="Times New Roman"/>
          <w:b/>
          <w:szCs w:val="24"/>
        </w:rPr>
        <w:lastRenderedPageBreak/>
        <w:t xml:space="preserve">Supplementary Figure </w:t>
      </w:r>
      <w:r w:rsidR="003F696B">
        <w:rPr>
          <w:rFonts w:cs="Times New Roman"/>
          <w:b/>
          <w:szCs w:val="24"/>
        </w:rPr>
        <w:t>S</w:t>
      </w:r>
      <w:r>
        <w:rPr>
          <w:rFonts w:cs="Times New Roman"/>
          <w:b/>
          <w:szCs w:val="24"/>
        </w:rPr>
        <w:t>4</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miRNA-195 in placenta between women with vs. without preeclampsia </w:t>
      </w:r>
      <w:r>
        <w:rPr>
          <w:rFonts w:cs="Times New Roman"/>
          <w:szCs w:val="24"/>
          <w:shd w:val="clear" w:color="auto" w:fill="FFFFFF"/>
        </w:rPr>
        <w:t>(SMD=</w:t>
      </w:r>
      <w:r w:rsidR="000E783D">
        <w:rPr>
          <w:rFonts w:cs="Times New Roman"/>
          <w:szCs w:val="24"/>
          <w:shd w:val="clear" w:color="auto" w:fill="FFFFFF"/>
        </w:rPr>
        <w:t>-0.</w:t>
      </w:r>
      <w:r>
        <w:rPr>
          <w:rFonts w:cs="Times New Roman"/>
          <w:szCs w:val="24"/>
          <w:shd w:val="clear" w:color="auto" w:fill="FFFFFF"/>
        </w:rPr>
        <w:t>16, 95%CI=-</w:t>
      </w:r>
      <w:r w:rsidR="000E783D">
        <w:rPr>
          <w:rFonts w:cs="Times New Roman"/>
          <w:szCs w:val="24"/>
          <w:shd w:val="clear" w:color="auto" w:fill="FFFFFF"/>
        </w:rPr>
        <w:t>1.</w:t>
      </w:r>
      <w:r>
        <w:rPr>
          <w:rFonts w:cs="Times New Roman"/>
          <w:szCs w:val="24"/>
          <w:shd w:val="clear" w:color="auto" w:fill="FFFFFF"/>
        </w:rPr>
        <w:t>35-</w:t>
      </w:r>
      <w:r w:rsidR="000E783D">
        <w:rPr>
          <w:rFonts w:cs="Times New Roman"/>
          <w:szCs w:val="24"/>
          <w:shd w:val="clear" w:color="auto" w:fill="FFFFFF"/>
        </w:rPr>
        <w:t>1.</w:t>
      </w:r>
      <w:r>
        <w:rPr>
          <w:rFonts w:cs="Times New Roman"/>
          <w:szCs w:val="24"/>
          <w:shd w:val="clear" w:color="auto" w:fill="FFFFFF"/>
        </w:rPr>
        <w:t>02, p=0.780)</w:t>
      </w:r>
      <w:r>
        <w:rPr>
          <w:szCs w:val="24"/>
        </w:rPr>
        <w:t>.</w:t>
      </w:r>
    </w:p>
    <w:p w:rsidR="008D647E" w:rsidRDefault="003F696B" w:rsidP="008D647E">
      <w:pPr>
        <w:rPr>
          <w:szCs w:val="24"/>
        </w:rPr>
      </w:pPr>
      <w:r w:rsidRPr="00E33D6E">
        <w:rPr>
          <w:szCs w:val="24"/>
        </w:rPr>
        <w:pict>
          <v:shape id="_x0000_i1029" type="#_x0000_t75" style="width:488.25pt;height:87.75pt">
            <v:imagedata r:id="rId16" o:title="Forest plot miRNA17-5p MPB"/>
          </v:shape>
        </w:pict>
      </w:r>
    </w:p>
    <w:p w:rsidR="00B703FB" w:rsidRDefault="00B703FB" w:rsidP="00B703FB">
      <w:pPr>
        <w:rPr>
          <w:szCs w:val="24"/>
        </w:rPr>
      </w:pPr>
      <w:r w:rsidRPr="0001436A">
        <w:rPr>
          <w:rFonts w:cs="Times New Roman"/>
          <w:b/>
          <w:szCs w:val="24"/>
        </w:rPr>
        <w:t xml:space="preserve">Supplementary Figure </w:t>
      </w:r>
      <w:r w:rsidR="003F696B">
        <w:rPr>
          <w:rFonts w:cs="Times New Roman"/>
          <w:b/>
          <w:szCs w:val="24"/>
        </w:rPr>
        <w:t>S</w:t>
      </w:r>
      <w:r>
        <w:rPr>
          <w:rFonts w:cs="Times New Roman"/>
          <w:b/>
          <w:szCs w:val="24"/>
        </w:rPr>
        <w:t>5</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miRNA-17 in peripheral blood between women with vs. without preeclampsia </w:t>
      </w:r>
      <w:r>
        <w:rPr>
          <w:rFonts w:cs="Times New Roman"/>
          <w:szCs w:val="24"/>
          <w:shd w:val="clear" w:color="auto" w:fill="FFFFFF"/>
        </w:rPr>
        <w:t>(SMD=</w:t>
      </w:r>
      <w:r w:rsidR="000E783D">
        <w:rPr>
          <w:rFonts w:cs="Times New Roman"/>
          <w:szCs w:val="24"/>
          <w:shd w:val="clear" w:color="auto" w:fill="FFFFFF"/>
        </w:rPr>
        <w:t>0.</w:t>
      </w:r>
      <w:r>
        <w:rPr>
          <w:rFonts w:cs="Times New Roman"/>
          <w:szCs w:val="24"/>
          <w:shd w:val="clear" w:color="auto" w:fill="FFFFFF"/>
        </w:rPr>
        <w:t>08, 95%CI=-</w:t>
      </w:r>
      <w:r w:rsidR="000E783D">
        <w:rPr>
          <w:rFonts w:cs="Times New Roman"/>
          <w:szCs w:val="24"/>
          <w:shd w:val="clear" w:color="auto" w:fill="FFFFFF"/>
        </w:rPr>
        <w:t>0.</w:t>
      </w:r>
      <w:r>
        <w:rPr>
          <w:rFonts w:cs="Times New Roman"/>
          <w:szCs w:val="24"/>
          <w:shd w:val="clear" w:color="auto" w:fill="FFFFFF"/>
        </w:rPr>
        <w:t>74-</w:t>
      </w:r>
      <w:r w:rsidR="000E783D">
        <w:rPr>
          <w:rFonts w:cs="Times New Roman"/>
          <w:szCs w:val="24"/>
          <w:shd w:val="clear" w:color="auto" w:fill="FFFFFF"/>
        </w:rPr>
        <w:t>0.</w:t>
      </w:r>
      <w:r>
        <w:rPr>
          <w:rFonts w:cs="Times New Roman"/>
          <w:szCs w:val="24"/>
          <w:shd w:val="clear" w:color="auto" w:fill="FFFFFF"/>
        </w:rPr>
        <w:t>90, p=0.850)</w:t>
      </w:r>
      <w:r>
        <w:rPr>
          <w:szCs w:val="24"/>
        </w:rPr>
        <w:t>.</w:t>
      </w:r>
    </w:p>
    <w:p w:rsidR="00B703FB" w:rsidRDefault="003F696B" w:rsidP="008D647E">
      <w:pPr>
        <w:rPr>
          <w:szCs w:val="24"/>
        </w:rPr>
      </w:pPr>
      <w:r w:rsidRPr="00E33D6E">
        <w:rPr>
          <w:szCs w:val="24"/>
        </w:rPr>
        <w:pict>
          <v:shape id="_x0000_i1030" type="#_x0000_t75" style="width:489pt;height:88.5pt">
            <v:imagedata r:id="rId17" o:title="Forest plot miRNA29a-3p MPB"/>
          </v:shape>
        </w:pict>
      </w:r>
    </w:p>
    <w:p w:rsidR="000E783D" w:rsidRDefault="000E783D" w:rsidP="000E783D">
      <w:pPr>
        <w:rPr>
          <w:szCs w:val="24"/>
        </w:rPr>
      </w:pPr>
      <w:r w:rsidRPr="0001436A">
        <w:rPr>
          <w:rFonts w:cs="Times New Roman"/>
          <w:b/>
          <w:szCs w:val="24"/>
        </w:rPr>
        <w:t xml:space="preserve">Supplementary Figure </w:t>
      </w:r>
      <w:r w:rsidR="003F696B">
        <w:rPr>
          <w:rFonts w:cs="Times New Roman"/>
          <w:b/>
          <w:szCs w:val="24"/>
        </w:rPr>
        <w:t>S</w:t>
      </w:r>
      <w:r>
        <w:rPr>
          <w:rFonts w:cs="Times New Roman"/>
          <w:b/>
          <w:szCs w:val="24"/>
        </w:rPr>
        <w:t>6</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miRNA-29a-3p in peripheral blood between women with vs. without preeclampsia </w:t>
      </w:r>
      <w:r>
        <w:rPr>
          <w:rFonts w:cs="Times New Roman"/>
          <w:szCs w:val="24"/>
          <w:shd w:val="clear" w:color="auto" w:fill="FFFFFF"/>
        </w:rPr>
        <w:t>(SMD=-0.29, 95%CI=-1.22-0.64, p=0.540)</w:t>
      </w:r>
      <w:r>
        <w:rPr>
          <w:szCs w:val="24"/>
        </w:rPr>
        <w:t>.</w:t>
      </w:r>
    </w:p>
    <w:p w:rsidR="000E783D" w:rsidRDefault="003F696B" w:rsidP="008D647E">
      <w:pPr>
        <w:rPr>
          <w:szCs w:val="24"/>
        </w:rPr>
      </w:pPr>
      <w:r w:rsidRPr="00E33D6E">
        <w:rPr>
          <w:szCs w:val="24"/>
        </w:rPr>
        <w:pict>
          <v:shape id="_x0000_i1031" type="#_x0000_t75" style="width:488.25pt;height:90pt">
            <v:imagedata r:id="rId18" o:title="Forest plot miRNA155-5p MPB"/>
          </v:shape>
        </w:pict>
      </w:r>
    </w:p>
    <w:p w:rsidR="00EC4DFF" w:rsidRDefault="00EC4DFF" w:rsidP="00EC4DFF">
      <w:pPr>
        <w:rPr>
          <w:szCs w:val="24"/>
        </w:rPr>
      </w:pPr>
      <w:r w:rsidRPr="0001436A">
        <w:rPr>
          <w:rFonts w:cs="Times New Roman"/>
          <w:b/>
          <w:szCs w:val="24"/>
        </w:rPr>
        <w:t xml:space="preserve">Supplementary Figure </w:t>
      </w:r>
      <w:r w:rsidR="003F696B">
        <w:rPr>
          <w:rFonts w:cs="Times New Roman"/>
          <w:b/>
          <w:szCs w:val="24"/>
        </w:rPr>
        <w:t>S</w:t>
      </w:r>
      <w:r>
        <w:rPr>
          <w:rFonts w:cs="Times New Roman"/>
          <w:b/>
          <w:szCs w:val="24"/>
        </w:rPr>
        <w:t>7</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miRNA-155-5p in peripheral blood between women with vs. without preeclampsia </w:t>
      </w:r>
      <w:r>
        <w:rPr>
          <w:rFonts w:cs="Times New Roman"/>
          <w:szCs w:val="24"/>
          <w:shd w:val="clear" w:color="auto" w:fill="FFFFFF"/>
        </w:rPr>
        <w:t>(SMD=-0.37, 95%CI=-1.07-0.33, p=0.300)</w:t>
      </w:r>
      <w:r>
        <w:rPr>
          <w:szCs w:val="24"/>
        </w:rPr>
        <w:t>.</w:t>
      </w:r>
    </w:p>
    <w:p w:rsidR="00EC4DFF" w:rsidRDefault="003F696B" w:rsidP="008D647E">
      <w:pPr>
        <w:rPr>
          <w:szCs w:val="24"/>
        </w:rPr>
      </w:pPr>
      <w:r w:rsidRPr="00E33D6E">
        <w:rPr>
          <w:szCs w:val="24"/>
        </w:rPr>
        <w:pict>
          <v:shape id="_x0000_i1032" type="#_x0000_t75" style="width:489pt;height:91.5pt">
            <v:imagedata r:id="rId19" o:title="Figure 12"/>
          </v:shape>
        </w:pict>
      </w:r>
    </w:p>
    <w:p w:rsidR="00AC56E0" w:rsidRDefault="00AC56E0" w:rsidP="00AC56E0">
      <w:pPr>
        <w:rPr>
          <w:szCs w:val="24"/>
        </w:rPr>
      </w:pPr>
      <w:r w:rsidRPr="0001436A">
        <w:rPr>
          <w:rFonts w:cs="Times New Roman"/>
          <w:b/>
          <w:szCs w:val="24"/>
        </w:rPr>
        <w:t xml:space="preserve">Supplementary Figure </w:t>
      </w:r>
      <w:r w:rsidR="003F696B">
        <w:rPr>
          <w:rFonts w:cs="Times New Roman"/>
          <w:b/>
          <w:szCs w:val="24"/>
        </w:rPr>
        <w:t>S</w:t>
      </w:r>
      <w:r>
        <w:rPr>
          <w:rFonts w:cs="Times New Roman"/>
          <w:b/>
          <w:szCs w:val="24"/>
        </w:rPr>
        <w:t>8</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miRNA-181a in peripheral blood between women with vs. without preeclampsia </w:t>
      </w:r>
      <w:r>
        <w:rPr>
          <w:rFonts w:cs="Times New Roman"/>
          <w:szCs w:val="24"/>
          <w:shd w:val="clear" w:color="auto" w:fill="FFFFFF"/>
        </w:rPr>
        <w:t>(SMD=0.22, 95%CI=-0.42-0.86, p=0.500)</w:t>
      </w:r>
      <w:r>
        <w:rPr>
          <w:szCs w:val="24"/>
        </w:rPr>
        <w:t>.</w:t>
      </w:r>
    </w:p>
    <w:p w:rsidR="00AC56E0" w:rsidRDefault="003F696B" w:rsidP="008D647E">
      <w:pPr>
        <w:rPr>
          <w:szCs w:val="24"/>
        </w:rPr>
      </w:pPr>
      <w:r w:rsidRPr="00E33D6E">
        <w:rPr>
          <w:szCs w:val="24"/>
        </w:rPr>
        <w:lastRenderedPageBreak/>
        <w:pict>
          <v:shape id="_x0000_i1033" type="#_x0000_t75" style="width:488.25pt;height:103.5pt">
            <v:imagedata r:id="rId20" o:title="Forest plot miRNA210 MPB"/>
          </v:shape>
        </w:pict>
      </w:r>
    </w:p>
    <w:p w:rsidR="00EF2DC6" w:rsidRDefault="00EF2DC6" w:rsidP="00EF2DC6">
      <w:pPr>
        <w:rPr>
          <w:szCs w:val="24"/>
        </w:rPr>
      </w:pPr>
      <w:r w:rsidRPr="0001436A">
        <w:rPr>
          <w:rFonts w:cs="Times New Roman"/>
          <w:b/>
          <w:szCs w:val="24"/>
        </w:rPr>
        <w:t xml:space="preserve">Supplementary Figure </w:t>
      </w:r>
      <w:r w:rsidR="003F696B">
        <w:rPr>
          <w:rFonts w:cs="Times New Roman"/>
          <w:b/>
          <w:szCs w:val="24"/>
        </w:rPr>
        <w:t>S</w:t>
      </w:r>
      <w:r>
        <w:rPr>
          <w:rFonts w:cs="Times New Roman"/>
          <w:b/>
          <w:szCs w:val="24"/>
        </w:rPr>
        <w:t>9</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miRNA-210 in peripheral blood between women with vs. without preeclampsia </w:t>
      </w:r>
      <w:r>
        <w:rPr>
          <w:rFonts w:cs="Times New Roman"/>
          <w:szCs w:val="24"/>
          <w:shd w:val="clear" w:color="auto" w:fill="FFFFFF"/>
        </w:rPr>
        <w:t>(SMD=0.48, 95%CI=-0.66-1.62, p=0.410)</w:t>
      </w:r>
      <w:r>
        <w:rPr>
          <w:szCs w:val="24"/>
        </w:rPr>
        <w:t>.</w:t>
      </w:r>
    </w:p>
    <w:p w:rsidR="00000000" w:rsidRDefault="00587BC8"/>
    <w:p w:rsidR="00994A3D" w:rsidRPr="001549D3" w:rsidRDefault="00292D3E" w:rsidP="00994A3D">
      <w:pPr>
        <w:keepNext/>
        <w:jc w:val="center"/>
        <w:rPr>
          <w:rFonts w:cs="Times New Roman"/>
          <w:szCs w:val="24"/>
        </w:rPr>
      </w:pPr>
      <w:r>
        <w:rPr>
          <w:rFonts w:cs="Times New Roman"/>
          <w:noProof/>
          <w:szCs w:val="24"/>
        </w:rPr>
        <w:lastRenderedPageBreak/>
        <w:drawing>
          <wp:inline distT="0" distB="0" distL="0" distR="0">
            <wp:extent cx="5841061" cy="1070160"/>
            <wp:effectExtent l="19050" t="0" r="7289" b="0"/>
            <wp:docPr id="3" name="Picture 3" descr="E:\TO_SAVE\Epigenetics\Article2\miRNA Plos genetics\Frontiers\supplement figures\Forest miRNA16 placenta sensitivi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_SAVE\Epigenetics\Article2\miRNA Plos genetics\Frontiers\supplement figures\Forest miRNA16 placenta sensitivity.tiff"/>
                    <pic:cNvPicPr>
                      <a:picLocks noChangeAspect="1" noChangeArrowheads="1"/>
                    </pic:cNvPicPr>
                  </pic:nvPicPr>
                  <pic:blipFill>
                    <a:blip r:embed="rId21" cstate="print"/>
                    <a:srcRect/>
                    <a:stretch>
                      <a:fillRect/>
                    </a:stretch>
                  </pic:blipFill>
                  <pic:spPr bwMode="auto">
                    <a:xfrm>
                      <a:off x="0" y="0"/>
                      <a:ext cx="5852383" cy="1072234"/>
                    </a:xfrm>
                    <a:prstGeom prst="rect">
                      <a:avLst/>
                    </a:prstGeom>
                    <a:noFill/>
                    <a:ln w="9525">
                      <a:noFill/>
                      <a:miter lim="800000"/>
                      <a:headEnd/>
                      <a:tailEnd/>
                    </a:ln>
                  </pic:spPr>
                </pic:pic>
              </a:graphicData>
            </a:graphic>
          </wp:inline>
        </w:drawing>
      </w:r>
    </w:p>
    <w:p w:rsidR="00994A3D" w:rsidRDefault="00994A3D"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E33D6E" w:rsidRPr="0001436A">
        <w:rPr>
          <w:rFonts w:cs="Times New Roman"/>
          <w:b/>
          <w:szCs w:val="24"/>
        </w:rPr>
        <w:fldChar w:fldCharType="begin"/>
      </w:r>
      <w:r w:rsidRPr="0001436A">
        <w:rPr>
          <w:rFonts w:cs="Times New Roman"/>
          <w:b/>
          <w:szCs w:val="24"/>
        </w:rPr>
        <w:instrText xml:space="preserve"> SEQ Figure \* ARABIC </w:instrText>
      </w:r>
      <w:r w:rsidR="00E33D6E" w:rsidRPr="0001436A">
        <w:rPr>
          <w:rFonts w:cs="Times New Roman"/>
          <w:b/>
          <w:szCs w:val="24"/>
        </w:rPr>
        <w:fldChar w:fldCharType="separate"/>
      </w:r>
      <w:r w:rsidR="00ED20B5">
        <w:rPr>
          <w:rFonts w:cs="Times New Roman"/>
          <w:b/>
          <w:noProof/>
          <w:szCs w:val="24"/>
        </w:rPr>
        <w:t>1</w:t>
      </w:r>
      <w:r w:rsidR="00E33D6E" w:rsidRPr="0001436A">
        <w:rPr>
          <w:rFonts w:cs="Times New Roman"/>
          <w:b/>
          <w:szCs w:val="24"/>
        </w:rPr>
        <w:fldChar w:fldCharType="end"/>
      </w:r>
      <w:r w:rsidR="004007B1">
        <w:rPr>
          <w:rFonts w:cs="Times New Roman"/>
          <w:b/>
          <w:szCs w:val="24"/>
        </w:rPr>
        <w:t>0</w:t>
      </w:r>
      <w:r w:rsidRPr="0001436A">
        <w:rPr>
          <w:rFonts w:cs="Times New Roman"/>
          <w:b/>
          <w:szCs w:val="24"/>
        </w:rPr>
        <w:t>.</w:t>
      </w:r>
      <w:r w:rsidR="00292D3E">
        <w:rPr>
          <w:rFonts w:cs="Times New Roman"/>
          <w:szCs w:val="24"/>
        </w:rPr>
        <w:t xml:space="preserve"> </w:t>
      </w:r>
      <w:r w:rsidR="00292D3E" w:rsidRPr="00896406">
        <w:rPr>
          <w:szCs w:val="24"/>
        </w:rPr>
        <w:t>Meta-anal</w:t>
      </w:r>
      <w:r w:rsidR="00292D3E">
        <w:rPr>
          <w:szCs w:val="24"/>
        </w:rPr>
        <w:t>ysis of differences in expression level of miRNA-16 in placenta between women with vs. without preeclampsia (sensitivity analysis)</w:t>
      </w:r>
      <w:r w:rsidR="000F74CB">
        <w:rPr>
          <w:szCs w:val="24"/>
        </w:rPr>
        <w:t xml:space="preserve">. </w:t>
      </w:r>
      <w:r w:rsidR="000F74CB">
        <w:rPr>
          <w:szCs w:val="24"/>
          <w:lang w:val="en-GB"/>
        </w:rPr>
        <w:t>Sensitivity analysis after excluding study with not-specified type of PE showed the same result as the first analysis (SMD=0.62 (95%CI=0.26-0.97); p=0.001).</w:t>
      </w:r>
    </w:p>
    <w:p w:rsidR="00292D3E" w:rsidRDefault="00292D3E" w:rsidP="002B4A57">
      <w:pPr>
        <w:keepNext/>
        <w:rPr>
          <w:szCs w:val="24"/>
        </w:rPr>
      </w:pPr>
    </w:p>
    <w:p w:rsidR="00292D3E" w:rsidRPr="002B4A57" w:rsidRDefault="00292D3E" w:rsidP="00292D3E">
      <w:pPr>
        <w:keepNext/>
        <w:jc w:val="center"/>
        <w:rPr>
          <w:rFonts w:cs="Times New Roman"/>
          <w:b/>
          <w:szCs w:val="24"/>
        </w:rPr>
      </w:pPr>
      <w:r>
        <w:rPr>
          <w:rFonts w:cs="Times New Roman"/>
          <w:b/>
          <w:noProof/>
          <w:szCs w:val="24"/>
        </w:rPr>
        <w:drawing>
          <wp:inline distT="0" distB="0" distL="0" distR="0">
            <wp:extent cx="5794320" cy="1121957"/>
            <wp:effectExtent l="19050" t="0" r="0" b="0"/>
            <wp:docPr id="4" name="Picture 4" descr="E:\TO_SAVE\Epigenetics\Article2\miRNA Plos genetics\Frontiers\supplement figures\Forest miRNA17 placenta sensitivi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_SAVE\Epigenetics\Article2\miRNA Plos genetics\Frontiers\supplement figures\Forest miRNA17 placenta sensitivity.tiff"/>
                    <pic:cNvPicPr>
                      <a:picLocks noChangeAspect="1" noChangeArrowheads="1"/>
                    </pic:cNvPicPr>
                  </pic:nvPicPr>
                  <pic:blipFill>
                    <a:blip r:embed="rId22" cstate="print"/>
                    <a:srcRect/>
                    <a:stretch>
                      <a:fillRect/>
                    </a:stretch>
                  </pic:blipFill>
                  <pic:spPr bwMode="auto">
                    <a:xfrm>
                      <a:off x="0" y="0"/>
                      <a:ext cx="5804075" cy="1123846"/>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11</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miRNA-17 in placenta between women with vs. without preeclampsia (sensitivity analysis)</w:t>
      </w:r>
      <w:r w:rsidR="000F74CB">
        <w:rPr>
          <w:szCs w:val="24"/>
        </w:rPr>
        <w:t xml:space="preserve">. </w:t>
      </w:r>
      <w:r w:rsidR="000F74CB">
        <w:rPr>
          <w:szCs w:val="24"/>
          <w:lang w:val="en-GB"/>
        </w:rPr>
        <w:t>Sensitivity analysis after exchanging expression data obtained from chorionic plate with data obtained from basal plate, showed the same result as the first analysis (SMD=1.</w:t>
      </w:r>
      <w:r w:rsidR="000F74CB" w:rsidRPr="00486BFA">
        <w:rPr>
          <w:szCs w:val="24"/>
          <w:lang w:val="en-GB"/>
        </w:rPr>
        <w:t>73 (95%CI=-0</w:t>
      </w:r>
      <w:r w:rsidR="000F74CB">
        <w:rPr>
          <w:szCs w:val="24"/>
          <w:lang w:val="en-GB"/>
        </w:rPr>
        <w:t>.74-4.</w:t>
      </w:r>
      <w:r w:rsidR="000F74CB" w:rsidRPr="00486BFA">
        <w:rPr>
          <w:szCs w:val="24"/>
          <w:lang w:val="en-GB"/>
        </w:rPr>
        <w:t>20</w:t>
      </w:r>
      <w:r w:rsidR="000F74CB">
        <w:rPr>
          <w:szCs w:val="24"/>
          <w:lang w:val="en-GB"/>
        </w:rPr>
        <w:t>); p=0.170).</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5785402" cy="1014237"/>
            <wp:effectExtent l="19050" t="0" r="5798" b="0"/>
            <wp:docPr id="5" name="Picture 5" descr="E:\TO_SAVE\Epigenetics\Article2\miRNA Plos genetics\Frontiers\supplement figures\Forest miRNA20b placenta senstivitysv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_SAVE\Epigenetics\Article2\miRNA Plos genetics\Frontiers\supplement figures\Forest miRNA20b placenta senstivitysvg.tiff"/>
                    <pic:cNvPicPr>
                      <a:picLocks noChangeAspect="1" noChangeArrowheads="1"/>
                    </pic:cNvPicPr>
                  </pic:nvPicPr>
                  <pic:blipFill>
                    <a:blip r:embed="rId23" cstate="print"/>
                    <a:srcRect/>
                    <a:stretch>
                      <a:fillRect/>
                    </a:stretch>
                  </pic:blipFill>
                  <pic:spPr bwMode="auto">
                    <a:xfrm>
                      <a:off x="0" y="0"/>
                      <a:ext cx="5795864" cy="1016071"/>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12</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miRNA-20b in placenta between women with vs. without preeclampsia (sensitivity analysis)</w:t>
      </w:r>
      <w:r w:rsidR="000F74CB">
        <w:rPr>
          <w:szCs w:val="24"/>
        </w:rPr>
        <w:t xml:space="preserve">. </w:t>
      </w:r>
      <w:r w:rsidR="000F74CB">
        <w:rPr>
          <w:szCs w:val="24"/>
          <w:lang w:val="en-GB"/>
        </w:rPr>
        <w:t>Sensitivity analysis after exchanging expression data obtained from chorionic plate with data obtained from basal plate, showed the same result as the first analysis (SMD=1.04</w:t>
      </w:r>
      <w:r w:rsidR="000F74CB" w:rsidRPr="00486BFA">
        <w:rPr>
          <w:szCs w:val="24"/>
          <w:lang w:val="en-GB"/>
        </w:rPr>
        <w:t xml:space="preserve"> (95%CI=</w:t>
      </w:r>
      <w:r w:rsidR="000F74CB">
        <w:rPr>
          <w:szCs w:val="24"/>
          <w:lang w:val="en-GB"/>
        </w:rPr>
        <w:t>0.47-1.61); p&lt;0.001).</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5945394" cy="1154673"/>
            <wp:effectExtent l="19050" t="0" r="0" b="0"/>
            <wp:docPr id="1" name="Picture 6" descr="E:\TO_SAVE\Epigenetics\Article2\miRNA Plos genetics\Frontiers\supplement figures\Forest miRNA30a-3p placenta sens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_SAVE\Epigenetics\Article2\miRNA Plos genetics\Frontiers\supplement figures\Forest miRNA30a-3p placenta sens 1.tiff"/>
                    <pic:cNvPicPr>
                      <a:picLocks noChangeAspect="1" noChangeArrowheads="1"/>
                    </pic:cNvPicPr>
                  </pic:nvPicPr>
                  <pic:blipFill>
                    <a:blip r:embed="rId24" cstate="print"/>
                    <a:srcRect/>
                    <a:stretch>
                      <a:fillRect/>
                    </a:stretch>
                  </pic:blipFill>
                  <pic:spPr bwMode="auto">
                    <a:xfrm>
                      <a:off x="0" y="0"/>
                      <a:ext cx="5994875" cy="1164283"/>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lastRenderedPageBreak/>
        <w:t xml:space="preserve">Supplementary Figure </w:t>
      </w:r>
      <w:r w:rsidR="003F696B">
        <w:rPr>
          <w:rFonts w:cs="Times New Roman"/>
          <w:b/>
          <w:szCs w:val="24"/>
        </w:rPr>
        <w:t>S</w:t>
      </w:r>
      <w:r w:rsidR="004007B1">
        <w:rPr>
          <w:rFonts w:cs="Times New Roman"/>
          <w:b/>
          <w:szCs w:val="24"/>
        </w:rPr>
        <w:t>13</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miRNA-30a-3p in placenta between women with vs. without preeclampsia (sensitivity analysis)</w:t>
      </w:r>
      <w:r w:rsidR="000F74CB">
        <w:rPr>
          <w:szCs w:val="24"/>
        </w:rPr>
        <w:t xml:space="preserve">. </w:t>
      </w:r>
      <w:r w:rsidR="000F74CB">
        <w:rPr>
          <w:szCs w:val="24"/>
          <w:lang w:val="en-GB"/>
        </w:rPr>
        <w:t>Sensitivity analysis after exchanging expression data obtained from chorionic plate with data obtained from basal plate, showed the same result as the first analysis (SMD=1.34</w:t>
      </w:r>
      <w:r w:rsidR="000F74CB" w:rsidRPr="00486BFA">
        <w:rPr>
          <w:szCs w:val="24"/>
          <w:lang w:val="en-GB"/>
        </w:rPr>
        <w:t xml:space="preserve"> (95%CI=</w:t>
      </w:r>
      <w:r w:rsidR="000F74CB">
        <w:rPr>
          <w:szCs w:val="24"/>
          <w:lang w:val="en-GB"/>
        </w:rPr>
        <w:t>0.23-2.46); p=0.020).</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6197079" cy="1118755"/>
            <wp:effectExtent l="19050" t="0" r="0" b="0"/>
            <wp:docPr id="2" name="Picture 7" descr="E:\TO_SAVE\Epigenetics\Article2\miRNA Plos genetics\Frontiers\supplement figures\Forest miRNA30a-3p placenta sen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O_SAVE\Epigenetics\Article2\miRNA Plos genetics\Frontiers\supplement figures\Forest miRNA30a-3p placenta sens2.tiff"/>
                    <pic:cNvPicPr>
                      <a:picLocks noChangeAspect="1" noChangeArrowheads="1"/>
                    </pic:cNvPicPr>
                  </pic:nvPicPr>
                  <pic:blipFill>
                    <a:blip r:embed="rId25" cstate="print"/>
                    <a:srcRect/>
                    <a:stretch>
                      <a:fillRect/>
                    </a:stretch>
                  </pic:blipFill>
                  <pic:spPr bwMode="auto">
                    <a:xfrm>
                      <a:off x="0" y="0"/>
                      <a:ext cx="6201273" cy="1119512"/>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14</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miRNA-30a-3p in placenta between women with vs. without preeclampsia (sensitivity analysis)</w:t>
      </w:r>
      <w:r w:rsidR="000F74CB">
        <w:rPr>
          <w:szCs w:val="24"/>
        </w:rPr>
        <w:t>. S</w:t>
      </w:r>
      <w:r w:rsidR="000F74CB">
        <w:rPr>
          <w:szCs w:val="24"/>
          <w:lang w:val="en-GB"/>
        </w:rPr>
        <w:t>ensitivity analysis was performed by excluding study analyzing more severe form of PE. In this situation result changed. The expression level of miRNK-30a-3pin placenta in women with not-specified form of PE wasn`t significantly different (SMD=1.52</w:t>
      </w:r>
      <w:r w:rsidR="000F74CB" w:rsidRPr="00B06515">
        <w:rPr>
          <w:szCs w:val="24"/>
          <w:lang w:val="en-GB"/>
        </w:rPr>
        <w:t xml:space="preserve"> (95%CI=</w:t>
      </w:r>
      <w:r w:rsidR="000F74CB">
        <w:rPr>
          <w:szCs w:val="24"/>
          <w:lang w:val="en-GB"/>
        </w:rPr>
        <w:t>-0.13-3.17</w:t>
      </w:r>
      <w:r w:rsidR="000F74CB" w:rsidRPr="004F1648">
        <w:rPr>
          <w:szCs w:val="24"/>
          <w:lang w:val="en-GB"/>
        </w:rPr>
        <w:t>); p=0</w:t>
      </w:r>
      <w:r w:rsidR="000F74CB">
        <w:rPr>
          <w:szCs w:val="24"/>
          <w:lang w:val="en-GB"/>
        </w:rPr>
        <w:t>.070</w:t>
      </w:r>
      <w:r w:rsidR="000F74CB" w:rsidRPr="00B06515">
        <w:rPr>
          <w:szCs w:val="24"/>
          <w:lang w:val="en-GB"/>
        </w:rPr>
        <w:t>)</w:t>
      </w:r>
      <w:r w:rsidR="000F74CB">
        <w:rPr>
          <w:szCs w:val="24"/>
          <w:lang w:val="en-GB"/>
        </w:rPr>
        <w:t>compared to women without PE.</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6071649" cy="1483476"/>
            <wp:effectExtent l="19050" t="0" r="5301" b="0"/>
            <wp:docPr id="8" name="Picture 8" descr="E:\TO_SAVE\Epigenetics\Article2\miRNA Plos genetics\Frontiers\supplement figures\Forest miRNA155 placenta mil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O_SAVE\Epigenetics\Article2\miRNA Plos genetics\Frontiers\supplement figures\Forest miRNA155 placenta mild.tiff"/>
                    <pic:cNvPicPr>
                      <a:picLocks noChangeAspect="1" noChangeArrowheads="1"/>
                    </pic:cNvPicPr>
                  </pic:nvPicPr>
                  <pic:blipFill>
                    <a:blip r:embed="rId26" cstate="print"/>
                    <a:srcRect/>
                    <a:stretch>
                      <a:fillRect/>
                    </a:stretch>
                  </pic:blipFill>
                  <pic:spPr bwMode="auto">
                    <a:xfrm>
                      <a:off x="0" y="0"/>
                      <a:ext cx="6098839" cy="1490119"/>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15</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miRNA-155 in placenta between women with vs. without preeclampsia (sensitivity analysis)</w:t>
      </w:r>
      <w:r w:rsidR="000F74CB">
        <w:rPr>
          <w:szCs w:val="24"/>
        </w:rPr>
        <w:t xml:space="preserve">. </w:t>
      </w:r>
      <w:r w:rsidR="000F74CB">
        <w:rPr>
          <w:szCs w:val="24"/>
          <w:lang w:val="en-GB"/>
        </w:rPr>
        <w:t>Sensitivity analysis after including data for women with PE and mild proteinuria (instead of severe proteinuria in first analysis) showed the same result as the first analysis (SMD=2.65</w:t>
      </w:r>
      <w:r w:rsidR="000F74CB" w:rsidRPr="00486BFA">
        <w:rPr>
          <w:szCs w:val="24"/>
          <w:lang w:val="en-GB"/>
        </w:rPr>
        <w:t xml:space="preserve"> (95%CI=</w:t>
      </w:r>
      <w:r w:rsidR="000F74CB">
        <w:rPr>
          <w:szCs w:val="24"/>
          <w:lang w:val="en-GB"/>
        </w:rPr>
        <w:t>0.60-4.70); p=0.010).</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5931397" cy="1449209"/>
            <wp:effectExtent l="19050" t="0" r="0" b="0"/>
            <wp:docPr id="9" name="Picture 9" descr="E:\TO_SAVE\Epigenetics\Article2\miRNA Plos genetics\Frontiers\supplement figures\Forest miRNA155 placenta modera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O_SAVE\Epigenetics\Article2\miRNA Plos genetics\Frontiers\supplement figures\Forest miRNA155 placenta moderate.tiff"/>
                    <pic:cNvPicPr>
                      <a:picLocks noChangeAspect="1" noChangeArrowheads="1"/>
                    </pic:cNvPicPr>
                  </pic:nvPicPr>
                  <pic:blipFill>
                    <a:blip r:embed="rId27" cstate="print"/>
                    <a:srcRect/>
                    <a:stretch>
                      <a:fillRect/>
                    </a:stretch>
                  </pic:blipFill>
                  <pic:spPr bwMode="auto">
                    <a:xfrm>
                      <a:off x="0" y="0"/>
                      <a:ext cx="5944077" cy="1452307"/>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lastRenderedPageBreak/>
        <w:t xml:space="preserve">Supplementary Figure </w:t>
      </w:r>
      <w:r w:rsidR="003F696B">
        <w:rPr>
          <w:rFonts w:cs="Times New Roman"/>
          <w:b/>
          <w:szCs w:val="24"/>
        </w:rPr>
        <w:t>S</w:t>
      </w:r>
      <w:r w:rsidR="004007B1">
        <w:rPr>
          <w:rFonts w:cs="Times New Roman"/>
          <w:b/>
          <w:szCs w:val="24"/>
        </w:rPr>
        <w:t>16</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miRNA-155 in placenta between women with vs. without preeclampsia (sensitivity analysis)</w:t>
      </w:r>
      <w:r w:rsidR="000F74CB">
        <w:rPr>
          <w:szCs w:val="24"/>
        </w:rPr>
        <w:t xml:space="preserve">. </w:t>
      </w:r>
      <w:r w:rsidR="000F74CB">
        <w:rPr>
          <w:szCs w:val="24"/>
          <w:lang w:val="en-GB"/>
        </w:rPr>
        <w:t>Sensitivity analysis after including data for women with PE and moderate proteinuria (instead of severe proteinuria in first analysis) showed the same result as the first analysis (SMD=2.41 (95%CI=0.48-4.34); p=0.</w:t>
      </w:r>
      <w:r w:rsidR="000F74CB" w:rsidRPr="00847B5D">
        <w:rPr>
          <w:szCs w:val="24"/>
          <w:lang w:val="en-GB"/>
        </w:rPr>
        <w:t>010)</w:t>
      </w:r>
      <w:r w:rsidR="000F74CB">
        <w:rPr>
          <w:szCs w:val="24"/>
          <w:lang w:val="en-GB"/>
        </w:rPr>
        <w:t>.</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5890760" cy="1221642"/>
            <wp:effectExtent l="19050" t="0" r="0" b="0"/>
            <wp:docPr id="10" name="Picture 10" descr="E:\TO_SAVE\Epigenetics\Article2\miRNA Plos genetics\Frontiers\supplement figures\Forest miRNA-155 placenta severe P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O_SAVE\Epigenetics\Article2\miRNA Plos genetics\Frontiers\supplement figures\Forest miRNA-155 placenta severe PE.tiff"/>
                    <pic:cNvPicPr>
                      <a:picLocks noChangeAspect="1" noChangeArrowheads="1"/>
                    </pic:cNvPicPr>
                  </pic:nvPicPr>
                  <pic:blipFill>
                    <a:blip r:embed="rId28" cstate="print"/>
                    <a:srcRect/>
                    <a:stretch>
                      <a:fillRect/>
                    </a:stretch>
                  </pic:blipFill>
                  <pic:spPr bwMode="auto">
                    <a:xfrm>
                      <a:off x="0" y="0"/>
                      <a:ext cx="5901898" cy="1223952"/>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17</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miRNA-155 in placenta between women with vs. without preeclampsia (sensitivity analysis)</w:t>
      </w:r>
      <w:r w:rsidR="000F74CB">
        <w:rPr>
          <w:szCs w:val="24"/>
        </w:rPr>
        <w:t xml:space="preserve">. </w:t>
      </w:r>
      <w:r w:rsidR="000F74CB">
        <w:rPr>
          <w:szCs w:val="24"/>
          <w:lang w:val="en-GB"/>
        </w:rPr>
        <w:t>significantly higher expression level of miRNA-155 in placenta was in sensitivity analysis after excluding studies evaluating LOPE and not-specified form of PE (</w:t>
      </w:r>
      <w:r w:rsidR="000F74CB" w:rsidRPr="00847B5D">
        <w:rPr>
          <w:szCs w:val="24"/>
          <w:lang w:val="en-GB"/>
        </w:rPr>
        <w:t>SMD=</w:t>
      </w:r>
      <w:r w:rsidR="000F74CB">
        <w:rPr>
          <w:szCs w:val="24"/>
          <w:lang w:val="en-GB"/>
        </w:rPr>
        <w:t>4.69</w:t>
      </w:r>
      <w:r w:rsidR="000F74CB" w:rsidRPr="00847B5D">
        <w:rPr>
          <w:szCs w:val="24"/>
          <w:lang w:val="en-GB"/>
        </w:rPr>
        <w:t xml:space="preserve"> (95%CI=</w:t>
      </w:r>
      <w:r w:rsidR="000F74CB">
        <w:rPr>
          <w:szCs w:val="24"/>
          <w:lang w:val="en-GB"/>
        </w:rPr>
        <w:t>1.86</w:t>
      </w:r>
      <w:r w:rsidR="000F74CB" w:rsidRPr="00847B5D">
        <w:rPr>
          <w:szCs w:val="24"/>
          <w:lang w:val="en-GB"/>
        </w:rPr>
        <w:t>-</w:t>
      </w:r>
      <w:r w:rsidR="000F74CB">
        <w:rPr>
          <w:szCs w:val="24"/>
          <w:lang w:val="en-GB"/>
        </w:rPr>
        <w:t>7.52</w:t>
      </w:r>
      <w:r w:rsidR="000F74CB" w:rsidRPr="00847B5D">
        <w:rPr>
          <w:szCs w:val="24"/>
          <w:lang w:val="en-GB"/>
        </w:rPr>
        <w:t>); p</w:t>
      </w:r>
      <w:r w:rsidR="000F74CB">
        <w:rPr>
          <w:szCs w:val="24"/>
        </w:rPr>
        <w:t>=0.</w:t>
      </w:r>
      <w:r w:rsidR="000F74CB" w:rsidRPr="00847B5D">
        <w:rPr>
          <w:szCs w:val="24"/>
        </w:rPr>
        <w:t>0</w:t>
      </w:r>
      <w:r w:rsidR="000F74CB">
        <w:rPr>
          <w:szCs w:val="24"/>
        </w:rPr>
        <w:t>01</w:t>
      </w:r>
      <w:r w:rsidR="000F74CB">
        <w:rPr>
          <w:szCs w:val="24"/>
          <w:lang w:val="en-GB"/>
        </w:rPr>
        <w:t>).</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6116343" cy="1120595"/>
            <wp:effectExtent l="19050" t="0" r="0" b="0"/>
            <wp:docPr id="12" name="Picture 12" descr="E:\TO_SAVE\Epigenetics\Article2\miRNA Plos genetics\Frontiers\supplement figures\Forest miRNA195 placenta se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O_SAVE\Epigenetics\Article2\miRNA Plos genetics\Frontiers\supplement figures\Forest miRNA195 placenta sens.tiff"/>
                    <pic:cNvPicPr>
                      <a:picLocks noChangeAspect="1" noChangeArrowheads="1"/>
                    </pic:cNvPicPr>
                  </pic:nvPicPr>
                  <pic:blipFill>
                    <a:blip r:embed="rId29" cstate="print"/>
                    <a:srcRect/>
                    <a:stretch>
                      <a:fillRect/>
                    </a:stretch>
                  </pic:blipFill>
                  <pic:spPr bwMode="auto">
                    <a:xfrm>
                      <a:off x="0" y="0"/>
                      <a:ext cx="6133871" cy="1123806"/>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18</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miRNA-195 in placenta between women with vs. without preeclampsia (sensitivity analysis)</w:t>
      </w:r>
      <w:r w:rsidR="000F74CB">
        <w:rPr>
          <w:szCs w:val="24"/>
        </w:rPr>
        <w:t xml:space="preserve">. </w:t>
      </w:r>
      <w:r w:rsidR="000F74CB">
        <w:rPr>
          <w:szCs w:val="24"/>
          <w:lang w:val="en-GB"/>
        </w:rPr>
        <w:t>Sensitivity analysis after exchanging expression data obtained from chorionic plate with data obtained from basal plate, showed the same result as the first analysis (SMD=-0.01</w:t>
      </w:r>
      <w:r w:rsidR="000F74CB" w:rsidRPr="00486BFA">
        <w:rPr>
          <w:szCs w:val="24"/>
          <w:lang w:val="en-GB"/>
        </w:rPr>
        <w:t xml:space="preserve"> (95%CI=</w:t>
      </w:r>
      <w:r w:rsidR="000F74CB">
        <w:rPr>
          <w:szCs w:val="24"/>
          <w:lang w:val="en-GB"/>
        </w:rPr>
        <w:t>1.11-1.09); p=0.990).</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6098019" cy="2194560"/>
            <wp:effectExtent l="19050" t="0" r="0" b="0"/>
            <wp:docPr id="14" name="Picture 14" descr="E:\TO_SAVE\Epigenetics\Article2\miRNA Plos genetics\Frontiers\supplement figures\Forest miRNA210 sensitivi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O_SAVE\Epigenetics\Article2\miRNA Plos genetics\Frontiers\supplement figures\Forest miRNA210 sensitivity.tiff"/>
                    <pic:cNvPicPr>
                      <a:picLocks noChangeAspect="1" noChangeArrowheads="1"/>
                    </pic:cNvPicPr>
                  </pic:nvPicPr>
                  <pic:blipFill>
                    <a:blip r:embed="rId30" cstate="print"/>
                    <a:srcRect/>
                    <a:stretch>
                      <a:fillRect/>
                    </a:stretch>
                  </pic:blipFill>
                  <pic:spPr bwMode="auto">
                    <a:xfrm>
                      <a:off x="0" y="0"/>
                      <a:ext cx="6095348" cy="2193599"/>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lastRenderedPageBreak/>
        <w:t xml:space="preserve">Supplementary Figure </w:t>
      </w:r>
      <w:r w:rsidR="003F696B">
        <w:rPr>
          <w:rFonts w:cs="Times New Roman"/>
          <w:b/>
          <w:szCs w:val="24"/>
        </w:rPr>
        <w:t>S</w:t>
      </w:r>
      <w:r w:rsidR="000F74CB">
        <w:rPr>
          <w:rFonts w:cs="Times New Roman"/>
          <w:b/>
          <w:szCs w:val="24"/>
        </w:rPr>
        <w:t>1</w:t>
      </w:r>
      <w:r w:rsidR="004007B1">
        <w:rPr>
          <w:rFonts w:cs="Times New Roman"/>
          <w:b/>
          <w:szCs w:val="24"/>
        </w:rPr>
        <w:t>9</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miRNA-210 in placenta between women with vs. without preeclampsia (sensitivity analysis)</w:t>
      </w:r>
      <w:r w:rsidR="000F74CB">
        <w:rPr>
          <w:szCs w:val="24"/>
        </w:rPr>
        <w:t xml:space="preserve">. </w:t>
      </w:r>
      <w:r w:rsidR="000F74CB">
        <w:rPr>
          <w:szCs w:val="24"/>
          <w:lang w:val="en-GB"/>
        </w:rPr>
        <w:t>Sensitivity analysis after exchanging expression data obtained from chorionic plate with data obtained from basal plate, after using data for preterm instead for term controls , and after using mPE instead of sPE data showed the same result as the first analysis (SMD=1.32</w:t>
      </w:r>
      <w:r w:rsidR="000F74CB" w:rsidRPr="00486BFA">
        <w:rPr>
          <w:szCs w:val="24"/>
          <w:lang w:val="en-GB"/>
        </w:rPr>
        <w:t xml:space="preserve"> (95%CI=</w:t>
      </w:r>
      <w:r w:rsidR="000F74CB">
        <w:rPr>
          <w:szCs w:val="24"/>
          <w:lang w:val="en-GB"/>
        </w:rPr>
        <w:t>0.51-2.12); p=0.001).</w:t>
      </w:r>
    </w:p>
    <w:p w:rsidR="00292D3E" w:rsidRDefault="00292D3E" w:rsidP="00292D3E">
      <w:pPr>
        <w:keepNext/>
        <w:rPr>
          <w:szCs w:val="24"/>
        </w:rPr>
      </w:pPr>
    </w:p>
    <w:p w:rsidR="00292D3E" w:rsidRDefault="00292D3E" w:rsidP="00292D3E">
      <w:pPr>
        <w:keepNext/>
        <w:jc w:val="center"/>
        <w:rPr>
          <w:szCs w:val="24"/>
        </w:rPr>
      </w:pPr>
      <w:r>
        <w:rPr>
          <w:noProof/>
          <w:szCs w:val="24"/>
        </w:rPr>
        <w:drawing>
          <wp:inline distT="0" distB="0" distL="0" distR="0">
            <wp:extent cx="6553701" cy="1152365"/>
            <wp:effectExtent l="19050" t="0" r="0" b="0"/>
            <wp:docPr id="13" name="Picture 13" descr="E:\TO_SAVE\Epigenetics\Article2\miRNA Plos genetics\Frontiers\supplement figures\Forest miRNA210 blood sensitivi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O_SAVE\Epigenetics\Article2\miRNA Plos genetics\Frontiers\supplement figures\Forest miRNA210 blood sensitivity.tiff"/>
                    <pic:cNvPicPr>
                      <a:picLocks noChangeAspect="1" noChangeArrowheads="1"/>
                    </pic:cNvPicPr>
                  </pic:nvPicPr>
                  <pic:blipFill>
                    <a:blip r:embed="rId31" cstate="print"/>
                    <a:srcRect/>
                    <a:stretch>
                      <a:fillRect/>
                    </a:stretch>
                  </pic:blipFill>
                  <pic:spPr bwMode="auto">
                    <a:xfrm>
                      <a:off x="0" y="0"/>
                      <a:ext cx="6559986" cy="1153470"/>
                    </a:xfrm>
                    <a:prstGeom prst="rect">
                      <a:avLst/>
                    </a:prstGeom>
                    <a:noFill/>
                    <a:ln w="9525">
                      <a:noFill/>
                      <a:miter lim="800000"/>
                      <a:headEnd/>
                      <a:tailEnd/>
                    </a:ln>
                  </pic:spPr>
                </pic:pic>
              </a:graphicData>
            </a:graphic>
          </wp:inline>
        </w:drawing>
      </w:r>
    </w:p>
    <w:p w:rsidR="00292D3E" w:rsidRDefault="00292D3E" w:rsidP="000F74CB">
      <w:pPr>
        <w:keepNext/>
        <w:jc w:val="both"/>
        <w:rPr>
          <w:szCs w:val="24"/>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20</w:t>
      </w:r>
      <w:r w:rsidRPr="0001436A">
        <w:rPr>
          <w:rFonts w:cs="Times New Roman"/>
          <w:b/>
          <w:szCs w:val="24"/>
        </w:rPr>
        <w:t>.</w:t>
      </w:r>
      <w:r>
        <w:rPr>
          <w:rFonts w:cs="Times New Roman"/>
          <w:szCs w:val="24"/>
        </w:rPr>
        <w:t xml:space="preserve"> </w:t>
      </w:r>
      <w:r w:rsidRPr="00896406">
        <w:rPr>
          <w:szCs w:val="24"/>
        </w:rPr>
        <w:t>Meta-anal</w:t>
      </w:r>
      <w:r>
        <w:rPr>
          <w:szCs w:val="24"/>
        </w:rPr>
        <w:t>ysis of differences in expression level of miRNA-210 in peripheral blood between women with vs. without preeclampsia (sensitivity analysis)</w:t>
      </w:r>
      <w:r w:rsidR="000F74CB">
        <w:rPr>
          <w:szCs w:val="24"/>
        </w:rPr>
        <w:t xml:space="preserve">. </w:t>
      </w:r>
      <w:r w:rsidR="000F74CB">
        <w:rPr>
          <w:szCs w:val="24"/>
          <w:lang w:val="en-GB"/>
        </w:rPr>
        <w:t>Sensitivity analysis after excluding study that analyzed more severe form of PE showed the same result as the first analysis (SMD=1.22</w:t>
      </w:r>
      <w:r w:rsidR="000F74CB" w:rsidRPr="00486BFA">
        <w:rPr>
          <w:szCs w:val="24"/>
          <w:lang w:val="en-GB"/>
        </w:rPr>
        <w:t xml:space="preserve"> (95%CI=</w:t>
      </w:r>
      <w:r w:rsidR="000F74CB">
        <w:rPr>
          <w:szCs w:val="24"/>
          <w:lang w:val="en-GB"/>
        </w:rPr>
        <w:t>0.72-1.72); p=0.001).</w:t>
      </w:r>
    </w:p>
    <w:p w:rsidR="00292D3E" w:rsidRDefault="00587BC8" w:rsidP="00292D3E">
      <w:pPr>
        <w:keepNext/>
        <w:rPr>
          <w:szCs w:val="24"/>
        </w:rPr>
      </w:pPr>
      <w:r>
        <w:rPr>
          <w:noProof/>
          <w:szCs w:val="24"/>
        </w:rPr>
        <w:drawing>
          <wp:inline distT="0" distB="0" distL="0" distR="0">
            <wp:extent cx="6203950" cy="1009650"/>
            <wp:effectExtent l="19050" t="0" r="6350" b="0"/>
            <wp:docPr id="15" name="Picture 3" descr="I:\TO_SAVE\Epigenetics\Article2\Frontiers\Dopuna\foresti i funneli\Forest plot miRNA155 MPB moderate proteinu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O_SAVE\Epigenetics\Article2\Frontiers\Dopuna\foresti i funneli\Forest plot miRNA155 MPB moderate proteinuria.png"/>
                    <pic:cNvPicPr>
                      <a:picLocks noChangeAspect="1" noChangeArrowheads="1"/>
                    </pic:cNvPicPr>
                  </pic:nvPicPr>
                  <pic:blipFill>
                    <a:blip r:embed="rId32" cstate="print"/>
                    <a:srcRect/>
                    <a:stretch>
                      <a:fillRect/>
                    </a:stretch>
                  </pic:blipFill>
                  <pic:spPr bwMode="auto">
                    <a:xfrm>
                      <a:off x="0" y="0"/>
                      <a:ext cx="6203950" cy="1009650"/>
                    </a:xfrm>
                    <a:prstGeom prst="rect">
                      <a:avLst/>
                    </a:prstGeom>
                    <a:noFill/>
                    <a:ln w="9525">
                      <a:noFill/>
                      <a:miter lim="800000"/>
                      <a:headEnd/>
                      <a:tailEnd/>
                    </a:ln>
                  </pic:spPr>
                </pic:pic>
              </a:graphicData>
            </a:graphic>
          </wp:inline>
        </w:drawing>
      </w:r>
    </w:p>
    <w:p w:rsidR="004C51DF" w:rsidRDefault="004C51DF" w:rsidP="004C51DF">
      <w:pPr>
        <w:keepNext/>
        <w:jc w:val="both"/>
        <w:rPr>
          <w:szCs w:val="24"/>
          <w:lang w:val="en-GB"/>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21</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miRNA-155 in maternal peripheral blood between women with vs. without preeclampsia (sensitivity analysis). </w:t>
      </w:r>
      <w:r>
        <w:rPr>
          <w:szCs w:val="24"/>
          <w:lang w:val="en-GB"/>
        </w:rPr>
        <w:t>Sensitivity analysis after including data for women with PE and moderate proteinuria (instead of mild proteinuria in first analysis) (SMD=</w:t>
      </w:r>
      <w:r w:rsidR="003107D9">
        <w:rPr>
          <w:szCs w:val="24"/>
          <w:lang w:val="en-GB"/>
        </w:rPr>
        <w:t>4.46</w:t>
      </w:r>
      <w:r w:rsidRPr="00486BFA">
        <w:rPr>
          <w:szCs w:val="24"/>
          <w:lang w:val="en-GB"/>
        </w:rPr>
        <w:t xml:space="preserve"> (95%CI=</w:t>
      </w:r>
      <w:r w:rsidR="003107D9">
        <w:rPr>
          <w:szCs w:val="24"/>
          <w:lang w:val="en-GB"/>
        </w:rPr>
        <w:t>1.91</w:t>
      </w:r>
      <w:r>
        <w:rPr>
          <w:szCs w:val="24"/>
          <w:lang w:val="en-GB"/>
        </w:rPr>
        <w:t>-</w:t>
      </w:r>
      <w:r w:rsidR="003107D9">
        <w:rPr>
          <w:szCs w:val="24"/>
          <w:lang w:val="en-GB"/>
        </w:rPr>
        <w:t>7.00</w:t>
      </w:r>
      <w:r>
        <w:rPr>
          <w:szCs w:val="24"/>
          <w:lang w:val="en-GB"/>
        </w:rPr>
        <w:t>); p=0</w:t>
      </w:r>
      <w:r w:rsidR="003107D9">
        <w:rPr>
          <w:szCs w:val="24"/>
          <w:lang w:val="en-GB"/>
        </w:rPr>
        <w:t>&lt;0.001</w:t>
      </w:r>
      <w:r>
        <w:rPr>
          <w:szCs w:val="24"/>
          <w:lang w:val="en-GB"/>
        </w:rPr>
        <w:t>).</w:t>
      </w:r>
    </w:p>
    <w:p w:rsidR="004C51DF" w:rsidRDefault="00587BC8" w:rsidP="004C51DF">
      <w:pPr>
        <w:keepNext/>
        <w:jc w:val="both"/>
        <w:rPr>
          <w:szCs w:val="24"/>
        </w:rPr>
      </w:pPr>
      <w:r>
        <w:rPr>
          <w:noProof/>
          <w:szCs w:val="24"/>
        </w:rPr>
        <w:drawing>
          <wp:inline distT="0" distB="0" distL="0" distR="0">
            <wp:extent cx="6203950" cy="1130300"/>
            <wp:effectExtent l="19050" t="0" r="6350" b="0"/>
            <wp:docPr id="16" name="Picture 4" descr="I:\TO_SAVE\Epigenetics\Article2\Frontiers\Dopuna\foresti i funneli\Forest plot miRNA155 MPB severe proteinu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O_SAVE\Epigenetics\Article2\Frontiers\Dopuna\foresti i funneli\Forest plot miRNA155 MPB severe proteinuria.png"/>
                    <pic:cNvPicPr>
                      <a:picLocks noChangeAspect="1" noChangeArrowheads="1"/>
                    </pic:cNvPicPr>
                  </pic:nvPicPr>
                  <pic:blipFill>
                    <a:blip r:embed="rId33" cstate="print"/>
                    <a:srcRect/>
                    <a:stretch>
                      <a:fillRect/>
                    </a:stretch>
                  </pic:blipFill>
                  <pic:spPr bwMode="auto">
                    <a:xfrm>
                      <a:off x="0" y="0"/>
                      <a:ext cx="6203950" cy="1130300"/>
                    </a:xfrm>
                    <a:prstGeom prst="rect">
                      <a:avLst/>
                    </a:prstGeom>
                    <a:noFill/>
                    <a:ln w="9525">
                      <a:noFill/>
                      <a:miter lim="800000"/>
                      <a:headEnd/>
                      <a:tailEnd/>
                    </a:ln>
                  </pic:spPr>
                </pic:pic>
              </a:graphicData>
            </a:graphic>
          </wp:inline>
        </w:drawing>
      </w:r>
    </w:p>
    <w:p w:rsidR="004C51DF" w:rsidRDefault="004C51DF" w:rsidP="004C51DF">
      <w:pPr>
        <w:keepNext/>
        <w:jc w:val="both"/>
        <w:rPr>
          <w:szCs w:val="24"/>
          <w:lang w:val="en-GB"/>
        </w:rPr>
      </w:pPr>
      <w:r w:rsidRPr="0001436A">
        <w:rPr>
          <w:rFonts w:cs="Times New Roman"/>
          <w:b/>
          <w:szCs w:val="24"/>
        </w:rPr>
        <w:t xml:space="preserve">Supplementary Figure </w:t>
      </w:r>
      <w:r w:rsidR="003F696B">
        <w:rPr>
          <w:rFonts w:cs="Times New Roman"/>
          <w:b/>
          <w:szCs w:val="24"/>
        </w:rPr>
        <w:t>S</w:t>
      </w:r>
      <w:r w:rsidR="004007B1">
        <w:rPr>
          <w:rFonts w:cs="Times New Roman"/>
          <w:b/>
          <w:szCs w:val="24"/>
        </w:rPr>
        <w:t>22</w:t>
      </w:r>
      <w:r w:rsidRPr="0001436A">
        <w:rPr>
          <w:rFonts w:cs="Times New Roman"/>
          <w:b/>
          <w:szCs w:val="24"/>
        </w:rPr>
        <w:t>.</w:t>
      </w:r>
      <w:r>
        <w:rPr>
          <w:rFonts w:cs="Times New Roman"/>
          <w:szCs w:val="24"/>
        </w:rPr>
        <w:t xml:space="preserve"> </w:t>
      </w:r>
      <w:r w:rsidRPr="00896406">
        <w:rPr>
          <w:szCs w:val="24"/>
        </w:rPr>
        <w:t>Meta-anal</w:t>
      </w:r>
      <w:r>
        <w:rPr>
          <w:szCs w:val="24"/>
        </w:rPr>
        <w:t xml:space="preserve">ysis of differences in expression level of miRNA-155 in maternal peripheral blood between women with vs. without preeclampsia (sensitivity analysis). </w:t>
      </w:r>
      <w:r>
        <w:rPr>
          <w:szCs w:val="24"/>
          <w:lang w:val="en-GB"/>
        </w:rPr>
        <w:t>Sensitivity analysis after including data for women with PE and severe proteinuria (instead of mild proteinuria in first analysis) (SMD=</w:t>
      </w:r>
      <w:r w:rsidR="001D4AB3">
        <w:rPr>
          <w:szCs w:val="24"/>
          <w:lang w:val="en-GB"/>
        </w:rPr>
        <w:t>4.30</w:t>
      </w:r>
      <w:r w:rsidRPr="00486BFA">
        <w:rPr>
          <w:szCs w:val="24"/>
          <w:lang w:val="en-GB"/>
        </w:rPr>
        <w:t xml:space="preserve"> (95%CI=</w:t>
      </w:r>
      <w:r w:rsidR="001D4AB3">
        <w:rPr>
          <w:szCs w:val="24"/>
          <w:lang w:val="en-GB"/>
        </w:rPr>
        <w:t>0.60</w:t>
      </w:r>
      <w:r>
        <w:rPr>
          <w:szCs w:val="24"/>
          <w:lang w:val="en-GB"/>
        </w:rPr>
        <w:t>-8.</w:t>
      </w:r>
      <w:r w:rsidR="001D4AB3">
        <w:rPr>
          <w:szCs w:val="24"/>
          <w:lang w:val="en-GB"/>
        </w:rPr>
        <w:t>00</w:t>
      </w:r>
      <w:r>
        <w:rPr>
          <w:szCs w:val="24"/>
          <w:lang w:val="en-GB"/>
        </w:rPr>
        <w:t>); p=0.0</w:t>
      </w:r>
      <w:r w:rsidR="001D4AB3">
        <w:rPr>
          <w:szCs w:val="24"/>
          <w:lang w:val="en-GB"/>
        </w:rPr>
        <w:t>20</w:t>
      </w:r>
      <w:r>
        <w:rPr>
          <w:szCs w:val="24"/>
          <w:lang w:val="en-GB"/>
        </w:rPr>
        <w:t>).</w:t>
      </w:r>
    </w:p>
    <w:p w:rsidR="004C51DF" w:rsidRDefault="004C51DF" w:rsidP="004C51DF">
      <w:pPr>
        <w:keepNext/>
        <w:jc w:val="both"/>
        <w:rPr>
          <w:szCs w:val="24"/>
        </w:rPr>
      </w:pPr>
    </w:p>
    <w:p w:rsidR="00D0073D" w:rsidRDefault="00D0073D">
      <w:pPr>
        <w:spacing w:before="0" w:after="200" w:line="276" w:lineRule="auto"/>
        <w:rPr>
          <w:szCs w:val="24"/>
        </w:rPr>
      </w:pPr>
      <w:r>
        <w:rPr>
          <w:szCs w:val="24"/>
        </w:rPr>
        <w:br w:type="page"/>
      </w:r>
    </w:p>
    <w:p w:rsidR="004C51DF" w:rsidRDefault="00D0073D" w:rsidP="00292D3E">
      <w:pPr>
        <w:keepNext/>
        <w:rPr>
          <w:szCs w:val="24"/>
        </w:rPr>
      </w:pPr>
      <w:r>
        <w:rPr>
          <w:szCs w:val="24"/>
        </w:rPr>
        <w:lastRenderedPageBreak/>
        <w:t>References</w:t>
      </w:r>
    </w:p>
    <w:p w:rsidR="00283825" w:rsidRPr="00283825" w:rsidRDefault="00E33D6E" w:rsidP="00283825">
      <w:pPr>
        <w:widowControl w:val="0"/>
        <w:autoSpaceDE w:val="0"/>
        <w:autoSpaceDN w:val="0"/>
        <w:adjustRightInd w:val="0"/>
        <w:ind w:left="480" w:hanging="480"/>
        <w:rPr>
          <w:rFonts w:cs="Times New Roman"/>
          <w:noProof/>
          <w:szCs w:val="24"/>
        </w:rPr>
      </w:pPr>
      <w:r>
        <w:rPr>
          <w:szCs w:val="24"/>
        </w:rPr>
        <w:fldChar w:fldCharType="begin" w:fldLock="1"/>
      </w:r>
      <w:r w:rsidR="00D0073D">
        <w:rPr>
          <w:szCs w:val="24"/>
        </w:rPr>
        <w:instrText xml:space="preserve">ADDIN Mendeley Bibliography CSL_BIBLIOGRAPHY </w:instrText>
      </w:r>
      <w:r>
        <w:rPr>
          <w:szCs w:val="24"/>
        </w:rPr>
        <w:fldChar w:fldCharType="separate"/>
      </w:r>
      <w:r w:rsidR="00283825" w:rsidRPr="00283825">
        <w:rPr>
          <w:rFonts w:cs="Times New Roman"/>
          <w:noProof/>
          <w:szCs w:val="24"/>
        </w:rPr>
        <w:t xml:space="preserve">Adel, S., Mansour, A., Louka, M., Matboli, M., Elmekkawi, S. F., and Swelam, N. (2017). Evaluation of MicroRNA-210 and Protein tyrosine phosphatase, non-receptor type 2 in Pre-eclampsia. </w:t>
      </w:r>
      <w:r w:rsidR="00283825" w:rsidRPr="00283825">
        <w:rPr>
          <w:rFonts w:cs="Times New Roman"/>
          <w:i/>
          <w:iCs/>
          <w:noProof/>
          <w:szCs w:val="24"/>
        </w:rPr>
        <w:t>Gene</w:t>
      </w:r>
      <w:r w:rsidR="00283825" w:rsidRPr="00283825">
        <w:rPr>
          <w:rFonts w:cs="Times New Roman"/>
          <w:noProof/>
          <w:szCs w:val="24"/>
        </w:rPr>
        <w:t xml:space="preserve"> 596, 105–109. doi:10.1016/j.gene.2016.10.014.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Akehurst, C., Small, H. Y., Sharafetdinova, L., Forrest, R., Beattie, W., Brown, C. E., et al. (2015). Differential expression of microRNA-206 and its target genes in preeclampsia. </w:t>
      </w:r>
      <w:r w:rsidRPr="00283825">
        <w:rPr>
          <w:rFonts w:cs="Times New Roman"/>
          <w:i/>
          <w:iCs/>
          <w:noProof/>
          <w:szCs w:val="24"/>
        </w:rPr>
        <w:t>J. Hypertens.</w:t>
      </w:r>
      <w:r w:rsidRPr="00283825">
        <w:rPr>
          <w:rFonts w:cs="Times New Roman"/>
          <w:noProof/>
          <w:szCs w:val="24"/>
        </w:rPr>
        <w:t xml:space="preserve"> 33, 2068–2074. doi:10.1097/HJH.0000000000000656.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Ali, Z., Zafar, U., Zaki, S., Ahmad, S., Khaliq, S., and Lone, K. P. (2021). Expression levels of MiRNA-16, SURVIVIN and TP53 in Preeclamptic and Normotensive women. </w:t>
      </w:r>
      <w:r w:rsidRPr="00283825">
        <w:rPr>
          <w:rFonts w:cs="Times New Roman"/>
          <w:i/>
          <w:iCs/>
          <w:noProof/>
          <w:szCs w:val="24"/>
        </w:rPr>
        <w:t>J. Pak. Med. Assoc.</w:t>
      </w:r>
      <w:r w:rsidRPr="00283825">
        <w:rPr>
          <w:rFonts w:cs="Times New Roman"/>
          <w:noProof/>
          <w:szCs w:val="24"/>
        </w:rPr>
        <w:t xml:space="preserve"> 71, 2208–2213. doi:10.47391/JPMA.1171.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Anton, L., Olarerin-George, A. O., Hogenesch, J. B., and Elovitz, M. A. (2015). Placental expression of miR-517a/b and miR-517c contributes to trophoblast dysfunction and preeclampsia. </w:t>
      </w:r>
      <w:r w:rsidRPr="00283825">
        <w:rPr>
          <w:rFonts w:cs="Times New Roman"/>
          <w:i/>
          <w:iCs/>
          <w:noProof/>
          <w:szCs w:val="24"/>
        </w:rPr>
        <w:t>PLoS One</w:t>
      </w:r>
      <w:r w:rsidRPr="00283825">
        <w:rPr>
          <w:rFonts w:cs="Times New Roman"/>
          <w:noProof/>
          <w:szCs w:val="24"/>
        </w:rPr>
        <w:t xml:space="preserve"> 10, e0122707. doi:10.1371/journal.pone.0122707.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Anton, L., Olarerin-George, A. O., Schwartz, N., Srinivas, S., Bastek, J., Hogenesch, J. B., et al. (2013). MiR-210 inhibits trophoblast invasion and is a serum biomarker for preeclampsia. </w:t>
      </w:r>
      <w:r w:rsidRPr="00283825">
        <w:rPr>
          <w:rFonts w:cs="Times New Roman"/>
          <w:i/>
          <w:iCs/>
          <w:noProof/>
          <w:szCs w:val="24"/>
        </w:rPr>
        <w:t>Am. J. Pathol.</w:t>
      </w:r>
      <w:r w:rsidRPr="00283825">
        <w:rPr>
          <w:rFonts w:cs="Times New Roman"/>
          <w:noProof/>
          <w:szCs w:val="24"/>
        </w:rPr>
        <w:t xml:space="preserve"> 183, 1437–1445. doi:10.1016/j.ajpath.2013.07.021.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Awamleh, Z., Gloor, G. B., and Han, V. K. M. (2019). Placental microRNAs in pregnancies with early onset intrauterine growth restriction and preeclampsia: Potential impact on gene expression and pathophysiology. </w:t>
      </w:r>
      <w:r w:rsidRPr="00283825">
        <w:rPr>
          <w:rFonts w:cs="Times New Roman"/>
          <w:i/>
          <w:iCs/>
          <w:noProof/>
          <w:szCs w:val="24"/>
        </w:rPr>
        <w:t>BMC Med. Genomics</w:t>
      </w:r>
      <w:r w:rsidRPr="00283825">
        <w:rPr>
          <w:rFonts w:cs="Times New Roman"/>
          <w:noProof/>
          <w:szCs w:val="24"/>
        </w:rPr>
        <w:t xml:space="preserve"> 12, 91. doi:10.1186/s12920-019-0548-x.</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Azizi, F., Saleh Gargari, S., Shahmirzadi, S. A., Dodange, F., Amiri, V., Mirfakhraie, R., et al. (2017). Evaluation of Placental mir-155-5p and Long Non-coding RNA sONE Expression in Patients with Severe Pre-eclampsia. </w:t>
      </w:r>
      <w:r w:rsidRPr="00283825">
        <w:rPr>
          <w:rFonts w:cs="Times New Roman"/>
          <w:i/>
          <w:iCs/>
          <w:noProof/>
          <w:szCs w:val="24"/>
        </w:rPr>
        <w:t>Int J Mol Cell Med</w:t>
      </w:r>
      <w:r w:rsidRPr="00283825">
        <w:rPr>
          <w:rFonts w:cs="Times New Roman"/>
          <w:noProof/>
          <w:szCs w:val="24"/>
        </w:rPr>
        <w:t xml:space="preserve"> 6, 22–30.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Bai, Y., Yang, W., Yang, H. xia, Liao, Q., Ye, G., Fu, G., et al. (2012). Downregulated miR-195 detected in Preeclamptic Placenta affects trophoblast cell invasion via modulating ActRIIA expression. </w:t>
      </w:r>
      <w:r w:rsidRPr="00283825">
        <w:rPr>
          <w:rFonts w:cs="Times New Roman"/>
          <w:i/>
          <w:iCs/>
          <w:noProof/>
          <w:szCs w:val="24"/>
        </w:rPr>
        <w:t>PLoS One</w:t>
      </w:r>
      <w:r w:rsidRPr="00283825">
        <w:rPr>
          <w:rFonts w:cs="Times New Roman"/>
          <w:noProof/>
          <w:szCs w:val="24"/>
        </w:rPr>
        <w:t xml:space="preserve"> 7, e38875. doi:10.1371/journal.pone.0038875.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Betoni, J. S., Derr, K., Pahl, M. C., Rogers, L., Muller, C. L., Packard, R. E., et al. (2013). MicroRNA analysis in placentas from patients with preeclampsia: Comparison of new and published results. </w:t>
      </w:r>
      <w:r w:rsidRPr="00283825">
        <w:rPr>
          <w:rFonts w:cs="Times New Roman"/>
          <w:i/>
          <w:iCs/>
          <w:noProof/>
          <w:szCs w:val="24"/>
        </w:rPr>
        <w:t>Hypertens. Pregnancy</w:t>
      </w:r>
      <w:r w:rsidRPr="00283825">
        <w:rPr>
          <w:rFonts w:cs="Times New Roman"/>
          <w:noProof/>
          <w:szCs w:val="24"/>
        </w:rPr>
        <w:t xml:space="preserve"> 32, 321–339. doi:10.3109/10641955.2013.807819.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Biró, O., Fóthi, Á., Alasztics, B., Nagy, B., Orbán, T. I., and Rigó, J. (2019). Circulating exosomal and Argonaute-bound microRNAs in preeclampsia. </w:t>
      </w:r>
      <w:r w:rsidRPr="00283825">
        <w:rPr>
          <w:rFonts w:cs="Times New Roman"/>
          <w:i/>
          <w:iCs/>
          <w:noProof/>
          <w:szCs w:val="24"/>
        </w:rPr>
        <w:t>Gene</w:t>
      </w:r>
      <w:r w:rsidRPr="00283825">
        <w:rPr>
          <w:rFonts w:cs="Times New Roman"/>
          <w:noProof/>
          <w:szCs w:val="24"/>
        </w:rPr>
        <w:t xml:space="preserve"> 692, 138–144. doi:10.1016/j.gene.2019.01.012.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Brkić, J., Dunk, C., O’Brien, J., Fu, G., Nadeem, L., Wang, Y. ling, et al. (2018). MicroRNA-218-5p Promotes Endovascular Trophoblast Differentiation and Spiral Artery Remodeling. </w:t>
      </w:r>
      <w:r w:rsidRPr="00283825">
        <w:rPr>
          <w:rFonts w:cs="Times New Roman"/>
          <w:i/>
          <w:iCs/>
          <w:noProof/>
          <w:szCs w:val="24"/>
        </w:rPr>
        <w:t>Mol. Ther.</w:t>
      </w:r>
      <w:r w:rsidRPr="00283825">
        <w:rPr>
          <w:rFonts w:cs="Times New Roman"/>
          <w:noProof/>
          <w:szCs w:val="24"/>
        </w:rPr>
        <w:t xml:space="preserve"> 26, 2189–2205. doi:10.1016/j.ymthe.2018.07.009.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Campos, C. B., Marques, T. M., Pereira, R. W., and Sandrim, V. C. (2014). Reduced circulating miR-196b levels is associated with preeclampsia. </w:t>
      </w:r>
      <w:r w:rsidRPr="00283825">
        <w:rPr>
          <w:rFonts w:cs="Times New Roman"/>
          <w:i/>
          <w:iCs/>
          <w:noProof/>
          <w:szCs w:val="24"/>
        </w:rPr>
        <w:t>Pregnancy Hypertens.</w:t>
      </w:r>
      <w:r w:rsidRPr="00283825">
        <w:rPr>
          <w:rFonts w:cs="Times New Roman"/>
          <w:noProof/>
          <w:szCs w:val="24"/>
        </w:rPr>
        <w:t xml:space="preserve"> 4, 11–13. doi:10.1016/j.preghy.2013.10.002.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lastRenderedPageBreak/>
        <w:t xml:space="preserve">Chen, J., Zhao, L., Wang, D., Xu, Y., Gao, H., Tan, W., et al. (2019). Contribution of regulatory T cells to immune tolerance and association of microRNA-210 and Foxp3 in preeclampsia. </w:t>
      </w:r>
      <w:r w:rsidRPr="00283825">
        <w:rPr>
          <w:rFonts w:cs="Times New Roman"/>
          <w:i/>
          <w:iCs/>
          <w:noProof/>
          <w:szCs w:val="24"/>
        </w:rPr>
        <w:t>Mol. Med. Rep.</w:t>
      </w:r>
      <w:r w:rsidRPr="00283825">
        <w:rPr>
          <w:rFonts w:cs="Times New Roman"/>
          <w:noProof/>
          <w:szCs w:val="24"/>
        </w:rPr>
        <w:t xml:space="preserve"> 19, 1150–1158. doi:10.3892/mmr.2018.9733.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Chen, S., Zhao, G., Miao, H., Tang, R., Song, Y., Hu, Y., et al. (2015). MicroRNA-494 inhibits the growth and angiogenesis-regulating potential of mesenchymal stem cells. </w:t>
      </w:r>
      <w:r w:rsidRPr="00283825">
        <w:rPr>
          <w:rFonts w:cs="Times New Roman"/>
          <w:i/>
          <w:iCs/>
          <w:noProof/>
          <w:szCs w:val="24"/>
        </w:rPr>
        <w:t>FEBS Lett.</w:t>
      </w:r>
      <w:r w:rsidRPr="00283825">
        <w:rPr>
          <w:rFonts w:cs="Times New Roman"/>
          <w:noProof/>
          <w:szCs w:val="24"/>
        </w:rPr>
        <w:t xml:space="preserve"> 589, 710–717. doi:10.1016/j.febslet.2015.01.038.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Chen, Y. S., Shen, L., Mai, R. Q., and Wang, Y. (2014). Levels of microRNA</w:t>
      </w:r>
      <w:r w:rsidRPr="00283825">
        <w:rPr>
          <w:rFonts w:eastAsia="MS Mincho" w:cs="Times New Roman" w:hint="eastAsia"/>
          <w:noProof/>
          <w:szCs w:val="24"/>
        </w:rPr>
        <w:t>‑</w:t>
      </w:r>
      <w:r w:rsidRPr="00283825">
        <w:rPr>
          <w:rFonts w:cs="Times New Roman"/>
          <w:noProof/>
          <w:szCs w:val="24"/>
        </w:rPr>
        <w:t>181b and plasminogen activator inhibitor</w:t>
      </w:r>
      <w:r w:rsidRPr="00283825">
        <w:rPr>
          <w:rFonts w:eastAsia="MS Mincho" w:cs="Times New Roman" w:hint="eastAsia"/>
          <w:noProof/>
          <w:szCs w:val="24"/>
        </w:rPr>
        <w:t>‑</w:t>
      </w:r>
      <w:r w:rsidRPr="00283825">
        <w:rPr>
          <w:rFonts w:cs="Times New Roman"/>
          <w:noProof/>
          <w:szCs w:val="24"/>
        </w:rPr>
        <w:t xml:space="preserve">1 are associated with hypertensive disorders complicating pregnancy. </w:t>
      </w:r>
      <w:r w:rsidRPr="00283825">
        <w:rPr>
          <w:rFonts w:cs="Times New Roman"/>
          <w:i/>
          <w:iCs/>
          <w:noProof/>
          <w:szCs w:val="24"/>
        </w:rPr>
        <w:t>Exp. Ther. Med.</w:t>
      </w:r>
      <w:r w:rsidRPr="00283825">
        <w:rPr>
          <w:rFonts w:cs="Times New Roman"/>
          <w:noProof/>
          <w:szCs w:val="24"/>
        </w:rPr>
        <w:t xml:space="preserve"> 8, 1523–1527. doi:10.3892/etm.2014.1946.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Cheng, W., Liu, T., Jiang, F., Liu, C., Zhao, X., Gao, Y., et al. (2011). microRNA-155 regulates angiotensin II type 1 receptor expression in umbilical vein endothelial cells from severely pre-eclamptic pregnant women. </w:t>
      </w:r>
      <w:r w:rsidRPr="00283825">
        <w:rPr>
          <w:rFonts w:cs="Times New Roman"/>
          <w:i/>
          <w:iCs/>
          <w:noProof/>
          <w:szCs w:val="24"/>
        </w:rPr>
        <w:t>Int. J. Mol. Med.</w:t>
      </w:r>
      <w:r w:rsidRPr="00283825">
        <w:rPr>
          <w:rFonts w:cs="Times New Roman"/>
          <w:noProof/>
          <w:szCs w:val="24"/>
        </w:rPr>
        <w:t xml:space="preserve"> 27, 393–399. doi:10.3892/ijmm.2011.598.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Chi, Z., and Zhang, M. (2018). Exploration of the regulation and control mechanisms of mir-145 in trophoblast cell proliferation and invasion. </w:t>
      </w:r>
      <w:r w:rsidRPr="00283825">
        <w:rPr>
          <w:rFonts w:cs="Times New Roman"/>
          <w:i/>
          <w:iCs/>
          <w:noProof/>
          <w:szCs w:val="24"/>
        </w:rPr>
        <w:t>Exp. Ther. Med.</w:t>
      </w:r>
      <w:r w:rsidRPr="00283825">
        <w:rPr>
          <w:rFonts w:cs="Times New Roman"/>
          <w:noProof/>
          <w:szCs w:val="24"/>
        </w:rPr>
        <w:t xml:space="preserve"> 16, 5298–5304. doi:10.3892/etm.2018.6890.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Choi, S. Y., Yun, J., Lee, O. J., Han, H. S., Yeo, M. K., Lee, M. A., et al. (2013). MicroRNA expression profiles in placenta with severe preeclampsia using a PNA-based microarray. </w:t>
      </w:r>
      <w:r w:rsidRPr="00283825">
        <w:rPr>
          <w:rFonts w:cs="Times New Roman"/>
          <w:i/>
          <w:iCs/>
          <w:noProof/>
          <w:szCs w:val="24"/>
        </w:rPr>
        <w:t>Placenta</w:t>
      </w:r>
      <w:r w:rsidRPr="00283825">
        <w:rPr>
          <w:rFonts w:cs="Times New Roman"/>
          <w:noProof/>
          <w:szCs w:val="24"/>
        </w:rPr>
        <w:t xml:space="preserve"> 34, 799–804. doi:10.1016/j.placenta.2013.06.006.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Dai, X., and Cai, Y. (2018). Down-regulation of microRNA let-7d inhibits the proliferation and invasion of trophoblast cells in preeclampsia. </w:t>
      </w:r>
      <w:r w:rsidRPr="00283825">
        <w:rPr>
          <w:rFonts w:cs="Times New Roman"/>
          <w:i/>
          <w:iCs/>
          <w:noProof/>
          <w:szCs w:val="24"/>
        </w:rPr>
        <w:t>J. Cell. Biochem.</w:t>
      </w:r>
      <w:r w:rsidRPr="00283825">
        <w:rPr>
          <w:rFonts w:cs="Times New Roman"/>
          <w:noProof/>
          <w:szCs w:val="24"/>
        </w:rPr>
        <w:t xml:space="preserve"> 119, 1141–1151. doi:10.1002/jcb.26282.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Demirer, S., Hocaoglu, M., Turgut, A., Karateke, A., and Komurcu-Bayrak, E. (2020). Expression profiles of candidate microRNAs in the peripheral blood leukocytes of patients with early- and late-onset preeclampsia versus normal pregnancies. </w:t>
      </w:r>
      <w:r w:rsidRPr="00283825">
        <w:rPr>
          <w:rFonts w:cs="Times New Roman"/>
          <w:i/>
          <w:iCs/>
          <w:noProof/>
          <w:szCs w:val="24"/>
        </w:rPr>
        <w:t>Pregnancy Hypertens.</w:t>
      </w:r>
      <w:r w:rsidRPr="00283825">
        <w:rPr>
          <w:rFonts w:cs="Times New Roman"/>
          <w:noProof/>
          <w:szCs w:val="24"/>
        </w:rPr>
        <w:t xml:space="preserve"> 19, 239–245. doi:10.1016/j.preghy.2019.11.003.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Devor, E., Santillan, D., Scroggins, S., Warrier, A., and Santillan, M. (2020). Trimester-specific plasma exosome microRNA expression profiles in preeclampsia. </w:t>
      </w:r>
      <w:r w:rsidRPr="00283825">
        <w:rPr>
          <w:rFonts w:cs="Times New Roman"/>
          <w:i/>
          <w:iCs/>
          <w:noProof/>
          <w:szCs w:val="24"/>
        </w:rPr>
        <w:t>J. Matern. Neonatal Med.</w:t>
      </w:r>
      <w:r w:rsidRPr="00283825">
        <w:rPr>
          <w:rFonts w:cs="Times New Roman"/>
          <w:noProof/>
          <w:szCs w:val="24"/>
        </w:rPr>
        <w:t xml:space="preserve"> 33, 3116–3124. doi:10.1080/14767058.2019.1569614.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Ding, J., Huang, F., Wu, G., Han, T., Xu, F., Weng, D., et al. (2015). MiR-519d-3p suppresses invasion and migration of trophoblast cells via targeting MMP-2. </w:t>
      </w:r>
      <w:r w:rsidRPr="00283825">
        <w:rPr>
          <w:rFonts w:cs="Times New Roman"/>
          <w:i/>
          <w:iCs/>
          <w:noProof/>
          <w:szCs w:val="24"/>
        </w:rPr>
        <w:t>PLoS One</w:t>
      </w:r>
      <w:r w:rsidRPr="00283825">
        <w:rPr>
          <w:rFonts w:cs="Times New Roman"/>
          <w:noProof/>
          <w:szCs w:val="24"/>
        </w:rPr>
        <w:t xml:space="preserve"> 10, e0120321. doi:10.1371/journal.pone.0120321.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Dong, K., Zhang, X., Ma, L., Gao, N., Tang, H., Jian, F., et al. (2019). Downregulations of circulating miR-31 and miR-21 are associated with preeclampsia. </w:t>
      </w:r>
      <w:r w:rsidRPr="00283825">
        <w:rPr>
          <w:rFonts w:cs="Times New Roman"/>
          <w:i/>
          <w:iCs/>
          <w:noProof/>
          <w:szCs w:val="24"/>
        </w:rPr>
        <w:t>Pregnancy Hypertens.</w:t>
      </w:r>
      <w:r w:rsidRPr="00283825">
        <w:rPr>
          <w:rFonts w:cs="Times New Roman"/>
          <w:noProof/>
          <w:szCs w:val="24"/>
        </w:rPr>
        <w:t xml:space="preserve"> 17, 59–63. doi:10.1016/j.preghy.2019.05.013.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Doridot, L., Houry, D., Gaillard, H., Chelbi, S. T., Barbaux, S., and Vaiman, D. (2014). miR-34A expression, epigenetic regulation, and function in human placental diseases. </w:t>
      </w:r>
      <w:r w:rsidRPr="00283825">
        <w:rPr>
          <w:rFonts w:cs="Times New Roman"/>
          <w:i/>
          <w:iCs/>
          <w:noProof/>
          <w:szCs w:val="24"/>
        </w:rPr>
        <w:t>Epigenetics</w:t>
      </w:r>
      <w:r w:rsidRPr="00283825">
        <w:rPr>
          <w:rFonts w:cs="Times New Roman"/>
          <w:noProof/>
          <w:szCs w:val="24"/>
        </w:rPr>
        <w:t xml:space="preserve"> 9, 142–151. doi:10.4161/epi.26196.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lastRenderedPageBreak/>
        <w:t xml:space="preserve">Eghbal-Fard, S., Yousefi, M., Heydarlou, H., Ahmadi, M., Taghavi, S., Movasaghpour, A., et al. (2019). The imbalance of Th17/Treg axis involved in the pathogenesis of preeclampsia. </w:t>
      </w:r>
      <w:r w:rsidRPr="00283825">
        <w:rPr>
          <w:rFonts w:cs="Times New Roman"/>
          <w:i/>
          <w:iCs/>
          <w:noProof/>
          <w:szCs w:val="24"/>
        </w:rPr>
        <w:t>J. Cell. Physiol.</w:t>
      </w:r>
      <w:r w:rsidRPr="00283825">
        <w:rPr>
          <w:rFonts w:cs="Times New Roman"/>
          <w:noProof/>
          <w:szCs w:val="24"/>
        </w:rPr>
        <w:t xml:space="preserve"> 234, 5106–5116. doi:10.1002/jcp.27315.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Enquobahrie, D. A., Abetew, D. F., Sorensen, T. K., Willoughby, D., Chidambaram, K., and Williams, M. A. (2011). Placental microRNA expression in pregnancies complicated by preeclampsia. </w:t>
      </w:r>
      <w:r w:rsidRPr="00283825">
        <w:rPr>
          <w:rFonts w:cs="Times New Roman"/>
          <w:i/>
          <w:iCs/>
          <w:noProof/>
          <w:szCs w:val="24"/>
        </w:rPr>
        <w:t>Am. J. Obstet. Gynecol.</w:t>
      </w:r>
      <w:r w:rsidRPr="00283825">
        <w:rPr>
          <w:rFonts w:cs="Times New Roman"/>
          <w:noProof/>
          <w:szCs w:val="24"/>
        </w:rPr>
        <w:t xml:space="preserve"> 204, 178.e12-178.e21. doi:10.1016/j.ajog.2010.09.004.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Fang, M., Du, H., Han, B., Xia, G., Shi, X., Zhang, F., et al. (2017). Hypoxia-inducible microRNA-218 inhibits trophoblast invasion by targeting LASP1: Implications for preeclampsia development. </w:t>
      </w:r>
      <w:r w:rsidRPr="00283825">
        <w:rPr>
          <w:rFonts w:cs="Times New Roman"/>
          <w:i/>
          <w:iCs/>
          <w:noProof/>
          <w:szCs w:val="24"/>
        </w:rPr>
        <w:t>Int. J. Biochem. Cell Biol.</w:t>
      </w:r>
      <w:r w:rsidRPr="00283825">
        <w:rPr>
          <w:rFonts w:cs="Times New Roman"/>
          <w:noProof/>
          <w:szCs w:val="24"/>
        </w:rPr>
        <w:t xml:space="preserve"> 87, 95–103. doi:10.1016/j.biocel.2017.04.005.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Fang, Y., Huang, Z., Tan, W., Zhang, Q., L, W., and Wu, J. (2018). High expression of miR-182-5p promotes preeclampsia progression. </w:t>
      </w:r>
      <w:r w:rsidRPr="00283825">
        <w:rPr>
          <w:rFonts w:cs="Times New Roman"/>
          <w:i/>
          <w:iCs/>
          <w:noProof/>
          <w:szCs w:val="24"/>
        </w:rPr>
        <w:t>Eur. Rev. Med. Pharmacol. Sci.</w:t>
      </w:r>
      <w:r w:rsidRPr="00283825">
        <w:rPr>
          <w:rFonts w:cs="Times New Roman"/>
          <w:noProof/>
          <w:szCs w:val="24"/>
        </w:rPr>
        <w:t xml:space="preserve"> 22, 6583–6590. doi:10.26355/eurrev_201810_16132.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Fu, G., Ye, G., Nadeem, L., Ji, L., Manchanda, T., Wang, Y., et al. (2013). MicroRNA-376c impairs transforming growth factor-β and nodal signaling to promote trophoblast cell proliferation and invasion. </w:t>
      </w:r>
      <w:r w:rsidRPr="00283825">
        <w:rPr>
          <w:rFonts w:cs="Times New Roman"/>
          <w:i/>
          <w:iCs/>
          <w:noProof/>
          <w:szCs w:val="24"/>
        </w:rPr>
        <w:t>Hypertens. (Dallas, Tex.  1979)</w:t>
      </w:r>
      <w:r w:rsidRPr="00283825">
        <w:rPr>
          <w:rFonts w:cs="Times New Roman"/>
          <w:noProof/>
          <w:szCs w:val="24"/>
        </w:rPr>
        <w:t xml:space="preserve"> 61, 864–872. doi:10.1161/HYPERTENSIONAHA.111.203489.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Gan, L., Liu, Z., Wei, M., Chen, Y., Yang, X., Chen, L., et al. (2017). MIR-210 and miR-155 as potential diagnostic markers for pre-eclampsia pregnancies. </w:t>
      </w:r>
      <w:r w:rsidRPr="00283825">
        <w:rPr>
          <w:rFonts w:cs="Times New Roman"/>
          <w:i/>
          <w:iCs/>
          <w:noProof/>
          <w:szCs w:val="24"/>
        </w:rPr>
        <w:t>Med. (United States)</w:t>
      </w:r>
      <w:r w:rsidRPr="00283825">
        <w:rPr>
          <w:rFonts w:cs="Times New Roman"/>
          <w:noProof/>
          <w:szCs w:val="24"/>
        </w:rPr>
        <w:t xml:space="preserve"> 96, e7515. doi:10.1097/MD.0000000000007515.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Gao, S., Wang, Y., Han, S., and Zhang, Q. (2017). Up-regulated microRNA-300 in maternal whole peripheral blood and placenta associated with pregnancy-induced hypertension and preeclampsia. </w:t>
      </w:r>
      <w:r w:rsidRPr="00283825">
        <w:rPr>
          <w:rFonts w:cs="Times New Roman"/>
          <w:i/>
          <w:iCs/>
          <w:noProof/>
          <w:szCs w:val="24"/>
        </w:rPr>
        <w:t>Int J Clin Exp Pathol</w:t>
      </w:r>
      <w:r w:rsidRPr="00283825">
        <w:rPr>
          <w:rFonts w:cs="Times New Roman"/>
          <w:noProof/>
          <w:szCs w:val="24"/>
        </w:rPr>
        <w:t xml:space="preserve"> 10, 4232–4242.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Gao, X., Li, H., and Wei, J.-X. (2018a). MiR-4421 regulates the progression of preeclampsia by regulating CYP11B2. </w:t>
      </w:r>
      <w:r w:rsidRPr="00283825">
        <w:rPr>
          <w:rFonts w:cs="Times New Roman"/>
          <w:i/>
          <w:iCs/>
          <w:noProof/>
          <w:szCs w:val="24"/>
        </w:rPr>
        <w:t>Eur Rev Med Pharmacol Sci</w:t>
      </w:r>
      <w:r w:rsidRPr="00283825">
        <w:rPr>
          <w:rFonts w:cs="Times New Roman"/>
          <w:noProof/>
          <w:szCs w:val="24"/>
        </w:rPr>
        <w:t xml:space="preserve"> 22, 1533–1540. doi:10.26355/eurrev_201803_14557.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Gao, Y., She, R., Wang, Q., Li, Y., and Zhang, H. (2018b). Up-regulation of miR-299 suppressed the invasion and migration of HTR-8/SVneo trophoblast cells partly via targeting HDAC2 in pre-eclampsia. </w:t>
      </w:r>
      <w:r w:rsidRPr="00283825">
        <w:rPr>
          <w:rFonts w:cs="Times New Roman"/>
          <w:i/>
          <w:iCs/>
          <w:noProof/>
          <w:szCs w:val="24"/>
        </w:rPr>
        <w:t>Biomed. Pharmacother.</w:t>
      </w:r>
      <w:r w:rsidRPr="00283825">
        <w:rPr>
          <w:rFonts w:cs="Times New Roman"/>
          <w:noProof/>
          <w:szCs w:val="24"/>
        </w:rPr>
        <w:t xml:space="preserve"> 97, 1222–1228. doi:10.1016/j.biopha.2017.11.053.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Gunel, T., Hosseini, M. K., Gumusoglu, E., Kisakesen, H. I., Benian, A., and Aydinli, K. (2017). Expression profiling of maternal plasma and placenta microRNAs in preeclamptic pregnancies by microarray technology. </w:t>
      </w:r>
      <w:r w:rsidRPr="00283825">
        <w:rPr>
          <w:rFonts w:cs="Times New Roman"/>
          <w:i/>
          <w:iCs/>
          <w:noProof/>
          <w:szCs w:val="24"/>
        </w:rPr>
        <w:t>Placenta</w:t>
      </w:r>
      <w:r w:rsidRPr="00283825">
        <w:rPr>
          <w:rFonts w:cs="Times New Roman"/>
          <w:noProof/>
          <w:szCs w:val="24"/>
        </w:rPr>
        <w:t xml:space="preserve"> 52, 77–85. doi:10.1016/j.placenta.2017.02.019.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Gunel, T., Kamali, N., Hosseini, M. K., Gumusoglu, E., Benian, A., and Aydinli, K. (2020). Regulatory effect of miR-195 in the placental dysfunction of preeclampsia. </w:t>
      </w:r>
      <w:r w:rsidRPr="00283825">
        <w:rPr>
          <w:rFonts w:cs="Times New Roman"/>
          <w:i/>
          <w:iCs/>
          <w:noProof/>
          <w:szCs w:val="24"/>
        </w:rPr>
        <w:t>J. Matern. Neonatal Med.</w:t>
      </w:r>
      <w:r w:rsidRPr="00283825">
        <w:rPr>
          <w:rFonts w:cs="Times New Roman"/>
          <w:noProof/>
          <w:szCs w:val="24"/>
        </w:rPr>
        <w:t xml:space="preserve"> 33, 901–908. doi:10.1080/14767058.2018.1508439.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Gunel, T., Zeybek, Y. G., Akçakaya, P., Kalelioğlu, I., Benian, A., Ermis, H., et al. (2011). Serum microRNA expression in pregnancies with preeclampsia. </w:t>
      </w:r>
      <w:r w:rsidRPr="00283825">
        <w:rPr>
          <w:rFonts w:cs="Times New Roman"/>
          <w:i/>
          <w:iCs/>
          <w:noProof/>
          <w:szCs w:val="24"/>
        </w:rPr>
        <w:t>Genet. Mol. Res.</w:t>
      </w:r>
      <w:r w:rsidRPr="00283825">
        <w:rPr>
          <w:rFonts w:cs="Times New Roman"/>
          <w:noProof/>
          <w:szCs w:val="24"/>
        </w:rPr>
        <w:t xml:space="preserve"> 10, 4034–4040. doi:10.4238/2011.November.8.5.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Guo, L., Liu, Y., Guo, Y., Yang, Y., and Chen, B. (2018). MicroRNA-423–5p inhibits the </w:t>
      </w:r>
      <w:r w:rsidRPr="00283825">
        <w:rPr>
          <w:rFonts w:cs="Times New Roman"/>
          <w:noProof/>
          <w:szCs w:val="24"/>
        </w:rPr>
        <w:lastRenderedPageBreak/>
        <w:t xml:space="preserve">progression of trophoblast cells via targeting IGF2BP1. </w:t>
      </w:r>
      <w:r w:rsidRPr="00283825">
        <w:rPr>
          <w:rFonts w:cs="Times New Roman"/>
          <w:i/>
          <w:iCs/>
          <w:noProof/>
          <w:szCs w:val="24"/>
        </w:rPr>
        <w:t>Placenta</w:t>
      </w:r>
      <w:r w:rsidRPr="00283825">
        <w:rPr>
          <w:rFonts w:cs="Times New Roman"/>
          <w:noProof/>
          <w:szCs w:val="24"/>
        </w:rPr>
        <w:t xml:space="preserve"> 74, 1–8. doi:10.1016/j.placenta.2018.12.003.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Guo, L., Tsai, S. Q., Hardison, N. E., James, A. H., Motsinger-Reif, A. A., Thames, B., et al. (2013). Differentially expressed microRNAs and affected biological pathways revealed by modulated modularity clustering (MMC) analysis of human preeclamptic and IUGR placentas. </w:t>
      </w:r>
      <w:r w:rsidRPr="00283825">
        <w:rPr>
          <w:rFonts w:cs="Times New Roman"/>
          <w:i/>
          <w:iCs/>
          <w:noProof/>
          <w:szCs w:val="24"/>
        </w:rPr>
        <w:t>Placenta</w:t>
      </w:r>
      <w:r w:rsidRPr="00283825">
        <w:rPr>
          <w:rFonts w:cs="Times New Roman"/>
          <w:noProof/>
          <w:szCs w:val="24"/>
        </w:rPr>
        <w:t xml:space="preserve"> 34, 599–605. doi:10.1016/j.placenta.2013.04.007.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Guo, L., Yang, Q., Lu, J., Li, H., Ge, Q., Gu, W., et al. (2011). A comprehensive survey of miRNA repertoire and 3′ addition events in the placentas of patients with pre-eclampsia from high-throughput sequencing. </w:t>
      </w:r>
      <w:r w:rsidRPr="00283825">
        <w:rPr>
          <w:rFonts w:cs="Times New Roman"/>
          <w:i/>
          <w:iCs/>
          <w:noProof/>
          <w:szCs w:val="24"/>
        </w:rPr>
        <w:t>PLoS One</w:t>
      </w:r>
      <w:r w:rsidRPr="00283825">
        <w:rPr>
          <w:rFonts w:cs="Times New Roman"/>
          <w:noProof/>
          <w:szCs w:val="24"/>
        </w:rPr>
        <w:t xml:space="preserve"> 6, e21072. doi:10.1371/journal.pone.0021072.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Guo, M., Zhao, X., Yuan, X., and Li, P. (2017). Elevated microRNA-34a contributes to trophoblast cell apoptosis in preeclampsia by targeting BCL-2. </w:t>
      </w:r>
      <w:r w:rsidRPr="00283825">
        <w:rPr>
          <w:rFonts w:cs="Times New Roman"/>
          <w:i/>
          <w:iCs/>
          <w:noProof/>
          <w:szCs w:val="24"/>
        </w:rPr>
        <w:t>J. Hum. Hypertens.</w:t>
      </w:r>
      <w:r w:rsidRPr="00283825">
        <w:rPr>
          <w:rFonts w:cs="Times New Roman"/>
          <w:noProof/>
          <w:szCs w:val="24"/>
        </w:rPr>
        <w:t xml:space="preserve"> 31, 815–820. doi:10.1038/jhh.2017.65.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Han, L., Zhao, Y., Luo, Q. Q., Liu, X. X., Lu, S. S., and Zou, L. (2017). The significance of miR-145 in the prediction of preeclampsia. </w:t>
      </w:r>
      <w:r w:rsidRPr="00283825">
        <w:rPr>
          <w:rFonts w:cs="Times New Roman"/>
          <w:i/>
          <w:iCs/>
          <w:noProof/>
          <w:szCs w:val="24"/>
        </w:rPr>
        <w:t>Bratislava Med. J.</w:t>
      </w:r>
      <w:r w:rsidRPr="00283825">
        <w:rPr>
          <w:rFonts w:cs="Times New Roman"/>
          <w:noProof/>
          <w:szCs w:val="24"/>
        </w:rPr>
        <w:t xml:space="preserve"> 118, 523–528. doi:10.4149/BLL_2017_101.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Hayder, H., Fu, G., Nadeem, L., O’brien, J. A., Lye, S. J., and Peng, C. (2021). Overexpression of mir-210-3p impairs extravillous trophoblast functions associated with uterine spiral artery remodeling. </w:t>
      </w:r>
      <w:r w:rsidRPr="00283825">
        <w:rPr>
          <w:rFonts w:cs="Times New Roman"/>
          <w:i/>
          <w:iCs/>
          <w:noProof/>
          <w:szCs w:val="24"/>
        </w:rPr>
        <w:t>Int. J. Mol. Sci.</w:t>
      </w:r>
      <w:r w:rsidRPr="00283825">
        <w:rPr>
          <w:rFonts w:cs="Times New Roman"/>
          <w:noProof/>
          <w:szCs w:val="24"/>
        </w:rPr>
        <w:t xml:space="preserve"> 22, 3961. doi:10.3390/ijms22083961.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Hocaoglu, M., Demirer, S., Senturk, H., Turgut, A., and Komurcu-Bayrak, E. (2019). Differential expression of candidate circulating microRNAs in maternal blood leukocytes of the patients with preeclampsia and gestational diabetes mellitus. </w:t>
      </w:r>
      <w:r w:rsidRPr="00283825">
        <w:rPr>
          <w:rFonts w:cs="Times New Roman"/>
          <w:i/>
          <w:iCs/>
          <w:noProof/>
          <w:szCs w:val="24"/>
        </w:rPr>
        <w:t>Pregnancy Hypertens.</w:t>
      </w:r>
      <w:r w:rsidRPr="00283825">
        <w:rPr>
          <w:rFonts w:cs="Times New Roman"/>
          <w:noProof/>
          <w:szCs w:val="24"/>
        </w:rPr>
        <w:t xml:space="preserve"> 17, 5–11. doi:10.1016/j.preghy.2019.04.004.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Hong, F., Li, Y., and Xu, Y. (2014). Decreased placental miR-126 expression and vascular endothelial growth factor levels in patients with pre-eclampsia. </w:t>
      </w:r>
      <w:r w:rsidRPr="00283825">
        <w:rPr>
          <w:rFonts w:cs="Times New Roman"/>
          <w:i/>
          <w:iCs/>
          <w:noProof/>
          <w:szCs w:val="24"/>
        </w:rPr>
        <w:t>J. Int. Med. Res.</w:t>
      </w:r>
      <w:r w:rsidRPr="00283825">
        <w:rPr>
          <w:rFonts w:cs="Times New Roman"/>
          <w:noProof/>
          <w:szCs w:val="24"/>
        </w:rPr>
        <w:t xml:space="preserve"> 42, 1243–1251. doi:10.1177/0300060514540627.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Dvorakova, L., Kotlabova, K., and Krofta, L. (2019a). The prediction of gestational hypertension, preeclampsia and fetal growth restriction via the first trimester screening of plasma exosomal C19MC microRNAs. </w:t>
      </w:r>
      <w:r w:rsidRPr="00283825">
        <w:rPr>
          <w:rFonts w:cs="Times New Roman"/>
          <w:i/>
          <w:iCs/>
          <w:noProof/>
          <w:szCs w:val="24"/>
        </w:rPr>
        <w:t>Int. J. Mol. Sci.</w:t>
      </w:r>
      <w:r w:rsidRPr="00283825">
        <w:rPr>
          <w:rFonts w:cs="Times New Roman"/>
          <w:noProof/>
          <w:szCs w:val="24"/>
        </w:rPr>
        <w:t xml:space="preserve"> 20, 2972. doi:10.3390/ijms20122972.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Kotlabova, K., Doucha, J., Dlouha, K., and Krofta, L. (2012). Absolute and relative quantification of placenta-specific microRNAs in maternal circulation with placental insufficiency - Related complications. </w:t>
      </w:r>
      <w:r w:rsidRPr="00283825">
        <w:rPr>
          <w:rFonts w:cs="Times New Roman"/>
          <w:i/>
          <w:iCs/>
          <w:noProof/>
          <w:szCs w:val="24"/>
        </w:rPr>
        <w:t>J. Mol. Diagnostics</w:t>
      </w:r>
      <w:r w:rsidRPr="00283825">
        <w:rPr>
          <w:rFonts w:cs="Times New Roman"/>
          <w:noProof/>
          <w:szCs w:val="24"/>
        </w:rPr>
        <w:t xml:space="preserve"> 14, 160–167. doi:10.1016/j.jmoldx.2011.11.003.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Kotlabova, K., Dvorakova, L., and Krofta, L. (2019b). Postpartum profiling of microRNAs involved in pathogenesis of cardiovascular/cerebrovascular diseases in women exposed to pregnancy-related complications. </w:t>
      </w:r>
      <w:r w:rsidRPr="00283825">
        <w:rPr>
          <w:rFonts w:cs="Times New Roman"/>
          <w:i/>
          <w:iCs/>
          <w:noProof/>
          <w:szCs w:val="24"/>
        </w:rPr>
        <w:t>Int. J. Cardiol.</w:t>
      </w:r>
      <w:r w:rsidRPr="00283825">
        <w:rPr>
          <w:rFonts w:cs="Times New Roman"/>
          <w:noProof/>
          <w:szCs w:val="24"/>
        </w:rPr>
        <w:t xml:space="preserve"> 291, 158–167. doi:10.1016/j.ijcard.2019.05.036.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Kotlabova, K., Hympanova, L., and Krofta, L. (2015a). Cardiovascular and </w:t>
      </w:r>
      <w:r w:rsidRPr="00283825">
        <w:rPr>
          <w:rFonts w:cs="Times New Roman"/>
          <w:noProof/>
          <w:szCs w:val="24"/>
        </w:rPr>
        <w:lastRenderedPageBreak/>
        <w:t xml:space="preserve">cerebrovascular disease associated microRNAS are dysregulated in placental tissues affected with gestational hypertension, preeclampsia and intrauterine growth restriction. </w:t>
      </w:r>
      <w:r w:rsidRPr="00283825">
        <w:rPr>
          <w:rFonts w:cs="Times New Roman"/>
          <w:i/>
          <w:iCs/>
          <w:noProof/>
          <w:szCs w:val="24"/>
        </w:rPr>
        <w:t>PLoS One</w:t>
      </w:r>
      <w:r w:rsidRPr="00283825">
        <w:rPr>
          <w:rFonts w:cs="Times New Roman"/>
          <w:noProof/>
          <w:szCs w:val="24"/>
        </w:rPr>
        <w:t xml:space="preserve"> 10, e0138383. doi:10.1371/journal.pone.0138383.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Kotlabova, K., Hympanova, L., and Krofta, L. (2016). Gestational hypertension, preeclampsia and intrauterine growth restriction induce dysregulation of cardiovascular and cerebrovascular disease associated microRNAs in maternal whole peripheral blood. </w:t>
      </w:r>
      <w:r w:rsidRPr="00283825">
        <w:rPr>
          <w:rFonts w:cs="Times New Roman"/>
          <w:i/>
          <w:iCs/>
          <w:noProof/>
          <w:szCs w:val="24"/>
        </w:rPr>
        <w:t>Thromb. Res.</w:t>
      </w:r>
      <w:r w:rsidRPr="00283825">
        <w:rPr>
          <w:rFonts w:cs="Times New Roman"/>
          <w:noProof/>
          <w:szCs w:val="24"/>
        </w:rPr>
        <w:t xml:space="preserve"> 137, 126–140. doi:10.1016/j.thromres.2015.11.032.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Kotlabova, K., Ivankova, K., Vedmetskaya, Y., and Krofta, L. (2017). Profiling of cardiovascular and cerebrovascular disease associated microRNA expression in umbilical cord blood in gestational hypertension, preeclampsia and fetal growth restriction. </w:t>
      </w:r>
      <w:r w:rsidRPr="00283825">
        <w:rPr>
          <w:rFonts w:cs="Times New Roman"/>
          <w:i/>
          <w:iCs/>
          <w:noProof/>
          <w:szCs w:val="24"/>
        </w:rPr>
        <w:t>Int. J. Cardiol.</w:t>
      </w:r>
      <w:r w:rsidRPr="00283825">
        <w:rPr>
          <w:rFonts w:cs="Times New Roman"/>
          <w:noProof/>
          <w:szCs w:val="24"/>
        </w:rPr>
        <w:t xml:space="preserve"> 249, 402–409. doi:10.1016/j.ijcard.2017.07.045.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Kotlabova, K., Ondrackova, M., Kestlerova, A., Novotna, V., Hympanova, L., et al. (2013). Circulating C19MC MicroRNAs in preeclampsia, gestational hypertension, and fetal growth restriction. </w:t>
      </w:r>
      <w:r w:rsidRPr="00283825">
        <w:rPr>
          <w:rFonts w:cs="Times New Roman"/>
          <w:i/>
          <w:iCs/>
          <w:noProof/>
          <w:szCs w:val="24"/>
        </w:rPr>
        <w:t>Mediators Inflamm.</w:t>
      </w:r>
      <w:r w:rsidRPr="00283825">
        <w:rPr>
          <w:rFonts w:cs="Times New Roman"/>
          <w:noProof/>
          <w:szCs w:val="24"/>
        </w:rPr>
        <w:t xml:space="preserve"> 2013, 186041. doi:10.1155/2013/186041.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Hromadnikova, I., Kotlabova, K., Ondrackova, M., Pirkova, P., Kestlerova, A., Novotna, V., et al. (2015b). Expression profile of C19MC microRNAs in placental tissue in pregnancy-related complications. </w:t>
      </w:r>
      <w:r w:rsidRPr="00283825">
        <w:rPr>
          <w:rFonts w:cs="Times New Roman"/>
          <w:i/>
          <w:iCs/>
          <w:noProof/>
          <w:szCs w:val="24"/>
        </w:rPr>
        <w:t>DNA Cell Biol.</w:t>
      </w:r>
      <w:r w:rsidRPr="00283825">
        <w:rPr>
          <w:rFonts w:cs="Times New Roman"/>
          <w:noProof/>
          <w:szCs w:val="24"/>
        </w:rPr>
        <w:t xml:space="preserve"> 34, 437–457. doi:10.1089/dna.2014.2687.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Hu, E., Ding, L., Miao, H., Liu, F., Liu, D., Dou, H., et al. (2015). MiR-30a attenuates immunosuppressive functions of IL-1β-elicited mesenchymal stem cells via targeting TAB3. </w:t>
      </w:r>
      <w:r w:rsidRPr="00283825">
        <w:rPr>
          <w:rFonts w:cs="Times New Roman"/>
          <w:i/>
          <w:iCs/>
          <w:noProof/>
          <w:szCs w:val="24"/>
        </w:rPr>
        <w:t>FEBS Lett.</w:t>
      </w:r>
      <w:r w:rsidRPr="00283825">
        <w:rPr>
          <w:rFonts w:cs="Times New Roman"/>
          <w:noProof/>
          <w:szCs w:val="24"/>
        </w:rPr>
        <w:t xml:space="preserve"> 589, 3899–3907. doi:10.1016/j.febslet.2015.11.001.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Hu, S., Li, J., Tung, M., Li, Q., Chen, Y., Lu, H., et al. (2019). MicroRNA-144-3p may participate in the pathogenesis of preeclampsia by targeting Cox-2. </w:t>
      </w:r>
      <w:r w:rsidRPr="00283825">
        <w:rPr>
          <w:rFonts w:cs="Times New Roman"/>
          <w:i/>
          <w:iCs/>
          <w:noProof/>
          <w:szCs w:val="24"/>
        </w:rPr>
        <w:t>Mol. Med. Rep.</w:t>
      </w:r>
      <w:r w:rsidRPr="00283825">
        <w:rPr>
          <w:rFonts w:cs="Times New Roman"/>
          <w:noProof/>
          <w:szCs w:val="24"/>
        </w:rPr>
        <w:t xml:space="preserve"> 19, 4655–4662. doi:10.3892/mmr.2019.10150.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Hu, T. X., Guo, X., Wang, G., Gao, L., He, P., Xia, Y., et al. (2017). MiR133b is involved in endogenous hydrogen sulfide suppression of sFlt-1 production in human placenta. </w:t>
      </w:r>
      <w:r w:rsidRPr="00283825">
        <w:rPr>
          <w:rFonts w:cs="Times New Roman"/>
          <w:i/>
          <w:iCs/>
          <w:noProof/>
          <w:szCs w:val="24"/>
        </w:rPr>
        <w:t>Placenta</w:t>
      </w:r>
      <w:r w:rsidRPr="00283825">
        <w:rPr>
          <w:rFonts w:cs="Times New Roman"/>
          <w:noProof/>
          <w:szCs w:val="24"/>
        </w:rPr>
        <w:t xml:space="preserve"> 52, 33–40. doi:10.1016/j.placenta.2017.02.012.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Hu, T. X., Wang, G., Guo, X. J., Sun, Q. Q., He, P., Gu, H., et al. (2016). MiR 20a,-20b and -200c are involved in hydrogen sulfide stimulation of VEGF production in human placental trophoblasts. </w:t>
      </w:r>
      <w:r w:rsidRPr="00283825">
        <w:rPr>
          <w:rFonts w:cs="Times New Roman"/>
          <w:i/>
          <w:iCs/>
          <w:noProof/>
          <w:szCs w:val="24"/>
        </w:rPr>
        <w:t>Placenta</w:t>
      </w:r>
      <w:r w:rsidRPr="00283825">
        <w:rPr>
          <w:rFonts w:cs="Times New Roman"/>
          <w:noProof/>
          <w:szCs w:val="24"/>
        </w:rPr>
        <w:t xml:space="preserve"> 39, 101–110. doi:10.1016/j.placenta.2016.01.019.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Hu, Y., Li, P., Hao, S., Liu, L., Zhao, J., and Hou, Y. (2009). Differential expression of microRNAs in the placentae of Chinese patients with severe pre-eclampsia. </w:t>
      </w:r>
      <w:r w:rsidRPr="00283825">
        <w:rPr>
          <w:rFonts w:cs="Times New Roman"/>
          <w:i/>
          <w:iCs/>
          <w:noProof/>
          <w:szCs w:val="24"/>
        </w:rPr>
        <w:t>Clin. Chem. Lab. Med.</w:t>
      </w:r>
      <w:r w:rsidRPr="00283825">
        <w:rPr>
          <w:rFonts w:cs="Times New Roman"/>
          <w:noProof/>
          <w:szCs w:val="24"/>
        </w:rPr>
        <w:t xml:space="preserve"> 47, 923–929. doi:10.1515/CCLM.2009.228.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Huang, J., Zheng, L., Kong, H., Wang, F., Su, Y., and Xin, H. (2020). miR-139-5p promotes the proliferation and invasion of trophoblast cells by targeting sFlt-1 in preeclampsia. </w:t>
      </w:r>
      <w:r w:rsidRPr="00283825">
        <w:rPr>
          <w:rFonts w:cs="Times New Roman"/>
          <w:i/>
          <w:iCs/>
          <w:noProof/>
          <w:szCs w:val="24"/>
        </w:rPr>
        <w:t>Placenta</w:t>
      </w:r>
      <w:r w:rsidRPr="00283825">
        <w:rPr>
          <w:rFonts w:cs="Times New Roman"/>
          <w:noProof/>
          <w:szCs w:val="24"/>
        </w:rPr>
        <w:t xml:space="preserve"> 92, 37–43. doi:10.1016/j.placenta.2020.02.003.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Huang, X., Wu, L., Zhang, G., Tang, R., and Zhou, X. (2019). Elevated MicroRNA-181a-5p Contributes to Trophoblast Dysfunction and Preeclampsia. </w:t>
      </w:r>
      <w:r w:rsidRPr="00283825">
        <w:rPr>
          <w:rFonts w:cs="Times New Roman"/>
          <w:i/>
          <w:iCs/>
          <w:noProof/>
          <w:szCs w:val="24"/>
        </w:rPr>
        <w:t>Reprod. Sci.</w:t>
      </w:r>
      <w:r w:rsidRPr="00283825">
        <w:rPr>
          <w:rFonts w:cs="Times New Roman"/>
          <w:noProof/>
          <w:szCs w:val="24"/>
        </w:rPr>
        <w:t xml:space="preserve"> 26, 1121–1129. doi:10.1177/1933719118808916.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lastRenderedPageBreak/>
        <w:t xml:space="preserve">Jairajpuri, D. S., Malalla, Z. H., Mahmood, N., and Almawi, W. Y. (2017). Circulating microRNA expression as predictor of preeclampsia and its severity. </w:t>
      </w:r>
      <w:r w:rsidRPr="00283825">
        <w:rPr>
          <w:rFonts w:cs="Times New Roman"/>
          <w:i/>
          <w:iCs/>
          <w:noProof/>
          <w:szCs w:val="24"/>
        </w:rPr>
        <w:t>Gene</w:t>
      </w:r>
      <w:r w:rsidRPr="00283825">
        <w:rPr>
          <w:rFonts w:cs="Times New Roman"/>
          <w:noProof/>
          <w:szCs w:val="24"/>
        </w:rPr>
        <w:t xml:space="preserve"> 627, 543–548. doi:10.1016/j.gene.2017.07.010.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Jairajpuri, D. S., Malalla, Z. H., Sarray, S., and Mahmood, N. (2021). Analysis of differential expression of hypoxia-inducible microRNA-210 gene targets in mild and severe preeclamptic patients. </w:t>
      </w:r>
      <w:r w:rsidRPr="00283825">
        <w:rPr>
          <w:rFonts w:cs="Times New Roman"/>
          <w:i/>
          <w:iCs/>
          <w:noProof/>
          <w:szCs w:val="24"/>
        </w:rPr>
        <w:t>Non-coding RNA Res.</w:t>
      </w:r>
      <w:r w:rsidRPr="00283825">
        <w:rPr>
          <w:rFonts w:cs="Times New Roman"/>
          <w:noProof/>
          <w:szCs w:val="24"/>
        </w:rPr>
        <w:t xml:space="preserve"> 6, 51–57. doi:10.1016/j.ncrna.2021.03.001.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Jelena, M., Sopić, M., Joksić, I., Zmrzljak, U. P., Karadžov-Orlić, N., Košir, R., et al. (2020). Placenta-specific plasma miR518b is a potential biomarker for preeclampsia. </w:t>
      </w:r>
      <w:r w:rsidRPr="00283825">
        <w:rPr>
          <w:rFonts w:cs="Times New Roman"/>
          <w:i/>
          <w:iCs/>
          <w:noProof/>
          <w:szCs w:val="24"/>
        </w:rPr>
        <w:t>Clin. Biochem.</w:t>
      </w:r>
      <w:r w:rsidRPr="00283825">
        <w:rPr>
          <w:rFonts w:cs="Times New Roman"/>
          <w:noProof/>
          <w:szCs w:val="24"/>
        </w:rPr>
        <w:t xml:space="preserve"> 79, 28–33. doi:10.1016/j.clinbiochem.2020.02.012.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Jiang, F., Li, J., Wu, G., Miao, Z., Lu, L., Ren, G., et al. (2015). Upregulation of microRNA-335 and microRNA-584 contributes to the pathogenesis of severe preeclampsia through downregulation of endothelial nitric oxide synthase. </w:t>
      </w:r>
      <w:r w:rsidRPr="00283825">
        <w:rPr>
          <w:rFonts w:cs="Times New Roman"/>
          <w:i/>
          <w:iCs/>
          <w:noProof/>
          <w:szCs w:val="24"/>
        </w:rPr>
        <w:t>Mol. Med. Rep.</w:t>
      </w:r>
      <w:r w:rsidRPr="00283825">
        <w:rPr>
          <w:rFonts w:cs="Times New Roman"/>
          <w:noProof/>
          <w:szCs w:val="24"/>
        </w:rPr>
        <w:t xml:space="preserve"> 12, 5383–5390. doi:10.3892/mmr.2015.4018.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Jiang, L., Long, A., Tan, L., Hong, M., Wu, J., Cai, L., et al. (2017). Elevated microRNA-520g in pre-eclampsia inhibits migration and invasion of trophoblasts. </w:t>
      </w:r>
      <w:r w:rsidRPr="00283825">
        <w:rPr>
          <w:rFonts w:cs="Times New Roman"/>
          <w:i/>
          <w:iCs/>
          <w:noProof/>
          <w:szCs w:val="24"/>
        </w:rPr>
        <w:t>Placenta</w:t>
      </w:r>
      <w:r w:rsidRPr="00283825">
        <w:rPr>
          <w:rFonts w:cs="Times New Roman"/>
          <w:noProof/>
          <w:szCs w:val="24"/>
        </w:rPr>
        <w:t xml:space="preserve"> 51, 70–75. doi:10.1016/j.placenta.2017.02.001.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Jin, M., Li, H., Xu, H., Huo, G., and Yao, Y. (2017). MicroRNA-20b inhibits trophoblast cell migration and invasion by targeting MMP-2. </w:t>
      </w:r>
      <w:r w:rsidRPr="00283825">
        <w:rPr>
          <w:rFonts w:cs="Times New Roman"/>
          <w:i/>
          <w:iCs/>
          <w:noProof/>
          <w:szCs w:val="24"/>
        </w:rPr>
        <w:t>Int J Clin Exp Pathol</w:t>
      </w:r>
      <w:r w:rsidRPr="00283825">
        <w:rPr>
          <w:rFonts w:cs="Times New Roman"/>
          <w:noProof/>
          <w:szCs w:val="24"/>
        </w:rPr>
        <w:t xml:space="preserve"> 10, 10901–10909.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Khaliq, O. P., Murugesan, S., Moodley, J., and Mackraj, I. (2018). Differential expression of miRNAs are associated with the insulin signaling pathway in preeclampsia and gestational hypertension. </w:t>
      </w:r>
      <w:r w:rsidRPr="00283825">
        <w:rPr>
          <w:rFonts w:cs="Times New Roman"/>
          <w:i/>
          <w:iCs/>
          <w:noProof/>
          <w:szCs w:val="24"/>
        </w:rPr>
        <w:t>Clin. Exp. Hypertens.</w:t>
      </w:r>
      <w:r w:rsidRPr="00283825">
        <w:rPr>
          <w:rFonts w:cs="Times New Roman"/>
          <w:noProof/>
          <w:szCs w:val="24"/>
        </w:rPr>
        <w:t xml:space="preserve"> 40, 744–751. doi:10.1080/10641963.2018.1431257.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Kim, S., Lee, K. S., Choi, S., Kim, J., Lee, D. K., Park, M., et al. (2018). NF-B–responsive miRNA-31-5p elicits endothelial dysfunction associated with preeclampsia via downregulation of endothelial nitric-oxide synthase. </w:t>
      </w:r>
      <w:r w:rsidRPr="00283825">
        <w:rPr>
          <w:rFonts w:cs="Times New Roman"/>
          <w:i/>
          <w:iCs/>
          <w:noProof/>
          <w:szCs w:val="24"/>
        </w:rPr>
        <w:t>J. Biol. Chem.</w:t>
      </w:r>
      <w:r w:rsidRPr="00283825">
        <w:rPr>
          <w:rFonts w:cs="Times New Roman"/>
          <w:noProof/>
          <w:szCs w:val="24"/>
        </w:rPr>
        <w:t xml:space="preserve"> 293, 18989–19000. doi:10.1074/jbc.RA118.005197.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Korkes, H. A., De Oliveira, L., Sass, N., Salahuddin, S., Karumanchi, S. A., and Rajakumar, A. (2017). Relationship between hypoxia and downstream pathogenic pathways in preeclampsia. </w:t>
      </w:r>
      <w:r w:rsidRPr="00283825">
        <w:rPr>
          <w:rFonts w:cs="Times New Roman"/>
          <w:i/>
          <w:iCs/>
          <w:noProof/>
          <w:szCs w:val="24"/>
        </w:rPr>
        <w:t>Hypertens. Pregnancy</w:t>
      </w:r>
      <w:r w:rsidRPr="00283825">
        <w:rPr>
          <w:rFonts w:cs="Times New Roman"/>
          <w:noProof/>
          <w:szCs w:val="24"/>
        </w:rPr>
        <w:t xml:space="preserve"> 36, 145–150. doi:10.1080/10641955.2016.1259627.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Kumar, P., Luo, Y., Tudela, C., Alexander, J. M., and Mendelson, C. R. (2013). The c-Myc-Regulated MicroRNA-17</w:t>
      </w:r>
      <w:r w:rsidRPr="00283825">
        <w:rPr>
          <w:rFonts w:ascii="Cambria Math" w:hAnsi="Cambria Math" w:cs="Cambria Math"/>
          <w:noProof/>
          <w:szCs w:val="24"/>
        </w:rPr>
        <w:t>∼</w:t>
      </w:r>
      <w:r w:rsidRPr="00283825">
        <w:rPr>
          <w:rFonts w:cs="Times New Roman"/>
          <w:noProof/>
          <w:szCs w:val="24"/>
        </w:rPr>
        <w:t>92 (miR-17</w:t>
      </w:r>
      <w:r w:rsidRPr="00283825">
        <w:rPr>
          <w:rFonts w:ascii="Cambria Math" w:hAnsi="Cambria Math" w:cs="Cambria Math"/>
          <w:noProof/>
          <w:szCs w:val="24"/>
        </w:rPr>
        <w:t>∼</w:t>
      </w:r>
      <w:r w:rsidRPr="00283825">
        <w:rPr>
          <w:rFonts w:cs="Times New Roman"/>
          <w:noProof/>
          <w:szCs w:val="24"/>
        </w:rPr>
        <w:t>92) and miR-106a</w:t>
      </w:r>
      <w:r w:rsidRPr="00283825">
        <w:rPr>
          <w:rFonts w:ascii="Cambria Math" w:hAnsi="Cambria Math" w:cs="Cambria Math"/>
          <w:noProof/>
          <w:szCs w:val="24"/>
        </w:rPr>
        <w:t>∼</w:t>
      </w:r>
      <w:r w:rsidRPr="00283825">
        <w:rPr>
          <w:rFonts w:cs="Times New Roman"/>
          <w:noProof/>
          <w:szCs w:val="24"/>
        </w:rPr>
        <w:t xml:space="preserve">363 Clusters Target hCYP19A1 and hGCM1 To Inhibit Human Trophoblast Differentiation. </w:t>
      </w:r>
      <w:r w:rsidRPr="00283825">
        <w:rPr>
          <w:rFonts w:cs="Times New Roman"/>
          <w:i/>
          <w:iCs/>
          <w:noProof/>
          <w:szCs w:val="24"/>
        </w:rPr>
        <w:t>Mol. Cell. Biol.</w:t>
      </w:r>
      <w:r w:rsidRPr="00283825">
        <w:rPr>
          <w:rFonts w:cs="Times New Roman"/>
          <w:noProof/>
          <w:szCs w:val="24"/>
        </w:rPr>
        <w:t xml:space="preserve"> 33, 1782–1796. doi:10.1128/MCB.01228-12.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Lalevée, S., Lapaire, O., and Bühler, M. (2014). MiR455 is linked to hypoxia signaling and is deregulated in preeclampsia. </w:t>
      </w:r>
      <w:r w:rsidRPr="00283825">
        <w:rPr>
          <w:rFonts w:cs="Times New Roman"/>
          <w:i/>
          <w:iCs/>
          <w:noProof/>
          <w:szCs w:val="24"/>
        </w:rPr>
        <w:t>Cell Death Dis.</w:t>
      </w:r>
      <w:r w:rsidRPr="00283825">
        <w:rPr>
          <w:rFonts w:cs="Times New Roman"/>
          <w:noProof/>
          <w:szCs w:val="24"/>
        </w:rPr>
        <w:t xml:space="preserve"> 5, e1408. doi:10.1038/cddis.2014.368.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Lasabová, Z., Vážan, M., Zibolenová, J., Švecová, I., and Lasabová, A. Z. (2015). Overexpression of miR-21 and miR-122 in preeclamptic placentas. </w:t>
      </w:r>
      <w:r w:rsidRPr="00283825">
        <w:rPr>
          <w:rFonts w:cs="Times New Roman"/>
          <w:i/>
          <w:iCs/>
          <w:noProof/>
          <w:szCs w:val="24"/>
        </w:rPr>
        <w:t>Neuroendocr. Lett</w:t>
      </w:r>
      <w:r w:rsidRPr="00283825">
        <w:rPr>
          <w:rFonts w:cs="Times New Roman"/>
          <w:noProof/>
          <w:szCs w:val="24"/>
        </w:rPr>
        <w:t xml:space="preserve"> 36, 26859593–360715.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Lázár, L., Nagy, B., Molvarec, A., Szarka, A., and Rigó, J. (2012). Role of hsa-miR-325 in the </w:t>
      </w:r>
      <w:r w:rsidRPr="00283825">
        <w:rPr>
          <w:rFonts w:cs="Times New Roman"/>
          <w:noProof/>
          <w:szCs w:val="24"/>
        </w:rPr>
        <w:lastRenderedPageBreak/>
        <w:t xml:space="preserve">etiopathology of preeclampsia. </w:t>
      </w:r>
      <w:r w:rsidRPr="00283825">
        <w:rPr>
          <w:rFonts w:cs="Times New Roman"/>
          <w:i/>
          <w:iCs/>
          <w:noProof/>
          <w:szCs w:val="24"/>
        </w:rPr>
        <w:t>Mol. Med. Rep.</w:t>
      </w:r>
      <w:r w:rsidRPr="00283825">
        <w:rPr>
          <w:rFonts w:cs="Times New Roman"/>
          <w:noProof/>
          <w:szCs w:val="24"/>
        </w:rPr>
        <w:t xml:space="preserve"> 6, 597–600. doi:10.3892/mmr.2012.954.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H., Ge, Q., Guo, L., and Lu, Z. (2013a). Maternal plasma miRNAs expression in preeclamptic pregnancies. </w:t>
      </w:r>
      <w:r w:rsidRPr="00283825">
        <w:rPr>
          <w:rFonts w:cs="Times New Roman"/>
          <w:i/>
          <w:iCs/>
          <w:noProof/>
          <w:szCs w:val="24"/>
        </w:rPr>
        <w:t>Biomed Res. Int.</w:t>
      </w:r>
      <w:r w:rsidRPr="00283825">
        <w:rPr>
          <w:rFonts w:cs="Times New Roman"/>
          <w:noProof/>
          <w:szCs w:val="24"/>
        </w:rPr>
        <w:t xml:space="preserve"> 2013, 970265. doi:10.1155/2013/970265.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Li, J., Du, J., Wang, Z., Wang, C., Bai, J., and Zhang, S. (2018). Expression of miR</w:t>
      </w:r>
      <w:r w:rsidRPr="00283825">
        <w:rPr>
          <w:rFonts w:ascii="MS Mincho" w:eastAsia="MS Mincho" w:hAnsi="MS Mincho" w:cs="MS Mincho" w:hint="eastAsia"/>
          <w:noProof/>
          <w:szCs w:val="24"/>
        </w:rPr>
        <w:t>‑</w:t>
      </w:r>
      <w:r w:rsidRPr="00283825">
        <w:rPr>
          <w:rFonts w:cs="Times New Roman"/>
          <w:noProof/>
          <w:szCs w:val="24"/>
        </w:rPr>
        <w:t>376 in blood of pregnant women with preeclampsia and its effect on 25</w:t>
      </w:r>
      <w:r w:rsidRPr="00283825">
        <w:rPr>
          <w:rFonts w:ascii="MS Mincho" w:eastAsia="MS Mincho" w:hAnsi="MS Mincho" w:cs="MS Mincho" w:hint="eastAsia"/>
          <w:noProof/>
          <w:szCs w:val="24"/>
        </w:rPr>
        <w:t>‑</w:t>
      </w:r>
      <w:r w:rsidRPr="00283825">
        <w:rPr>
          <w:rFonts w:cs="Times New Roman"/>
          <w:noProof/>
          <w:szCs w:val="24"/>
        </w:rPr>
        <w:t xml:space="preserve">hydroxyvitamin D. </w:t>
      </w:r>
      <w:r w:rsidRPr="00283825">
        <w:rPr>
          <w:rFonts w:cs="Times New Roman"/>
          <w:i/>
          <w:iCs/>
          <w:noProof/>
          <w:szCs w:val="24"/>
        </w:rPr>
        <w:t>Exp. Ther. Med.</w:t>
      </w:r>
      <w:r w:rsidRPr="00283825">
        <w:rPr>
          <w:rFonts w:cs="Times New Roman"/>
          <w:noProof/>
          <w:szCs w:val="24"/>
        </w:rPr>
        <w:t xml:space="preserve"> 16, 1701–1706. doi:10.3892/etm.2018.6394.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L., Hou, A., Gao, X., Zhang, J., Zhang, L., Wang, J., et al. (2017a). Lentivirus-mediated miR-23a overexpression induces trophoblast cell apoptosis through inhibiting X-linked inhibitor of apoptosis. </w:t>
      </w:r>
      <w:r w:rsidRPr="00283825">
        <w:rPr>
          <w:rFonts w:cs="Times New Roman"/>
          <w:i/>
          <w:iCs/>
          <w:noProof/>
          <w:szCs w:val="24"/>
        </w:rPr>
        <w:t>Biomed. Pharmacother.</w:t>
      </w:r>
      <w:r w:rsidRPr="00283825">
        <w:rPr>
          <w:rFonts w:cs="Times New Roman"/>
          <w:noProof/>
          <w:szCs w:val="24"/>
        </w:rPr>
        <w:t xml:space="preserve"> 94, 412–417. doi:10.1016/j.biopha.2017.07.082.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P., Guo, W., Du, L., Zhao, J., Wang, Y., Liu, L., et al. (2013b). MicroRNA-29b contributes to pre-eclampsia through its effects on apoptosis, invasion and angiogenesis of trophoblast cells. </w:t>
      </w:r>
      <w:r w:rsidRPr="00283825">
        <w:rPr>
          <w:rFonts w:cs="Times New Roman"/>
          <w:i/>
          <w:iCs/>
          <w:noProof/>
          <w:szCs w:val="24"/>
        </w:rPr>
        <w:t>Clin. Sci.</w:t>
      </w:r>
      <w:r w:rsidRPr="00283825">
        <w:rPr>
          <w:rFonts w:cs="Times New Roman"/>
          <w:noProof/>
          <w:szCs w:val="24"/>
        </w:rPr>
        <w:t xml:space="preserve"> 124, 27–40. doi:10.1042/CS20120121.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Q., LONG, A., JIANG, L., CAI, L., XIE, L., GU, J., et al. (2015). Quantification of preeclampsia-related microRNAs in maternal serum. </w:t>
      </w:r>
      <w:r w:rsidRPr="00283825">
        <w:rPr>
          <w:rFonts w:cs="Times New Roman"/>
          <w:i/>
          <w:iCs/>
          <w:noProof/>
          <w:szCs w:val="24"/>
        </w:rPr>
        <w:t>Biomed. Reports</w:t>
      </w:r>
      <w:r w:rsidRPr="00283825">
        <w:rPr>
          <w:rFonts w:cs="Times New Roman"/>
          <w:noProof/>
          <w:szCs w:val="24"/>
        </w:rPr>
        <w:t xml:space="preserve"> 3, 792–796. doi:10.3892/br.2015.524.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Q., Pan, Z., Wang, X., Gao, Z., Ren, C., and Yang, W. (2014a). MiR-125b-1-3p inhibits trophoblast cell invasion by targeting sphingosine-1-phosphate receptor 1 in preeclampsia. </w:t>
      </w:r>
      <w:r w:rsidRPr="00283825">
        <w:rPr>
          <w:rFonts w:cs="Times New Roman"/>
          <w:i/>
          <w:iCs/>
          <w:noProof/>
          <w:szCs w:val="24"/>
        </w:rPr>
        <w:t>Biochem. Biophys. Res. Commun.</w:t>
      </w:r>
      <w:r w:rsidRPr="00283825">
        <w:rPr>
          <w:rFonts w:cs="Times New Roman"/>
          <w:noProof/>
          <w:szCs w:val="24"/>
        </w:rPr>
        <w:t xml:space="preserve"> 453, 57–63. doi:10.1016/j.bbrc.2014.09.059.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R., Wang, N., Xue, M., Long, W., Cheng, C., Mi, C., et al. (2019). A potential regulatory network among WDR86-AS1, miR-10b-3p, and LITAF is possibly involved in preeclampsia pathogenesis. </w:t>
      </w:r>
      <w:r w:rsidRPr="00283825">
        <w:rPr>
          <w:rFonts w:cs="Times New Roman"/>
          <w:i/>
          <w:iCs/>
          <w:noProof/>
          <w:szCs w:val="24"/>
        </w:rPr>
        <w:t>Cell. Signal.</w:t>
      </w:r>
      <w:r w:rsidRPr="00283825">
        <w:rPr>
          <w:rFonts w:cs="Times New Roman"/>
          <w:noProof/>
          <w:szCs w:val="24"/>
        </w:rPr>
        <w:t xml:space="preserve"> 55, 40–52. doi:10.1016/j.cellsig.2018.12.006.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T., Zhou, B., He, Y., Liu, J., and Li, Y. (2020). Expression and clinical diagnostic value of miR-383 in patients with severe preeclampsia. </w:t>
      </w:r>
      <w:r w:rsidRPr="00283825">
        <w:rPr>
          <w:rFonts w:cs="Times New Roman"/>
          <w:i/>
          <w:iCs/>
          <w:noProof/>
          <w:szCs w:val="24"/>
        </w:rPr>
        <w:t>Cell. Mol. Biol.</w:t>
      </w:r>
      <w:r w:rsidRPr="00283825">
        <w:rPr>
          <w:rFonts w:cs="Times New Roman"/>
          <w:noProof/>
          <w:szCs w:val="24"/>
        </w:rPr>
        <w:t xml:space="preserve"> 66, 92–100. doi:10.14715/cmb/2020.66.3.14.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X., Li, C., Dong, X., and Gou, W. (2014b). MicroRNA-155 inhibits migration of trophoblast cells and contributes to the pathogenesis of severe preeclampsia by regulating endothelial nitric oxide synthase. </w:t>
      </w:r>
      <w:r w:rsidRPr="00283825">
        <w:rPr>
          <w:rFonts w:cs="Times New Roman"/>
          <w:i/>
          <w:iCs/>
          <w:noProof/>
          <w:szCs w:val="24"/>
        </w:rPr>
        <w:t>Mol. Med. Rep.</w:t>
      </w:r>
      <w:r w:rsidRPr="00283825">
        <w:rPr>
          <w:rFonts w:cs="Times New Roman"/>
          <w:noProof/>
          <w:szCs w:val="24"/>
        </w:rPr>
        <w:t xml:space="preserve"> 10, 550–554. doi:10.3892/mmr.2014.2214.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 X., Song, Y., Liu, D., Zhao, J., Xu, J., Ren, J., et al. (2017b). MiR-495 Promotes Senescence of Mesenchymal Stem Cells by Targeting Bmi-1. </w:t>
      </w:r>
      <w:r w:rsidRPr="00283825">
        <w:rPr>
          <w:rFonts w:cs="Times New Roman"/>
          <w:i/>
          <w:iCs/>
          <w:noProof/>
          <w:szCs w:val="24"/>
        </w:rPr>
        <w:t>Cell. Physiol. Biochem.</w:t>
      </w:r>
      <w:r w:rsidRPr="00283825">
        <w:rPr>
          <w:rFonts w:cs="Times New Roman"/>
          <w:noProof/>
          <w:szCs w:val="24"/>
        </w:rPr>
        <w:t xml:space="preserve"> 42, 780–796. doi:10.1159/000478069.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Lip, S. V., Boekschoten, M. V., Hooiveld, G. J., van Pampus, M. G., Scherjon, S. A., Plösch, T., et al. (2020). Early-onset preeclampsia, plasma microRNAs, and endothelial cell function. </w:t>
      </w:r>
      <w:r w:rsidRPr="00283825">
        <w:rPr>
          <w:rFonts w:cs="Times New Roman"/>
          <w:i/>
          <w:iCs/>
          <w:noProof/>
          <w:szCs w:val="24"/>
        </w:rPr>
        <w:t>Am. J. Obstet. Gynecol.</w:t>
      </w:r>
      <w:r w:rsidRPr="00283825">
        <w:rPr>
          <w:rFonts w:cs="Times New Roman"/>
          <w:noProof/>
          <w:szCs w:val="24"/>
        </w:rPr>
        <w:t xml:space="preserve"> 222, 497.e1-497.e12. doi:10.1016/j.ajog.2019.11.1286.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Liu, B., Liu, L., Cui, S., Qi, Y., and Wang, T. (2021). Expression and significance of microRNA-126 and VCAM-1 in placental tissues of women with early-onset preeclampsia. </w:t>
      </w:r>
      <w:r w:rsidRPr="00283825">
        <w:rPr>
          <w:rFonts w:cs="Times New Roman"/>
          <w:i/>
          <w:iCs/>
          <w:noProof/>
          <w:szCs w:val="24"/>
        </w:rPr>
        <w:t>J. Obstet. Gynaecol. Res.</w:t>
      </w:r>
      <w:r w:rsidRPr="00283825">
        <w:rPr>
          <w:rFonts w:cs="Times New Roman"/>
          <w:noProof/>
          <w:szCs w:val="24"/>
        </w:rPr>
        <w:t xml:space="preserve"> 47, 2042–2050. doi:10.1111/jog.14732.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Liu, E., Liu, Z., Zhou, Y., Chen, M., Wang, L., and Li, J. (2019a). MicroRNA</w:t>
      </w:r>
      <w:r w:rsidRPr="00283825">
        <w:rPr>
          <w:rFonts w:ascii="MS Mincho" w:eastAsia="MS Mincho" w:hAnsi="MS Mincho" w:cs="MS Mincho" w:hint="eastAsia"/>
          <w:noProof/>
          <w:szCs w:val="24"/>
        </w:rPr>
        <w:t>‑</w:t>
      </w:r>
      <w:r w:rsidRPr="00283825">
        <w:rPr>
          <w:rFonts w:cs="Times New Roman"/>
          <w:noProof/>
          <w:szCs w:val="24"/>
        </w:rPr>
        <w:t>142</w:t>
      </w:r>
      <w:r w:rsidRPr="00283825">
        <w:rPr>
          <w:rFonts w:ascii="MS Mincho" w:eastAsia="MS Mincho" w:hAnsi="MS Mincho" w:cs="MS Mincho" w:hint="eastAsia"/>
          <w:noProof/>
          <w:szCs w:val="24"/>
        </w:rPr>
        <w:t>‑</w:t>
      </w:r>
      <w:r w:rsidRPr="00283825">
        <w:rPr>
          <w:rFonts w:cs="Times New Roman"/>
          <w:noProof/>
          <w:szCs w:val="24"/>
        </w:rPr>
        <w:t xml:space="preserve">3p inhibits </w:t>
      </w:r>
      <w:r w:rsidRPr="00283825">
        <w:rPr>
          <w:rFonts w:cs="Times New Roman"/>
          <w:noProof/>
          <w:szCs w:val="24"/>
        </w:rPr>
        <w:lastRenderedPageBreak/>
        <w:t>trophoblast cell migration and invasion by disrupting the TGF</w:t>
      </w:r>
      <w:r w:rsidRPr="00283825">
        <w:rPr>
          <w:rFonts w:ascii="MS Mincho" w:eastAsia="MS Mincho" w:hAnsi="MS Mincho" w:cs="MS Mincho" w:hint="eastAsia"/>
          <w:noProof/>
          <w:szCs w:val="24"/>
        </w:rPr>
        <w:t>‑</w:t>
      </w:r>
      <w:r w:rsidRPr="00283825">
        <w:rPr>
          <w:rFonts w:cs="Times New Roman"/>
          <w:noProof/>
          <w:szCs w:val="24"/>
        </w:rPr>
        <w:t xml:space="preserve">β1/Smad3 signaling pathway. </w:t>
      </w:r>
      <w:r w:rsidRPr="00283825">
        <w:rPr>
          <w:rFonts w:cs="Times New Roman"/>
          <w:i/>
          <w:iCs/>
          <w:noProof/>
          <w:szCs w:val="24"/>
        </w:rPr>
        <w:t>Mol. Med. Rep.</w:t>
      </w:r>
      <w:r w:rsidRPr="00283825">
        <w:rPr>
          <w:rFonts w:cs="Times New Roman"/>
          <w:noProof/>
          <w:szCs w:val="24"/>
        </w:rPr>
        <w:t xml:space="preserve"> 49, 3775–3782. doi:10.3892/mmr.2019.9997.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Liu, F., Wu, K., Wu, W., Chen, Y., Wu, H., Wang, H., et al. (2018). MiR-203 contributes to pre-eclampsia via inhibition of VEGFA expression. </w:t>
      </w:r>
      <w:r w:rsidRPr="00283825">
        <w:rPr>
          <w:rFonts w:cs="Times New Roman"/>
          <w:i/>
          <w:iCs/>
          <w:noProof/>
          <w:szCs w:val="24"/>
        </w:rPr>
        <w:t>Mol. Med. Rep.</w:t>
      </w:r>
      <w:r w:rsidRPr="00283825">
        <w:rPr>
          <w:rFonts w:cs="Times New Roman"/>
          <w:noProof/>
          <w:szCs w:val="24"/>
        </w:rPr>
        <w:t xml:space="preserve"> 17, 5627–5634. doi:10.3892/mmr.2018.8558.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Liu, J., Zhang, L., Zhang, F., Luan, T., Yin, Z., Rui, C., et al. (2019b). Influence of miR-34a on preeclampsia through the Notch signaling pathway. </w:t>
      </w:r>
      <w:r w:rsidRPr="00283825">
        <w:rPr>
          <w:rFonts w:cs="Times New Roman"/>
          <w:i/>
          <w:iCs/>
          <w:noProof/>
          <w:szCs w:val="24"/>
        </w:rPr>
        <w:t>Eur Rev Med Pharmacol Sci</w:t>
      </w:r>
      <w:r w:rsidRPr="00283825">
        <w:rPr>
          <w:rFonts w:cs="Times New Roman"/>
          <w:noProof/>
          <w:szCs w:val="24"/>
        </w:rPr>
        <w:t xml:space="preserve"> 23, 923–931. doi:10.26355/eurrev_201902_16978.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Liu, L., Wang, Y., Fan, H., Zhao, X., Liu, D., Hu, Y., et al. (2012). MicroRNA-181a regulates local immune balance by inhibiting proliferation and immunosuppressive properties of mesenchymal stem cells. </w:t>
      </w:r>
      <w:r w:rsidRPr="00283825">
        <w:rPr>
          <w:rFonts w:cs="Times New Roman"/>
          <w:i/>
          <w:iCs/>
          <w:noProof/>
          <w:szCs w:val="24"/>
        </w:rPr>
        <w:t>Stem Cells</w:t>
      </w:r>
      <w:r w:rsidRPr="00283825">
        <w:rPr>
          <w:rFonts w:cs="Times New Roman"/>
          <w:noProof/>
          <w:szCs w:val="24"/>
        </w:rPr>
        <w:t xml:space="preserve"> 30, 1756–1770. doi:10.1002/stem.1156.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Liu, Z., Zhao, X., Shan, H. Y., Gao, H., and Wang, P. (2019c). microRNA-520c-3p suppresses NLRP3 inflammasome activation and inflammatory cascade in preeclampsia by downregulating NLRP3. </w:t>
      </w:r>
      <w:r w:rsidRPr="00283825">
        <w:rPr>
          <w:rFonts w:cs="Times New Roman"/>
          <w:i/>
          <w:iCs/>
          <w:noProof/>
          <w:szCs w:val="24"/>
        </w:rPr>
        <w:t>Inflamm. Res.</w:t>
      </w:r>
      <w:r w:rsidRPr="00283825">
        <w:rPr>
          <w:rFonts w:cs="Times New Roman"/>
          <w:noProof/>
          <w:szCs w:val="24"/>
        </w:rPr>
        <w:t xml:space="preserve"> 68, 643–654. doi:10.1007/s00011-019-01246-8.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Lou, C.-X., Zhou, X.-T., Tian, Q.-C., Xie, H.-Q., and Zhang, J.-Y. (2018). Low expression of microRNA-21 inhibits trophoblast cell infiltration through targeting PTEN. </w:t>
      </w:r>
      <w:r w:rsidRPr="00283825">
        <w:rPr>
          <w:rFonts w:cs="Times New Roman"/>
          <w:i/>
          <w:iCs/>
          <w:noProof/>
          <w:szCs w:val="24"/>
        </w:rPr>
        <w:t>Eur Rev Med Pharmacol Sci</w:t>
      </w:r>
      <w:r w:rsidRPr="00283825">
        <w:rPr>
          <w:rFonts w:cs="Times New Roman"/>
          <w:noProof/>
          <w:szCs w:val="24"/>
        </w:rPr>
        <w:t xml:space="preserve"> 22, 6181–6189. doi:10.26355/eurrev_201810_16023.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Lu, T. M., Lu, W., and Zhao, L. J. (2017). MicroRNA-137 Affects Proliferation and Migration of Placenta Trophoblast Cells in Preeclampsia by Targeting ERRα. </w:t>
      </w:r>
      <w:r w:rsidRPr="00283825">
        <w:rPr>
          <w:rFonts w:cs="Times New Roman"/>
          <w:i/>
          <w:iCs/>
          <w:noProof/>
          <w:szCs w:val="24"/>
        </w:rPr>
        <w:t>Reprod. Sci.</w:t>
      </w:r>
      <w:r w:rsidRPr="00283825">
        <w:rPr>
          <w:rFonts w:cs="Times New Roman"/>
          <w:noProof/>
          <w:szCs w:val="24"/>
        </w:rPr>
        <w:t xml:space="preserve"> 24, 85–96. doi:10.1177/1933719116650754.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Luizon, M. R., Conceição, I. M. C. A., Viana-Mattioli, S., Caldeira-Dias, M., Cavalli, R. C., and Sandrim, V. C. (2021). Circulating MicroRNAs in the Second Trimester From Pregnant Women Who Subsequently Developed Preeclampsia: Potential Candidates as Predictive Biomarkers and Pathway Analysis for Target Genes of miR-204-5p. </w:t>
      </w:r>
      <w:r w:rsidRPr="00283825">
        <w:rPr>
          <w:rFonts w:cs="Times New Roman"/>
          <w:i/>
          <w:iCs/>
          <w:noProof/>
          <w:szCs w:val="24"/>
        </w:rPr>
        <w:t>Front. Physiol.</w:t>
      </w:r>
      <w:r w:rsidRPr="00283825">
        <w:rPr>
          <w:rFonts w:cs="Times New Roman"/>
          <w:noProof/>
          <w:szCs w:val="24"/>
        </w:rPr>
        <w:t xml:space="preserve"> 12, 678184. doi:10.3389/fphys.2021.678184.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Luo, R., Shao, X., Xu, P., Liu, Y., Wang, Y., Zhao, Y., et al. (2014). MicroRNA-210 Contributes to Preeclampsia by Downregulating Potassium Channel. </w:t>
      </w:r>
      <w:r w:rsidRPr="00283825">
        <w:rPr>
          <w:rFonts w:cs="Times New Roman"/>
          <w:i/>
          <w:iCs/>
          <w:noProof/>
          <w:szCs w:val="24"/>
        </w:rPr>
        <w:t>Hypertension</w:t>
      </w:r>
      <w:r w:rsidRPr="00283825">
        <w:rPr>
          <w:rFonts w:cs="Times New Roman"/>
          <w:noProof/>
          <w:szCs w:val="24"/>
        </w:rPr>
        <w:t xml:space="preserve"> 64, 839–45. doi:10.1161/HYPERTENSIONAHA.114.03530.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Luo, S., Cao, N., Tang, Y., and Gu, W. (2017a). Identification of key microRNAs and genes in preeclampsia by bioinformatics analysis. </w:t>
      </w:r>
      <w:r w:rsidRPr="00283825">
        <w:rPr>
          <w:rFonts w:cs="Times New Roman"/>
          <w:i/>
          <w:iCs/>
          <w:noProof/>
          <w:szCs w:val="24"/>
        </w:rPr>
        <w:t>PLoS One</w:t>
      </w:r>
      <w:r w:rsidRPr="00283825">
        <w:rPr>
          <w:rFonts w:cs="Times New Roman"/>
          <w:noProof/>
          <w:szCs w:val="24"/>
        </w:rPr>
        <w:t xml:space="preserve"> 12, e0178549. doi:10.1371/journal.pone.0178549.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Luo, S., Li, H., Cao, N., Tang, Y., and Gu, W. (2017b). MicroRNA-148a affects functions of placental trophoblast cells in preeclampsia by regulating HLA-G. </w:t>
      </w:r>
      <w:r w:rsidRPr="00283825">
        <w:rPr>
          <w:rFonts w:cs="Times New Roman"/>
          <w:i/>
          <w:iCs/>
          <w:noProof/>
          <w:szCs w:val="24"/>
        </w:rPr>
        <w:t>Int J Clin Exp Pathol</w:t>
      </w:r>
      <w:r w:rsidRPr="00283825">
        <w:rPr>
          <w:rFonts w:cs="Times New Roman"/>
          <w:noProof/>
          <w:szCs w:val="24"/>
        </w:rPr>
        <w:t xml:space="preserve"> 10, 5205–5212.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Luque, A., Farwati, A., Crovetto, F., Crispi, F., Figueras, F., Gratacós, E., et al. (2014). Usefulness of circulating microRNAs for the prediction of early preeclampsia at first-trimester of pregnancy. </w:t>
      </w:r>
      <w:r w:rsidRPr="00283825">
        <w:rPr>
          <w:rFonts w:cs="Times New Roman"/>
          <w:i/>
          <w:iCs/>
          <w:noProof/>
          <w:szCs w:val="24"/>
        </w:rPr>
        <w:t>Sci. Rep.</w:t>
      </w:r>
      <w:r w:rsidRPr="00283825">
        <w:rPr>
          <w:rFonts w:cs="Times New Roman"/>
          <w:noProof/>
          <w:szCs w:val="24"/>
        </w:rPr>
        <w:t xml:space="preserve"> 4, 4882. doi:10.1038/srep04882.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lastRenderedPageBreak/>
        <w:t xml:space="preserve">Lykoudi, A., Kolialexi, A., Lambrou, G. I., Braoudaki, M., Siristatidis, C., Papaioanou, G. K., et al. (2018). Dysregulated placental microRNAs in Early and Late onset Preeclampsia. </w:t>
      </w:r>
      <w:r w:rsidRPr="00283825">
        <w:rPr>
          <w:rFonts w:cs="Times New Roman"/>
          <w:i/>
          <w:iCs/>
          <w:noProof/>
          <w:szCs w:val="24"/>
        </w:rPr>
        <w:t>Placenta</w:t>
      </w:r>
      <w:r w:rsidRPr="00283825">
        <w:rPr>
          <w:rFonts w:cs="Times New Roman"/>
          <w:noProof/>
          <w:szCs w:val="24"/>
        </w:rPr>
        <w:t xml:space="preserve"> 61, 24–32. doi:10.1016/j.placenta.2017.11.005.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Ma, R., Lu, Y., Dou, C., and Gu, Q. (2019). Clinical significance of miR-133a and miR-206 in pregnant women with preeclampsia and correlation with pregnancy outcomes. </w:t>
      </w:r>
      <w:r w:rsidRPr="00283825">
        <w:rPr>
          <w:rFonts w:cs="Times New Roman"/>
          <w:i/>
          <w:iCs/>
          <w:noProof/>
          <w:szCs w:val="24"/>
        </w:rPr>
        <w:t>Int J Clin Exp Med</w:t>
      </w:r>
      <w:r w:rsidRPr="00283825">
        <w:rPr>
          <w:rFonts w:cs="Times New Roman"/>
          <w:noProof/>
          <w:szCs w:val="24"/>
        </w:rPr>
        <w:t xml:space="preserve"> 12, 7383–7391.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Martinez-Fierro, M. L., Carrillo-Arriaga, J. G., Luevano, M., Lugo-Trampe, A., Delgado-Enciso, I., Rodriguez-Sanchez, I. P., et al. (2019). Serum levels of miR-628-3p and miR-628-5p during the early pregnancy are increased in women who subsequently develop preeclampsia. </w:t>
      </w:r>
      <w:r w:rsidRPr="00283825">
        <w:rPr>
          <w:rFonts w:cs="Times New Roman"/>
          <w:i/>
          <w:iCs/>
          <w:noProof/>
          <w:szCs w:val="24"/>
        </w:rPr>
        <w:t>Pregnancy Hypertens.</w:t>
      </w:r>
      <w:r w:rsidRPr="00283825">
        <w:rPr>
          <w:rFonts w:cs="Times New Roman"/>
          <w:noProof/>
          <w:szCs w:val="24"/>
        </w:rPr>
        <w:t xml:space="preserve"> 16, 120–125. doi:10.1016/j.preghy.2019.03.012.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Martinez-Fierro, M. L., Garza-Veloz, I., Gutierrez-Arteaga, C., Delgado-Enciso, I., Barbosa-Cisneros, O. Y., Flores-Morales, V., et al. (2018). Circulating levels of specific members of chromosome 19 microRNA cluster are associated with preeclampsia development. </w:t>
      </w:r>
      <w:r w:rsidRPr="00283825">
        <w:rPr>
          <w:rFonts w:cs="Times New Roman"/>
          <w:i/>
          <w:iCs/>
          <w:noProof/>
          <w:szCs w:val="24"/>
        </w:rPr>
        <w:t>Arch. Gynecol. Obstet.</w:t>
      </w:r>
      <w:r w:rsidRPr="00283825">
        <w:rPr>
          <w:rFonts w:cs="Times New Roman"/>
          <w:noProof/>
          <w:szCs w:val="24"/>
        </w:rPr>
        <w:t xml:space="preserve"> 297, 365–371. doi:10.1007/s00404-017-4611-6.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Mayor-Lynn, K., Toloubeydokhti, T., Cruz, A. C., and Chegini, N. (2011). Expression profile of microRNAs and mRNAs in human placentas from pregnancies complicated by preeclampsia and preterm labor. </w:t>
      </w:r>
      <w:r w:rsidRPr="00283825">
        <w:rPr>
          <w:rFonts w:cs="Times New Roman"/>
          <w:i/>
          <w:iCs/>
          <w:noProof/>
          <w:szCs w:val="24"/>
        </w:rPr>
        <w:t>Reprod. Sci.</w:t>
      </w:r>
      <w:r w:rsidRPr="00283825">
        <w:rPr>
          <w:rFonts w:cs="Times New Roman"/>
          <w:noProof/>
          <w:szCs w:val="24"/>
        </w:rPr>
        <w:t xml:space="preserve"> 18, 46–56. doi:10.1177/1933719110374115.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Mei, Z., Huang, B., Zhang, Y., Qian, X., Mo, Y., and Deng, N. (2019). Histone deacetylase 6 negatively regulated microRNA-199a-5p induces the occurrence of preeclampsia by targeting VEGFA in vitro. </w:t>
      </w:r>
      <w:r w:rsidRPr="00283825">
        <w:rPr>
          <w:rFonts w:cs="Times New Roman"/>
          <w:i/>
          <w:iCs/>
          <w:noProof/>
          <w:szCs w:val="24"/>
        </w:rPr>
        <w:t>Biomed. Pharmacother.</w:t>
      </w:r>
      <w:r w:rsidRPr="00283825">
        <w:rPr>
          <w:rFonts w:cs="Times New Roman"/>
          <w:noProof/>
          <w:szCs w:val="24"/>
        </w:rPr>
        <w:t xml:space="preserve"> 114, 108805. doi:10.1016/j.biopha.2019.108805.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Meng, H.-X., Xu, L.-N., Jing, G., Qian, L., and Qi, M.-G. (2017). MiR-223 promotes trophoblast cell survival and invasion by targeting STAT3 in preeclampsia. </w:t>
      </w:r>
      <w:r w:rsidRPr="00283825">
        <w:rPr>
          <w:rFonts w:cs="Times New Roman"/>
          <w:i/>
          <w:iCs/>
          <w:noProof/>
          <w:szCs w:val="24"/>
        </w:rPr>
        <w:t>Int J Clin Exp Med</w:t>
      </w:r>
      <w:r w:rsidRPr="00283825">
        <w:rPr>
          <w:rFonts w:cs="Times New Roman"/>
          <w:noProof/>
          <w:szCs w:val="24"/>
        </w:rPr>
        <w:t xml:space="preserve"> 10, 6577–6585.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Miura, K., Higashijima, A., Murakami, Y., Tsukamoto, O., Hasegawa, Y., Abe, S., et al. (2015). Circulating chromosome 19 miRNA cluster microRNAs in pregnant women with severe pre-eclampsia. </w:t>
      </w:r>
      <w:r w:rsidRPr="00283825">
        <w:rPr>
          <w:rFonts w:cs="Times New Roman"/>
          <w:i/>
          <w:iCs/>
          <w:noProof/>
          <w:szCs w:val="24"/>
        </w:rPr>
        <w:t>J. Obstet. Gynaecol. Res.</w:t>
      </w:r>
      <w:r w:rsidRPr="00283825">
        <w:rPr>
          <w:rFonts w:cs="Times New Roman"/>
          <w:noProof/>
          <w:szCs w:val="24"/>
        </w:rPr>
        <w:t xml:space="preserve"> 41, 1526–1532. doi:10.1111/jog.12749.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Motawi, T. M. k., Sabry, D., Maurice, N. W., and Rizk, S. M. (2018). Role of mesenchymal stem cells exosomes derived microRNAs; miR-136, miR-494 and miR-495 in pre-eclampsia diagnosis and evaluation. </w:t>
      </w:r>
      <w:r w:rsidRPr="00283825">
        <w:rPr>
          <w:rFonts w:cs="Times New Roman"/>
          <w:i/>
          <w:iCs/>
          <w:noProof/>
          <w:szCs w:val="24"/>
        </w:rPr>
        <w:t>Arch. Biochem. Biophys.</w:t>
      </w:r>
      <w:r w:rsidRPr="00283825">
        <w:rPr>
          <w:rFonts w:cs="Times New Roman"/>
          <w:noProof/>
          <w:szCs w:val="24"/>
        </w:rPr>
        <w:t xml:space="preserve"> 659, 13–21. doi:10.1016/j.abb.2018.09.023.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Munaut, C., Tebache, L., Blacher, S., Noël, A., Nisolle, M., and Chantraine, F. (2016). Dysregulated circulating miRNAs in preeclampsia. </w:t>
      </w:r>
      <w:r w:rsidRPr="00283825">
        <w:rPr>
          <w:rFonts w:cs="Times New Roman"/>
          <w:i/>
          <w:iCs/>
          <w:noProof/>
          <w:szCs w:val="24"/>
        </w:rPr>
        <w:t>Biomed. Reports</w:t>
      </w:r>
      <w:r w:rsidRPr="00283825">
        <w:rPr>
          <w:rFonts w:cs="Times New Roman"/>
          <w:noProof/>
          <w:szCs w:val="24"/>
        </w:rPr>
        <w:t xml:space="preserve"> 5, 686–692. doi:0.3892/br.2016.779.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Muralimanoharan, S., Maloyan, A., Mele, J., Guo, C., Myatt, L. G., and Myatt, L. (2012). MIR-210 modulates mitochondrial respiration in placenta with preeclampsia. </w:t>
      </w:r>
      <w:r w:rsidRPr="00283825">
        <w:rPr>
          <w:rFonts w:cs="Times New Roman"/>
          <w:i/>
          <w:iCs/>
          <w:noProof/>
          <w:szCs w:val="24"/>
        </w:rPr>
        <w:t>Placenta</w:t>
      </w:r>
      <w:r w:rsidRPr="00283825">
        <w:rPr>
          <w:rFonts w:cs="Times New Roman"/>
          <w:noProof/>
          <w:szCs w:val="24"/>
        </w:rPr>
        <w:t xml:space="preserve"> 33, 816–823. doi:10.1016/j.placenta.2012.07.002.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Murphy, M. S. Q., Casselman, R. C., Tayade, C., and Smith, G. N. (2015). Differential expression of plasma microRNA in preeclamptic patients at delivery and 1 year postpartum. </w:t>
      </w:r>
      <w:r w:rsidRPr="00283825">
        <w:rPr>
          <w:rFonts w:cs="Times New Roman"/>
          <w:i/>
          <w:iCs/>
          <w:noProof/>
          <w:szCs w:val="24"/>
        </w:rPr>
        <w:t>Am. J. Obstet. Gynecol.</w:t>
      </w:r>
      <w:r w:rsidRPr="00283825">
        <w:rPr>
          <w:rFonts w:cs="Times New Roman"/>
          <w:noProof/>
          <w:szCs w:val="24"/>
        </w:rPr>
        <w:t xml:space="preserve"> 213, 367.e1-367.e9. doi:10.1016/j.ajog.2015.05.013.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Nejad, R. M. A., Saeidi, K., Gharbi, S., Salari, Z., and Saleh-Gohari, N. (2019). Quantification of circulating miR-517c-3p and miR-210-3p levels in preeclampsia. </w:t>
      </w:r>
      <w:r w:rsidRPr="00283825">
        <w:rPr>
          <w:rFonts w:cs="Times New Roman"/>
          <w:i/>
          <w:iCs/>
          <w:noProof/>
          <w:szCs w:val="24"/>
        </w:rPr>
        <w:t>Pregnancy Hypertens.</w:t>
      </w:r>
      <w:r w:rsidRPr="00283825">
        <w:rPr>
          <w:rFonts w:cs="Times New Roman"/>
          <w:noProof/>
          <w:szCs w:val="24"/>
        </w:rPr>
        <w:t xml:space="preserve"> 16, 75–</w:t>
      </w:r>
      <w:r w:rsidRPr="00283825">
        <w:rPr>
          <w:rFonts w:cs="Times New Roman"/>
          <w:noProof/>
          <w:szCs w:val="24"/>
        </w:rPr>
        <w:lastRenderedPageBreak/>
        <w:t>78. doi:10.1016/j.preghy.2019.03.004.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Niu, Z. ru, Han, T., Sun, X. luan, Luan, L. xia, Gou, W. li, and Zhu, X. ming (2018). MicroRNA-30a-3p is overexpressed in the placentas of patients with preeclampsia and affects trophoblast invasion and apoptosis by its effects on IGF-1. </w:t>
      </w:r>
      <w:r w:rsidRPr="00283825">
        <w:rPr>
          <w:rFonts w:cs="Times New Roman"/>
          <w:i/>
          <w:iCs/>
          <w:noProof/>
          <w:szCs w:val="24"/>
        </w:rPr>
        <w:t>Am. J. Obstet. Gynecol.</w:t>
      </w:r>
      <w:r w:rsidRPr="00283825">
        <w:rPr>
          <w:rFonts w:cs="Times New Roman"/>
          <w:noProof/>
          <w:szCs w:val="24"/>
        </w:rPr>
        <w:t xml:space="preserve"> 218, 249.e1-249.e12. doi:10.1016/j.ajog.2017.11.568.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Nizyaeva, N. V., Kulikova, G. V., Nagovitsyna, M. N., Kan, N. E., Prozorovskaya, K. N., Shchegolev, A. I., et al. (2017). Expression of MicroRNA-146a and MicroRNA-155 in Placental Villi in Early- and Late-Onset Preeclampsia. </w:t>
      </w:r>
      <w:r w:rsidRPr="00283825">
        <w:rPr>
          <w:rFonts w:cs="Times New Roman"/>
          <w:i/>
          <w:iCs/>
          <w:noProof/>
          <w:szCs w:val="24"/>
        </w:rPr>
        <w:t>Bull. Exp. Biol. Med.</w:t>
      </w:r>
      <w:r w:rsidRPr="00283825">
        <w:rPr>
          <w:rFonts w:cs="Times New Roman"/>
          <w:noProof/>
          <w:szCs w:val="24"/>
        </w:rPr>
        <w:t xml:space="preserve"> 163, 394–399. doi:10.1007/s10517-017-3812-0.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Nizyaeva, N. V., Kulikova, G. V., Nagovitsyna, M. N., Kan, N. E., Prozorovskaya, K. N., and Shchegolev, A. I. (2018). Change in OncomicroRNA Expression in the Placenta during Preeclampsia. </w:t>
      </w:r>
      <w:r w:rsidRPr="00283825">
        <w:rPr>
          <w:rFonts w:cs="Times New Roman"/>
          <w:i/>
          <w:iCs/>
          <w:noProof/>
          <w:szCs w:val="24"/>
        </w:rPr>
        <w:t>Bull. Exp. Biol. Med.</w:t>
      </w:r>
      <w:r w:rsidRPr="00283825">
        <w:rPr>
          <w:rFonts w:cs="Times New Roman"/>
          <w:noProof/>
          <w:szCs w:val="24"/>
        </w:rPr>
        <w:t xml:space="preserve"> 165, 793–797. doi:10.1007/s10517-018-4267-7.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Ospina-Prieto, S., Chaiwangyen, W., Herrmann, J., Groten, T., Schleussner, E., Markert, U. R., et al. (2016). MicroRNA-141 is upregulated in preeclamptic placentae and regulates trophoblast invasion and intercellular communication. </w:t>
      </w:r>
      <w:r w:rsidRPr="00283825">
        <w:rPr>
          <w:rFonts w:cs="Times New Roman"/>
          <w:i/>
          <w:iCs/>
          <w:noProof/>
          <w:szCs w:val="24"/>
        </w:rPr>
        <w:t>Transl. Res.</w:t>
      </w:r>
      <w:r w:rsidRPr="00283825">
        <w:rPr>
          <w:rFonts w:cs="Times New Roman"/>
          <w:noProof/>
          <w:szCs w:val="24"/>
        </w:rPr>
        <w:t xml:space="preserve"> 172, 61–72. doi:10.1016/j.trsl.2016.02.012.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Pillay, P., Vatish, M., Duarte, R., Moodley, J., and Mackraj, I. (2019). Exosomal microRNA profiling in early and late onset preeclamptic pregnant women reflects pathophysiology. </w:t>
      </w:r>
      <w:r w:rsidRPr="00283825">
        <w:rPr>
          <w:rFonts w:cs="Times New Roman"/>
          <w:i/>
          <w:iCs/>
          <w:noProof/>
          <w:szCs w:val="24"/>
        </w:rPr>
        <w:t>Int. J. Nanomedicine</w:t>
      </w:r>
      <w:r w:rsidRPr="00283825">
        <w:rPr>
          <w:rFonts w:cs="Times New Roman"/>
          <w:noProof/>
          <w:szCs w:val="24"/>
        </w:rPr>
        <w:t xml:space="preserve"> 14, 5637–5657. doi:10.2147/IJN.S208865.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Pineles, B. L., Romero, R., Montenegro, D., Tarca, A. L., Han, Y. M., Kim, Y. M., et al. (2007). Distinct subsets of microRNAs are expressed differentially in the human placentas of patients with preeclampsia. </w:t>
      </w:r>
      <w:r w:rsidRPr="00283825">
        <w:rPr>
          <w:rFonts w:cs="Times New Roman"/>
          <w:i/>
          <w:iCs/>
          <w:noProof/>
          <w:szCs w:val="24"/>
        </w:rPr>
        <w:t>Am. J. Obstet. Gynecol.</w:t>
      </w:r>
      <w:r w:rsidRPr="00283825">
        <w:rPr>
          <w:rFonts w:cs="Times New Roman"/>
          <w:noProof/>
          <w:szCs w:val="24"/>
        </w:rPr>
        <w:t xml:space="preserve"> 196, 261.e1-261.e6. doi:10.1016/j.ajog.2007.01.008.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Salomon, C., Guanzon, D., Scholz-Romero, K., Longo, S., Correa, P., Illanes, S. E., et al. (2017). Placental exosomes as early biomarker of preeclampsia: Potential role of exosomalmicrornas across gestation. </w:t>
      </w:r>
      <w:r w:rsidRPr="00283825">
        <w:rPr>
          <w:rFonts w:cs="Times New Roman"/>
          <w:i/>
          <w:iCs/>
          <w:noProof/>
          <w:szCs w:val="24"/>
        </w:rPr>
        <w:t>J. Clin. Endocrinol. Metab.</w:t>
      </w:r>
      <w:r w:rsidRPr="00283825">
        <w:rPr>
          <w:rFonts w:cs="Times New Roman"/>
          <w:noProof/>
          <w:szCs w:val="24"/>
        </w:rPr>
        <w:t xml:space="preserve"> 102, 3182–3194. doi:10.1210/jc.2017-00672.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Sandrim, V. C., Dias, M. C., Bovolato, A. L. de C., Tanus-Santos, J. E., Deffune, E., and Cavalli, R. C. (2016a). Plasma from pre-eclamptic patients induces the expression of the anti-angiogenic miR-195-5p in endothelial cells. </w:t>
      </w:r>
      <w:r w:rsidRPr="00283825">
        <w:rPr>
          <w:rFonts w:cs="Times New Roman"/>
          <w:i/>
          <w:iCs/>
          <w:noProof/>
          <w:szCs w:val="24"/>
        </w:rPr>
        <w:t>J. Cell. Mol. Med.</w:t>
      </w:r>
      <w:r w:rsidRPr="00283825">
        <w:rPr>
          <w:rFonts w:cs="Times New Roman"/>
          <w:noProof/>
          <w:szCs w:val="24"/>
        </w:rPr>
        <w:t xml:space="preserve"> 20, 1198–1200. doi:10.1111/jcmm.12767.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Sandrim, V. C., Luizon, M. R., Palei, A. C., Tanus-Santos, J. E., and Cavalli, R. C. (2016b). Circulating microRNA expression profiles in pre-eclampsia: evidence of increased miR-885-5p levels. </w:t>
      </w:r>
      <w:r w:rsidRPr="00283825">
        <w:rPr>
          <w:rFonts w:cs="Times New Roman"/>
          <w:i/>
          <w:iCs/>
          <w:noProof/>
          <w:szCs w:val="24"/>
        </w:rPr>
        <w:t>BJOG</w:t>
      </w:r>
      <w:r w:rsidRPr="00283825">
        <w:rPr>
          <w:rFonts w:cs="Times New Roman"/>
          <w:noProof/>
          <w:szCs w:val="24"/>
        </w:rPr>
        <w:t xml:space="preserve"> 123, 2120–2128. doi:10.1111/1471-0528.13903.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Sekar, D., Lakshmanan, G., Mani, P., and Biruntha, M. (2019). Methylation-dependent circulating microRNA 510 in preeclampsia patients. </w:t>
      </w:r>
      <w:r w:rsidRPr="00283825">
        <w:rPr>
          <w:rFonts w:cs="Times New Roman"/>
          <w:i/>
          <w:iCs/>
          <w:noProof/>
          <w:szCs w:val="24"/>
        </w:rPr>
        <w:t>Hypertens. Res.</w:t>
      </w:r>
      <w:r w:rsidRPr="00283825">
        <w:rPr>
          <w:rFonts w:cs="Times New Roman"/>
          <w:noProof/>
          <w:szCs w:val="24"/>
        </w:rPr>
        <w:t xml:space="preserve"> 42, 1647–1648. doi:10.1038/s41440-019-0269-8.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Shao, X., Liu, Y., Liu, M., Wang, Y., Yan, L., Wang, H., et al. (2017). Testosterone Represses Estrogen Signaling by Upregulating miR-22: A Mechanism for Imbalanced Steroid Hormone Production in Preeclampsia. </w:t>
      </w:r>
      <w:r w:rsidRPr="00283825">
        <w:rPr>
          <w:rFonts w:cs="Times New Roman"/>
          <w:i/>
          <w:iCs/>
          <w:noProof/>
          <w:szCs w:val="24"/>
        </w:rPr>
        <w:t>Hypertension</w:t>
      </w:r>
      <w:r w:rsidRPr="00283825">
        <w:rPr>
          <w:rFonts w:cs="Times New Roman"/>
          <w:noProof/>
          <w:szCs w:val="24"/>
        </w:rPr>
        <w:t xml:space="preserve"> 69, 721–730. doi:10.1161/HYPERTENSIONAHA.116.08468.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lastRenderedPageBreak/>
        <w:t xml:space="preserve">Shen, L., Li, Y., Li, R., Diao, Z., Yany, M., Wu, M., et al. (2018). Placenta-associated serum exosomal miR-155 derived from patients with preeclampsia inhibits eNOS expression in human umbilical vein endothelial cells. </w:t>
      </w:r>
      <w:r w:rsidRPr="00283825">
        <w:rPr>
          <w:rFonts w:cs="Times New Roman"/>
          <w:i/>
          <w:iCs/>
          <w:noProof/>
          <w:szCs w:val="24"/>
        </w:rPr>
        <w:t>Int. J. Mol. Med.</w:t>
      </w:r>
      <w:r w:rsidRPr="00283825">
        <w:rPr>
          <w:rFonts w:cs="Times New Roman"/>
          <w:noProof/>
          <w:szCs w:val="24"/>
        </w:rPr>
        <w:t xml:space="preserve"> 41, 1731–1739. doi:10.3892/ijmm.2018.3367.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Shi, Z., She, K., Li, H., Yuan, X., Han, X., and Wang, Y. (2019). MicroRNA-454 contributes to sustaining the proliferation and invasion of trophoblast cells through inhibiting Nodal/ALK7 signaling in pre-eclampsia. </w:t>
      </w:r>
      <w:r w:rsidRPr="00283825">
        <w:rPr>
          <w:rFonts w:cs="Times New Roman"/>
          <w:i/>
          <w:iCs/>
          <w:noProof/>
          <w:szCs w:val="24"/>
        </w:rPr>
        <w:t>Chem. Biol. Interact.</w:t>
      </w:r>
      <w:r w:rsidRPr="00283825">
        <w:rPr>
          <w:rFonts w:cs="Times New Roman"/>
          <w:noProof/>
          <w:szCs w:val="24"/>
        </w:rPr>
        <w:t xml:space="preserve"> 298, 8–14. doi:10.1016/j.cbi.2018.10.012.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Singh, K., Williams, J., Brown, J., Wang, E. T., Lee, B., Gonzalez, T. L., et al. (2017). Up-regulation of microRNA-202-3p in first trimester placenta of pregnancies destined to develop severe preeclampsia, a pilot study. </w:t>
      </w:r>
      <w:r w:rsidRPr="00283825">
        <w:rPr>
          <w:rFonts w:cs="Times New Roman"/>
          <w:i/>
          <w:iCs/>
          <w:noProof/>
          <w:szCs w:val="24"/>
        </w:rPr>
        <w:t>Pregnancy Hypertens.</w:t>
      </w:r>
      <w:r w:rsidRPr="00283825">
        <w:rPr>
          <w:rFonts w:cs="Times New Roman"/>
          <w:noProof/>
          <w:szCs w:val="24"/>
        </w:rPr>
        <w:t xml:space="preserve"> 10, 7–9. doi:10.1016/j.preghy.2017.04.002.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Sun, M., Chen, H., Liu, J., Tong, C., and Meng, T. (2015). MicroRNA-34a inhibits human trophoblast cell invasion by targeting MYC. </w:t>
      </w:r>
      <w:r w:rsidRPr="00283825">
        <w:rPr>
          <w:rFonts w:cs="Times New Roman"/>
          <w:i/>
          <w:iCs/>
          <w:noProof/>
          <w:szCs w:val="24"/>
        </w:rPr>
        <w:t>BMC Cell Biol.</w:t>
      </w:r>
      <w:r w:rsidRPr="00283825">
        <w:rPr>
          <w:rFonts w:cs="Times New Roman"/>
          <w:noProof/>
          <w:szCs w:val="24"/>
        </w:rPr>
        <w:t xml:space="preserve"> 16, 21. doi:10.1186/s12860-015-0068-2.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Takizawa, T., Ishibashi, O., Ohkuchi, A., Moksed Ali, M., Kurashina, R., Luo, S. S., et al. (2012). Hydroxysteroid (17-β) dehydrogenase 1 is dysregulated by miR-210 and miR-518c that are aberrantly expressed in preeclamptic placentas: A novel marker for predicting preeclampsia. </w:t>
      </w:r>
      <w:r w:rsidRPr="00283825">
        <w:rPr>
          <w:rFonts w:cs="Times New Roman"/>
          <w:i/>
          <w:iCs/>
          <w:noProof/>
          <w:szCs w:val="24"/>
        </w:rPr>
        <w:t>Hypertension</w:t>
      </w:r>
      <w:r w:rsidRPr="00283825">
        <w:rPr>
          <w:rFonts w:cs="Times New Roman"/>
          <w:noProof/>
          <w:szCs w:val="24"/>
        </w:rPr>
        <w:t xml:space="preserve"> 59, 265–273. doi:10.1161/HYPERTENSIONAHA.111.180232.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Tang, Q., Gui, J., Wu, X., and Wu, W. (2019). Downregulation of miR-424 in placenta is associated with severe preeclampsia. </w:t>
      </w:r>
      <w:r w:rsidRPr="00283825">
        <w:rPr>
          <w:rFonts w:cs="Times New Roman"/>
          <w:i/>
          <w:iCs/>
          <w:noProof/>
          <w:szCs w:val="24"/>
        </w:rPr>
        <w:t>Pregnancy Hypertens.</w:t>
      </w:r>
      <w:r w:rsidRPr="00283825">
        <w:rPr>
          <w:rFonts w:cs="Times New Roman"/>
          <w:noProof/>
          <w:szCs w:val="24"/>
        </w:rPr>
        <w:t xml:space="preserve"> 17, 109–112. doi:10.1016/j.preghy.2019.05.017.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Timofeeva, A. V., Gusar, V. A., Kan, N. E., Prozorovskaya, K. N., Karapetyan, A. O., Bayev, O. R., et al. (2018). Identification of potential early biomarkers of preeclampsia. </w:t>
      </w:r>
      <w:r w:rsidRPr="00283825">
        <w:rPr>
          <w:rFonts w:cs="Times New Roman"/>
          <w:i/>
          <w:iCs/>
          <w:noProof/>
          <w:szCs w:val="24"/>
        </w:rPr>
        <w:t>Placenta</w:t>
      </w:r>
      <w:r w:rsidRPr="00283825">
        <w:rPr>
          <w:rFonts w:cs="Times New Roman"/>
          <w:noProof/>
          <w:szCs w:val="24"/>
        </w:rPr>
        <w:t xml:space="preserve"> 61, 61–71. doi:10.1016/j.placenta.2017.11.011.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Truong, G., Guanzon, D., Kinhal, V., Elfeky, O., Lai, A., Longo, S., et al. (2017). Oxygen tension regulates the miRNA profile and bioactivity of exosomes released from extravillous trophoblast cells-Liquid biopsies for monitoring complications of pregnancy. </w:t>
      </w:r>
      <w:r w:rsidRPr="00283825">
        <w:rPr>
          <w:rFonts w:cs="Times New Roman"/>
          <w:i/>
          <w:iCs/>
          <w:noProof/>
          <w:szCs w:val="24"/>
        </w:rPr>
        <w:t>PLoS One</w:t>
      </w:r>
      <w:r w:rsidRPr="00283825">
        <w:rPr>
          <w:rFonts w:cs="Times New Roman"/>
          <w:noProof/>
          <w:szCs w:val="24"/>
        </w:rPr>
        <w:t xml:space="preserve"> 12, e0174514. doi:10.1371/journal.pone.0174514.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Tsai, P. Y., Li, S. H., Chen, W. N., Tsai, H. L., and Su, M. T. (2017). Differential miR-346 and miR-582-3p expression in association with selected maternal and fetal complications. </w:t>
      </w:r>
      <w:r w:rsidRPr="00283825">
        <w:rPr>
          <w:rFonts w:cs="Times New Roman"/>
          <w:i/>
          <w:iCs/>
          <w:noProof/>
          <w:szCs w:val="24"/>
        </w:rPr>
        <w:t>Int. J. Mol. Sci.</w:t>
      </w:r>
      <w:r w:rsidRPr="00283825">
        <w:rPr>
          <w:rFonts w:cs="Times New Roman"/>
          <w:noProof/>
          <w:szCs w:val="24"/>
        </w:rPr>
        <w:t xml:space="preserve"> 18, 1570. doi:10.3390/ijms18071570.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Ura, B., Feriotto, G., Monasta, L., Bilel, S., Zweyer, M., and Celeghini, C. (2014). Potential role of circulating microRNAs as early markers of preeclampsia. </w:t>
      </w:r>
      <w:r w:rsidRPr="00283825">
        <w:rPr>
          <w:rFonts w:cs="Times New Roman"/>
          <w:i/>
          <w:iCs/>
          <w:noProof/>
          <w:szCs w:val="24"/>
        </w:rPr>
        <w:t>Taiwan. J. Obstet. Gynecol.</w:t>
      </w:r>
      <w:r w:rsidRPr="00283825">
        <w:rPr>
          <w:rFonts w:cs="Times New Roman"/>
          <w:noProof/>
          <w:szCs w:val="24"/>
        </w:rPr>
        <w:t xml:space="preserve"> 53, 232–234. doi:10.1016/j.tjog.2014.03.001.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Vashukova, E. S., Glotov, A. S., Fedotov, P. V., Efimova, O. A., Pakin, V. S., Mozgovaya, E. V., et al. (2016). Placental microRNA expression in pregnancies complicated by superimposed pre</w:t>
      </w:r>
      <w:r w:rsidRPr="00283825">
        <w:rPr>
          <w:rFonts w:ascii="MS Mincho" w:eastAsia="MS Mincho" w:hAnsi="MS Mincho" w:cs="MS Mincho" w:hint="eastAsia"/>
          <w:noProof/>
          <w:szCs w:val="24"/>
        </w:rPr>
        <w:t>‑</w:t>
      </w:r>
      <w:r w:rsidRPr="00283825">
        <w:rPr>
          <w:rFonts w:cs="Times New Roman"/>
          <w:noProof/>
          <w:szCs w:val="24"/>
        </w:rPr>
        <w:t xml:space="preserve">eclampsia on chronic hypertension. </w:t>
      </w:r>
      <w:r w:rsidRPr="00283825">
        <w:rPr>
          <w:rFonts w:cs="Times New Roman"/>
          <w:i/>
          <w:iCs/>
          <w:noProof/>
          <w:szCs w:val="24"/>
        </w:rPr>
        <w:t>Mol. Med. Rep.</w:t>
      </w:r>
      <w:r w:rsidRPr="00283825">
        <w:rPr>
          <w:rFonts w:cs="Times New Roman"/>
          <w:noProof/>
          <w:szCs w:val="24"/>
        </w:rPr>
        <w:t xml:space="preserve"> 14, 22–32. doi:10.3892/mmr.2016.5268.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C. Y., Tsai, P. Y., Chen, T. Y., Tsai, H. L., Kuo, P. L., and Su, M. T. (2019a). Elevated miR-200a and miR-141 inhibit endocrine gland-derived vascular endothelial growth factor </w:t>
      </w:r>
      <w:r w:rsidRPr="00283825">
        <w:rPr>
          <w:rFonts w:cs="Times New Roman"/>
          <w:noProof/>
          <w:szCs w:val="24"/>
        </w:rPr>
        <w:lastRenderedPageBreak/>
        <w:t xml:space="preserve">expression and ciliogenesis in preeclampsia. </w:t>
      </w:r>
      <w:r w:rsidRPr="00283825">
        <w:rPr>
          <w:rFonts w:cs="Times New Roman"/>
          <w:i/>
          <w:iCs/>
          <w:noProof/>
          <w:szCs w:val="24"/>
        </w:rPr>
        <w:t>J. Physiol.</w:t>
      </w:r>
      <w:r w:rsidRPr="00283825">
        <w:rPr>
          <w:rFonts w:cs="Times New Roman"/>
          <w:noProof/>
          <w:szCs w:val="24"/>
        </w:rPr>
        <w:t xml:space="preserve"> 597, 3069–3083. doi:10.1113/JP277704.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F., and Yan, J. (2018). MicroRNA-454 is involved in regulating trophoblast cell proliferation, apoptosis, and invasion in preeclampsia by modulating the expression of ephrin receptor B4. </w:t>
      </w:r>
      <w:r w:rsidRPr="00283825">
        <w:rPr>
          <w:rFonts w:cs="Times New Roman"/>
          <w:i/>
          <w:iCs/>
          <w:noProof/>
          <w:szCs w:val="24"/>
        </w:rPr>
        <w:t>Biomed. Pharmacother.</w:t>
      </w:r>
      <w:r w:rsidRPr="00283825">
        <w:rPr>
          <w:rFonts w:cs="Times New Roman"/>
          <w:noProof/>
          <w:szCs w:val="24"/>
        </w:rPr>
        <w:t xml:space="preserve"> 107, 746–753. doi:10.1016/j.biopha.2018.08.055.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H., Zhang, L., Guo, X., Bai, Y., Li, Y. X., Sha, J., et al. (2018a). MiR-195 modulates oxidative stress-induced apoptosis and mitochondrial energy production in human trophoblasts via flavin adenine dinucleotide-dependent oxidoreductase domain-containing protein 1 and pyruvate dehydrogenase phosphatase regulatory subunit. </w:t>
      </w:r>
      <w:r w:rsidRPr="00283825">
        <w:rPr>
          <w:rFonts w:cs="Times New Roman"/>
          <w:i/>
          <w:iCs/>
          <w:noProof/>
          <w:szCs w:val="24"/>
        </w:rPr>
        <w:t>J. Hypertens.</w:t>
      </w:r>
      <w:r w:rsidRPr="00283825">
        <w:rPr>
          <w:rFonts w:cs="Times New Roman"/>
          <w:noProof/>
          <w:szCs w:val="24"/>
        </w:rPr>
        <w:t xml:space="preserve"> 36, 306–318. doi:10.1097/HJH.0000000000001529.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N., Feng, Y., Xu, J., Zou, J., Chen, M., He, Y., et al. (2018b). miR-362-3p regulates cell proliferation, migration and invasion of trophoblastic cells under hypoxia through targeting Pax3. </w:t>
      </w:r>
      <w:r w:rsidRPr="00283825">
        <w:rPr>
          <w:rFonts w:cs="Times New Roman"/>
          <w:i/>
          <w:iCs/>
          <w:noProof/>
          <w:szCs w:val="24"/>
        </w:rPr>
        <w:t>Biomed. Pharmacother.</w:t>
      </w:r>
      <w:r w:rsidRPr="00283825">
        <w:rPr>
          <w:rFonts w:cs="Times New Roman"/>
          <w:noProof/>
          <w:szCs w:val="24"/>
        </w:rPr>
        <w:t xml:space="preserve"> 99, 462–468. doi:10.1016/j.biopha.2018.01.089.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N., Li, R., and Xue, M. (2019b). Potential regulatory network in the PSG10P/miR-19a-3p/IL1RAP pathway is possibly involved in preeclampsia pathogenesis. </w:t>
      </w:r>
      <w:r w:rsidRPr="00283825">
        <w:rPr>
          <w:rFonts w:cs="Times New Roman"/>
          <w:i/>
          <w:iCs/>
          <w:noProof/>
          <w:szCs w:val="24"/>
        </w:rPr>
        <w:t>J. Cell. Mol. Med.</w:t>
      </w:r>
      <w:r w:rsidRPr="00283825">
        <w:rPr>
          <w:rFonts w:cs="Times New Roman"/>
          <w:noProof/>
          <w:szCs w:val="24"/>
        </w:rPr>
        <w:t xml:space="preserve"> 23, 852–864. doi:10.1111/jcmm.13985.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R., Liu, W., Liu, X., Liu, X., Tao, H., Wu, D., et al. (2019c). MicroRNA-210 regulates human trophoblast cell line HTR-8/SVneo function by attenuating Notch1 expression: Implications for the role of microRNA-210 in pre-eclampsia. </w:t>
      </w:r>
      <w:r w:rsidRPr="00283825">
        <w:rPr>
          <w:rFonts w:cs="Times New Roman"/>
          <w:i/>
          <w:iCs/>
          <w:noProof/>
          <w:szCs w:val="24"/>
        </w:rPr>
        <w:t>Mol. Reprod. Dev.</w:t>
      </w:r>
      <w:r w:rsidRPr="00283825">
        <w:rPr>
          <w:rFonts w:cs="Times New Roman"/>
          <w:noProof/>
          <w:szCs w:val="24"/>
        </w:rPr>
        <w:t xml:space="preserve"> 86, 896–907. doi:10.1002/mrd.23154.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Wang, S., Wang, X., Weng, Z., Zhang, S., Ning, H., and Li, B. (2017). Expression and role of microRNA 18b and hypoxia inducible factor</w:t>
      </w:r>
      <w:r w:rsidRPr="00283825">
        <w:rPr>
          <w:rFonts w:ascii="MS Mincho" w:eastAsia="MS Mincho" w:hAnsi="MS Mincho" w:cs="MS Mincho" w:hint="eastAsia"/>
          <w:noProof/>
          <w:szCs w:val="24"/>
        </w:rPr>
        <w:t>‑</w:t>
      </w:r>
      <w:r w:rsidRPr="00283825">
        <w:rPr>
          <w:rFonts w:cs="Times New Roman"/>
          <w:noProof/>
          <w:szCs w:val="24"/>
        </w:rPr>
        <w:t xml:space="preserve">1α in placental tissues of preeclampsia patients. </w:t>
      </w:r>
      <w:r w:rsidRPr="00283825">
        <w:rPr>
          <w:rFonts w:cs="Times New Roman"/>
          <w:i/>
          <w:iCs/>
          <w:noProof/>
          <w:szCs w:val="24"/>
        </w:rPr>
        <w:t>Exp. Ther. Med.</w:t>
      </w:r>
      <w:r w:rsidRPr="00283825">
        <w:rPr>
          <w:rFonts w:cs="Times New Roman"/>
          <w:noProof/>
          <w:szCs w:val="24"/>
        </w:rPr>
        <w:t xml:space="preserve"> 14, 4554–4560. doi:10.3892/etm.2017.5067.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W., Feng, L., Zhang, H., Hachy, S., Satohisa, S., Laurent, L. C., et al. (2012a). Preeclampsia up-regulates angiogenesis-associated microRNA (i.e., miR-17, -20a, and -20b) that target ephrin-B2 and EPHB4 in human placenta. </w:t>
      </w:r>
      <w:r w:rsidRPr="00283825">
        <w:rPr>
          <w:rFonts w:cs="Times New Roman"/>
          <w:i/>
          <w:iCs/>
          <w:noProof/>
          <w:szCs w:val="24"/>
        </w:rPr>
        <w:t>J. Clin. Endocrinol. Metab.</w:t>
      </w:r>
      <w:r w:rsidRPr="00283825">
        <w:rPr>
          <w:rFonts w:cs="Times New Roman"/>
          <w:noProof/>
          <w:szCs w:val="24"/>
        </w:rPr>
        <w:t xml:space="preserve"> 97, E1051-9. doi:10.1210/jc.2011-3131.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Y., Cheng, K., Zhou, W., Liu, H., Yang, T., Hou, P., et al. (2019d). miR-141-5p regulate ATF2 via effecting MAPK1/ERK2 signaling to promote preeclampsia. </w:t>
      </w:r>
      <w:r w:rsidRPr="00283825">
        <w:rPr>
          <w:rFonts w:cs="Times New Roman"/>
          <w:i/>
          <w:iCs/>
          <w:noProof/>
          <w:szCs w:val="24"/>
        </w:rPr>
        <w:t>Biomed. Pharmacother.</w:t>
      </w:r>
      <w:r w:rsidRPr="00283825">
        <w:rPr>
          <w:rFonts w:cs="Times New Roman"/>
          <w:noProof/>
          <w:szCs w:val="24"/>
        </w:rPr>
        <w:t xml:space="preserve"> 115, 108953. doi:10.1016/j.biopha.2019.108953.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Y., Dong, Q., Gu, Y., and Groome, L. J. (2016a). Up-regulation of miR-203 expression induces endothelial inflammatory response: Potential role in preeclampsia. </w:t>
      </w:r>
      <w:r w:rsidRPr="00283825">
        <w:rPr>
          <w:rFonts w:cs="Times New Roman"/>
          <w:i/>
          <w:iCs/>
          <w:noProof/>
          <w:szCs w:val="24"/>
        </w:rPr>
        <w:t>Am. J. Reprod. Immunol.</w:t>
      </w:r>
      <w:r w:rsidRPr="00283825">
        <w:rPr>
          <w:rFonts w:cs="Times New Roman"/>
          <w:noProof/>
          <w:szCs w:val="24"/>
        </w:rPr>
        <w:t xml:space="preserve"> 76, 482–490. doi:10.1111/aji.12589.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Y., Fan, H., Zhao, G., Liu, D., Du, L., Wang, Z., et al. (2012b). MiR-16 inhibits the proliferation and angiogenesis-regulating potential of mesenchymal stem cells in severe pre-eclampsia. </w:t>
      </w:r>
      <w:r w:rsidRPr="00283825">
        <w:rPr>
          <w:rFonts w:cs="Times New Roman"/>
          <w:i/>
          <w:iCs/>
          <w:noProof/>
          <w:szCs w:val="24"/>
        </w:rPr>
        <w:t>FEBS J.</w:t>
      </w:r>
      <w:r w:rsidRPr="00283825">
        <w:rPr>
          <w:rFonts w:cs="Times New Roman"/>
          <w:noProof/>
          <w:szCs w:val="24"/>
        </w:rPr>
        <w:t xml:space="preserve"> 279, 4510–4524. doi:10.1111/febs.12037.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Y., Lumbers, E. R., Arthurs, A. L., De Meaultsart, C. C., Mathe, A., Avery-Kiejda, K. A., et al. (2018c). Regulation of the human placental (pro)renin receptor-prorenin-angiotensin system </w:t>
      </w:r>
      <w:r w:rsidRPr="00283825">
        <w:rPr>
          <w:rFonts w:cs="Times New Roman"/>
          <w:noProof/>
          <w:szCs w:val="24"/>
        </w:rPr>
        <w:lastRenderedPageBreak/>
        <w:t xml:space="preserve">by microRNAs. </w:t>
      </w:r>
      <w:r w:rsidRPr="00283825">
        <w:rPr>
          <w:rFonts w:cs="Times New Roman"/>
          <w:i/>
          <w:iCs/>
          <w:noProof/>
          <w:szCs w:val="24"/>
        </w:rPr>
        <w:t>Mol. Hum. Reprod.</w:t>
      </w:r>
      <w:r w:rsidRPr="00283825">
        <w:rPr>
          <w:rFonts w:cs="Times New Roman"/>
          <w:noProof/>
          <w:szCs w:val="24"/>
        </w:rPr>
        <w:t xml:space="preserve"> 24, 453–464. doi:10.1093/molehr/gay031.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Y., Yang, X., Yang, Y., Wang, W., Zhao, M., Liu, H., et al. (2016b). High-throughput deep screening and identification of four peripheral leucocyte microRNAs as novel potential combination biomarkers for preeclampsia. </w:t>
      </w:r>
      <w:r w:rsidRPr="00283825">
        <w:rPr>
          <w:rFonts w:cs="Times New Roman"/>
          <w:i/>
          <w:iCs/>
          <w:noProof/>
          <w:szCs w:val="24"/>
        </w:rPr>
        <w:t>J. Perinatol.</w:t>
      </w:r>
      <w:r w:rsidRPr="00283825">
        <w:rPr>
          <w:rFonts w:cs="Times New Roman"/>
          <w:noProof/>
          <w:szCs w:val="24"/>
        </w:rPr>
        <w:t xml:space="preserve"> 36, 263–267. doi:10.1038/jp.2015.192.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Y., Zhang, Y., Wang, H., Wang, J., Zhang, Y., Wang, Y., et al. (2014). Aberrantly up-regulated miR-20a in pre-eclampsic placenta compromised the proliferative and invasive behaviors of trophoblast cells by targeting forkhead box protein A1. </w:t>
      </w:r>
      <w:r w:rsidRPr="00283825">
        <w:rPr>
          <w:rFonts w:cs="Times New Roman"/>
          <w:i/>
          <w:iCs/>
          <w:noProof/>
          <w:szCs w:val="24"/>
        </w:rPr>
        <w:t>Int. J. Biol. Sci.</w:t>
      </w:r>
      <w:r w:rsidRPr="00283825">
        <w:rPr>
          <w:rFonts w:cs="Times New Roman"/>
          <w:noProof/>
          <w:szCs w:val="24"/>
        </w:rPr>
        <w:t xml:space="preserve"> 10, 973–982. doi:10.7150/ijbs.9088.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Wang, Z., Wang, P., Wang, Z., Qin, Z., Xiu, X., Xu, D., et al. (2019e). MiRNA-548c-5p downregulates inflammatory response in preeclampsia via targeting PTPRO. </w:t>
      </w:r>
      <w:r w:rsidRPr="00283825">
        <w:rPr>
          <w:rFonts w:cs="Times New Roman"/>
          <w:i/>
          <w:iCs/>
          <w:noProof/>
          <w:szCs w:val="24"/>
        </w:rPr>
        <w:t>J. Cell. Physiol.</w:t>
      </w:r>
      <w:r w:rsidRPr="00283825">
        <w:rPr>
          <w:rFonts w:cs="Times New Roman"/>
          <w:noProof/>
          <w:szCs w:val="24"/>
        </w:rPr>
        <w:t xml:space="preserve"> 234, 11149–11155. doi:10.1002/jcp.27758.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Weedon-Fekjær, M. S., Sheng, Y., Sugulle, M., Johnsen, G. M., Herse, F., Redman, C. W., et al. (2014). Placental miR-1301 is dysregulated in early-onset preeclampsia and inversely correlated with maternal circulating leptin. </w:t>
      </w:r>
      <w:r w:rsidRPr="00283825">
        <w:rPr>
          <w:rFonts w:cs="Times New Roman"/>
          <w:i/>
          <w:iCs/>
          <w:noProof/>
          <w:szCs w:val="24"/>
        </w:rPr>
        <w:t>Placenta</w:t>
      </w:r>
      <w:r w:rsidRPr="00283825">
        <w:rPr>
          <w:rFonts w:cs="Times New Roman"/>
          <w:noProof/>
          <w:szCs w:val="24"/>
        </w:rPr>
        <w:t xml:space="preserve"> 35, 709–717. doi:10.1016/j.placenta.2014.07.002.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Wei, J., Blenkiron, C., Tsai, P., James, J. L., Chen, Q., Stone, P. R., et al. (2017). Placental trophoblast debris mediated feto-maternal signalling via small RNA delivery: Implications for preeclampsia. </w:t>
      </w:r>
      <w:r w:rsidRPr="00283825">
        <w:rPr>
          <w:rFonts w:cs="Times New Roman"/>
          <w:i/>
          <w:iCs/>
          <w:noProof/>
          <w:szCs w:val="24"/>
        </w:rPr>
        <w:t>Sci. Rep.</w:t>
      </w:r>
      <w:r w:rsidRPr="00283825">
        <w:rPr>
          <w:rFonts w:cs="Times New Roman"/>
          <w:noProof/>
          <w:szCs w:val="24"/>
        </w:rPr>
        <w:t xml:space="preserve"> 7, 14681. doi:10.1038/s41598-017-14180-8.</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Whigham, C. A., MacDonald, T. M., Walker, S. P., Hiscock, R., Hannan, N. J., Pritchard, N., et al. (2020). MicroRNAs 363 and 149 are differentially expressed in the maternal circulation preceding a diagnosis of preeclampsia. </w:t>
      </w:r>
      <w:r w:rsidRPr="00283825">
        <w:rPr>
          <w:rFonts w:cs="Times New Roman"/>
          <w:i/>
          <w:iCs/>
          <w:noProof/>
          <w:szCs w:val="24"/>
        </w:rPr>
        <w:t>Sci. Rep.</w:t>
      </w:r>
      <w:r w:rsidRPr="00283825">
        <w:rPr>
          <w:rFonts w:cs="Times New Roman"/>
          <w:noProof/>
          <w:szCs w:val="24"/>
        </w:rPr>
        <w:t xml:space="preserve"> 10, 18077. doi:10.1038/s41598-020-73783-w.</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Winger, E. E., Reed, J. L., and Ji, X. (2014). First Trimester Pbmc Microrna Predicts Adverse Pregnancy Outcome. </w:t>
      </w:r>
      <w:r w:rsidRPr="00283825">
        <w:rPr>
          <w:rFonts w:cs="Times New Roman"/>
          <w:i/>
          <w:iCs/>
          <w:noProof/>
          <w:szCs w:val="24"/>
        </w:rPr>
        <w:t>Am. J. Reprod. Immunol.</w:t>
      </w:r>
      <w:r w:rsidRPr="00283825">
        <w:rPr>
          <w:rFonts w:cs="Times New Roman"/>
          <w:noProof/>
          <w:szCs w:val="24"/>
        </w:rPr>
        <w:t xml:space="preserve"> 72, 515–526. doi:10.1111/aji.12287.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Winger, E. E., Reed, J. L., and Ji, X. (2015). First-trimester maternal cell microRNA is a superior pregnancy marker to immunological testing for predicting adverse pregnancy outcome. </w:t>
      </w:r>
      <w:r w:rsidRPr="00283825">
        <w:rPr>
          <w:rFonts w:cs="Times New Roman"/>
          <w:i/>
          <w:iCs/>
          <w:noProof/>
          <w:szCs w:val="24"/>
        </w:rPr>
        <w:t>J. Reprod. Immunol.</w:t>
      </w:r>
      <w:r w:rsidRPr="00283825">
        <w:rPr>
          <w:rFonts w:cs="Times New Roman"/>
          <w:noProof/>
          <w:szCs w:val="24"/>
        </w:rPr>
        <w:t xml:space="preserve"> 110, 22–35. doi:10.1016/j.jri.2015.03.005.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Winger, E. E., Reed, J. L., Ji, X., and Nicolaides, K. (2018). Peripheral blood cell microRNA quantification during the first trimester predicts preeclampsia: Proof of concept. </w:t>
      </w:r>
      <w:r w:rsidRPr="00283825">
        <w:rPr>
          <w:rFonts w:cs="Times New Roman"/>
          <w:i/>
          <w:iCs/>
          <w:noProof/>
          <w:szCs w:val="24"/>
        </w:rPr>
        <w:t>PLoS One</w:t>
      </w:r>
      <w:r w:rsidRPr="00283825">
        <w:rPr>
          <w:rFonts w:cs="Times New Roman"/>
          <w:noProof/>
          <w:szCs w:val="24"/>
        </w:rPr>
        <w:t xml:space="preserve"> 13, e0190654. doi:10.1371/journal.pone.0190654.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Witvrouwen, I., Mannaerts, D., Ratajczak, J., Boeren, E., Faes, E., van Craenenbroeck, A. H., et al. (2021). MicroRNAs targeting VEGF are related to vascular dysfunction in preeclampsia. </w:t>
      </w:r>
      <w:r w:rsidRPr="00283825">
        <w:rPr>
          <w:rFonts w:cs="Times New Roman"/>
          <w:i/>
          <w:iCs/>
          <w:noProof/>
          <w:szCs w:val="24"/>
        </w:rPr>
        <w:t>Biosci. Rep.</w:t>
      </w:r>
      <w:r w:rsidRPr="00283825">
        <w:rPr>
          <w:rFonts w:cs="Times New Roman"/>
          <w:noProof/>
          <w:szCs w:val="24"/>
        </w:rPr>
        <w:t xml:space="preserve"> 41, BSR20210874. doi:10.1042/BSR20210874.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Wu, L., Zhou, H., Lin, H., Qi, J., Zhu, C., Gao, Z., et al. (2012). Circulating microRNAs are elevated in plasma from severe preeclamptic pregnancies. </w:t>
      </w:r>
      <w:r w:rsidRPr="00283825">
        <w:rPr>
          <w:rFonts w:cs="Times New Roman"/>
          <w:i/>
          <w:iCs/>
          <w:noProof/>
          <w:szCs w:val="24"/>
        </w:rPr>
        <w:t>Reproduction</w:t>
      </w:r>
      <w:r w:rsidRPr="00283825">
        <w:rPr>
          <w:rFonts w:cs="Times New Roman"/>
          <w:noProof/>
          <w:szCs w:val="24"/>
        </w:rPr>
        <w:t xml:space="preserve"> 143, 389–397. doi:10.1530/REP-11-0304.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Xiao, J., Tao, T., Yin, Y., Zhao, L., Yang, L., and Hu, L. (2017). miR-144 may regulate the proliferation, migration and invasion of trophoblastic cells through targeting PTEN in preeclampsia. </w:t>
      </w:r>
      <w:r w:rsidRPr="00283825">
        <w:rPr>
          <w:rFonts w:cs="Times New Roman"/>
          <w:i/>
          <w:iCs/>
          <w:noProof/>
          <w:szCs w:val="24"/>
        </w:rPr>
        <w:t>Biomed. Pharmacother.</w:t>
      </w:r>
      <w:r w:rsidRPr="00283825">
        <w:rPr>
          <w:rFonts w:cs="Times New Roman"/>
          <w:noProof/>
          <w:szCs w:val="24"/>
        </w:rPr>
        <w:t xml:space="preserve"> 94, 341–353. doi:10.1016/j.biopha.2017.07.130.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lastRenderedPageBreak/>
        <w:t>Xiaobo (</w:t>
      </w:r>
      <w:r w:rsidRPr="00283825">
        <w:rPr>
          <w:rFonts w:ascii="MingLiU" w:eastAsia="MingLiU" w:hAnsi="MingLiU" w:cs="MingLiU" w:hint="eastAsia"/>
          <w:noProof/>
          <w:szCs w:val="24"/>
        </w:rPr>
        <w:t>赵肖波</w:t>
      </w:r>
      <w:r w:rsidRPr="00283825">
        <w:rPr>
          <w:rFonts w:cs="Times New Roman"/>
          <w:noProof/>
          <w:szCs w:val="24"/>
        </w:rPr>
        <w:t xml:space="preserve">), Z., Qizhi, H., Zhiping, W., and Tao, D. (2019). Down-regulated miR-149-5p contributes to preeclampsia via modulating endoglin expression. </w:t>
      </w:r>
      <w:r w:rsidRPr="00283825">
        <w:rPr>
          <w:rFonts w:cs="Times New Roman"/>
          <w:i/>
          <w:iCs/>
          <w:noProof/>
          <w:szCs w:val="24"/>
        </w:rPr>
        <w:t>Pregnancy Hypertens.</w:t>
      </w:r>
      <w:r w:rsidRPr="00283825">
        <w:rPr>
          <w:rFonts w:cs="Times New Roman"/>
          <w:noProof/>
          <w:szCs w:val="24"/>
        </w:rPr>
        <w:t xml:space="preserve"> 15, 201–208. doi:10.1016/j.preghy.2019.01.002.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Xie, N., Jia, Z., and Li, L. (2019). MIR-320a upregulation contributes to the development of Preeclampsia by inhibiting the growth and invasion of trophoblast cells by targeting interleukin 4. </w:t>
      </w:r>
      <w:r w:rsidRPr="00283825">
        <w:rPr>
          <w:rFonts w:cs="Times New Roman"/>
          <w:i/>
          <w:iCs/>
          <w:noProof/>
          <w:szCs w:val="24"/>
        </w:rPr>
        <w:t>Mol. Med. Rep.</w:t>
      </w:r>
      <w:r w:rsidRPr="00283825">
        <w:rPr>
          <w:rFonts w:cs="Times New Roman"/>
          <w:noProof/>
          <w:szCs w:val="24"/>
        </w:rPr>
        <w:t xml:space="preserve"> 20, 3256–3264. doi:10.3892/mmr.2019.10574.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Xu, H., and Zhang, X. (2017). Abnormal expression of microRNA-370 regulates Endoglin expression in preeclampsia. </w:t>
      </w:r>
      <w:r w:rsidRPr="00283825">
        <w:rPr>
          <w:rFonts w:cs="Times New Roman"/>
          <w:i/>
          <w:iCs/>
          <w:noProof/>
          <w:szCs w:val="24"/>
        </w:rPr>
        <w:t>Int J Clin Exp Med</w:t>
      </w:r>
      <w:r w:rsidRPr="00283825">
        <w:rPr>
          <w:rFonts w:cs="Times New Roman"/>
          <w:noProof/>
          <w:szCs w:val="24"/>
        </w:rPr>
        <w:t xml:space="preserve"> 10, 4943–4949.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Xu, J., Gu, Y., Lewis, D. F., Cooper, D. B., McCathran, C. E., and Wang, Y. (2019). Downregulation of vitamin D receptor and miR-126-3p expression contributes to increased endothelial inflammatory response in preeclampsia. </w:t>
      </w:r>
      <w:r w:rsidRPr="00283825">
        <w:rPr>
          <w:rFonts w:cs="Times New Roman"/>
          <w:i/>
          <w:iCs/>
          <w:noProof/>
          <w:szCs w:val="24"/>
        </w:rPr>
        <w:t>Am. J. Reprod. Immunol.</w:t>
      </w:r>
      <w:r w:rsidRPr="00283825">
        <w:rPr>
          <w:rFonts w:cs="Times New Roman"/>
          <w:noProof/>
          <w:szCs w:val="24"/>
        </w:rPr>
        <w:t xml:space="preserve"> 82, e13172. doi:10.1111/aji.13172.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Xu, P., Zhao, Y., Liu, M., Wang, Y., Wang, H., Li, Y., et al. (2014). Variations of MicroRNAs in Human Placentas and Plasma From Preeclamptic Pregnancy. </w:t>
      </w:r>
      <w:r w:rsidRPr="00283825">
        <w:rPr>
          <w:rFonts w:cs="Times New Roman"/>
          <w:i/>
          <w:iCs/>
          <w:noProof/>
          <w:szCs w:val="24"/>
        </w:rPr>
        <w:t>Hypertension</w:t>
      </w:r>
      <w:r w:rsidRPr="00283825">
        <w:rPr>
          <w:rFonts w:cs="Times New Roman"/>
          <w:noProof/>
          <w:szCs w:val="24"/>
        </w:rPr>
        <w:t xml:space="preserve"> 63, 1276–84. doi:10.1161/HYPERTENSIONAHA.113.02647.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Xue, F., Yang, J., Li, Q., and Zhou, H. (2019). Down-regulation of microRNA-34a-5p promotes trophoblast cell migration and invasion via targetting Smad4. </w:t>
      </w:r>
      <w:r w:rsidRPr="00283825">
        <w:rPr>
          <w:rFonts w:cs="Times New Roman"/>
          <w:i/>
          <w:iCs/>
          <w:noProof/>
          <w:szCs w:val="24"/>
        </w:rPr>
        <w:t>Biosci. Rep.</w:t>
      </w:r>
      <w:r w:rsidRPr="00283825">
        <w:rPr>
          <w:rFonts w:cs="Times New Roman"/>
          <w:noProof/>
          <w:szCs w:val="24"/>
        </w:rPr>
        <w:t xml:space="preserve"> 39, BSR20181631. doi:10.1042/BSR20181631.</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 T., Liu, Y., Cui, K., Hu, B., Wang, F., and Zou, L. (2013). MicroRNA-126 regulates EPCs function: Implications for a role of miR-126 in preeclampsia. </w:t>
      </w:r>
      <w:r w:rsidRPr="00283825">
        <w:rPr>
          <w:rFonts w:cs="Times New Roman"/>
          <w:i/>
          <w:iCs/>
          <w:noProof/>
          <w:szCs w:val="24"/>
        </w:rPr>
        <w:t>J. Cell. Biochem.</w:t>
      </w:r>
      <w:r w:rsidRPr="00283825">
        <w:rPr>
          <w:rFonts w:cs="Times New Roman"/>
          <w:noProof/>
          <w:szCs w:val="24"/>
        </w:rPr>
        <w:t xml:space="preserve"> 114, 2148–2159. doi:10.1002/jcb.24563.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H. L., Zhang, H. Z., Meng, F. R., Han, S. Y., and Zhang, M. (2019a). Differential expression of microRNA-411 and 376c is associated with hypertension in pregnancy. </w:t>
      </w:r>
      <w:r w:rsidRPr="00283825">
        <w:rPr>
          <w:rFonts w:cs="Times New Roman"/>
          <w:i/>
          <w:iCs/>
          <w:noProof/>
          <w:szCs w:val="24"/>
        </w:rPr>
        <w:t>Brazilian J. Med. Biol. Res.</w:t>
      </w:r>
      <w:r w:rsidRPr="00283825">
        <w:rPr>
          <w:rFonts w:cs="Times New Roman"/>
          <w:noProof/>
          <w:szCs w:val="24"/>
        </w:rPr>
        <w:t xml:space="preserve"> 52, e7546. doi:10.1590/1414-431X20197546.</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Q., Lu, J., Wang, S., Li, H., Ge, Q., and Lu, Z. (2011). Application of next-generation sequencing technology to profile the circulating microRNAs in the serum of preeclampsia versus normal pregnant women. </w:t>
      </w:r>
      <w:r w:rsidRPr="00283825">
        <w:rPr>
          <w:rFonts w:cs="Times New Roman"/>
          <w:i/>
          <w:iCs/>
          <w:noProof/>
          <w:szCs w:val="24"/>
        </w:rPr>
        <w:t>Clin. Chim. Acta</w:t>
      </w:r>
      <w:r w:rsidRPr="00283825">
        <w:rPr>
          <w:rFonts w:cs="Times New Roman"/>
          <w:noProof/>
          <w:szCs w:val="24"/>
        </w:rPr>
        <w:t xml:space="preserve"> 412, 2167–2173. doi:10.1016/j.cca.2011.07.029.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S., Li, H., Ge, Q., Guo, L., and Chen, F. (2015). Deregulated microRNA species in the plasma and placenta of patients with preeclampsia. </w:t>
      </w:r>
      <w:r w:rsidRPr="00283825">
        <w:rPr>
          <w:rFonts w:cs="Times New Roman"/>
          <w:i/>
          <w:iCs/>
          <w:noProof/>
          <w:szCs w:val="24"/>
        </w:rPr>
        <w:t>Mol. Med. Rep.</w:t>
      </w:r>
      <w:r w:rsidRPr="00283825">
        <w:rPr>
          <w:rFonts w:cs="Times New Roman"/>
          <w:noProof/>
          <w:szCs w:val="24"/>
        </w:rPr>
        <w:t xml:space="preserve"> 12, 527–534. doi:10.3892/mmr.2015.3414.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W., Wang, A., Zhao, C., Li, Q., Pan, Z., Han, X., et al. (2016). MiR-125b enhances IL-8 production in early-onset severe preeclampsia by targeting sphingosine-1-phosphate lyase 1. </w:t>
      </w:r>
      <w:r w:rsidRPr="00283825">
        <w:rPr>
          <w:rFonts w:cs="Times New Roman"/>
          <w:i/>
          <w:iCs/>
          <w:noProof/>
          <w:szCs w:val="24"/>
        </w:rPr>
        <w:t>PLoS One</w:t>
      </w:r>
      <w:r w:rsidRPr="00283825">
        <w:rPr>
          <w:rFonts w:cs="Times New Roman"/>
          <w:noProof/>
          <w:szCs w:val="24"/>
        </w:rPr>
        <w:t xml:space="preserve"> 11, e0166940. doi:10.1371/journal.pone.0166940.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X., and Guo, F. (2019). MiR-342-3p suppresses cell migration and invasion in preeclampsia by targeting platelet-derived growth factor receptor α. </w:t>
      </w:r>
      <w:r w:rsidRPr="00283825">
        <w:rPr>
          <w:rFonts w:cs="Times New Roman"/>
          <w:i/>
          <w:iCs/>
          <w:noProof/>
          <w:szCs w:val="24"/>
        </w:rPr>
        <w:t>Mol. Med. Rep.</w:t>
      </w:r>
      <w:r w:rsidRPr="00283825">
        <w:rPr>
          <w:rFonts w:cs="Times New Roman"/>
          <w:noProof/>
          <w:szCs w:val="24"/>
        </w:rPr>
        <w:t xml:space="preserve"> 20, 1772–1780. doi:10.3892/mmr.2019.10372.</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lastRenderedPageBreak/>
        <w:t xml:space="preserve">Yang, X., and Meng, T. (2019). MicroRNA-431 affects trophoblast migration and invasion by targeting ZEB1 in preeclampsia. </w:t>
      </w:r>
      <w:r w:rsidRPr="00283825">
        <w:rPr>
          <w:rFonts w:cs="Times New Roman"/>
          <w:i/>
          <w:iCs/>
          <w:noProof/>
          <w:szCs w:val="24"/>
        </w:rPr>
        <w:t>Gene</w:t>
      </w:r>
      <w:r w:rsidRPr="00283825">
        <w:rPr>
          <w:rFonts w:cs="Times New Roman"/>
          <w:noProof/>
          <w:szCs w:val="24"/>
        </w:rPr>
        <w:t xml:space="preserve"> 683, 225–232. doi:10.1016/j.gene.2018.10.015.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X., Zhang, J., and Ding, Y. (2017). Association of microRNA-155, interleukin 17A, and proteinuria in preeclampsia. </w:t>
      </w:r>
      <w:r w:rsidRPr="00283825">
        <w:rPr>
          <w:rFonts w:cs="Times New Roman"/>
          <w:i/>
          <w:iCs/>
          <w:noProof/>
          <w:szCs w:val="24"/>
        </w:rPr>
        <w:t>Med. (United States)</w:t>
      </w:r>
      <w:r w:rsidRPr="00283825">
        <w:rPr>
          <w:rFonts w:cs="Times New Roman"/>
          <w:noProof/>
          <w:szCs w:val="24"/>
        </w:rPr>
        <w:t xml:space="preserve"> 96, e6509. doi:10.1097/MD.0000000000006509.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Y., Li, H., Ma, Y., Zhu, X., Zhang, S., and Li, J. (2019b). MiR-221-3p is down-regulated in preeclampsia and affects trophoblast growth, invasion and migration partly via targeting thrombospondin 2. </w:t>
      </w:r>
      <w:r w:rsidRPr="00283825">
        <w:rPr>
          <w:rFonts w:cs="Times New Roman"/>
          <w:i/>
          <w:iCs/>
          <w:noProof/>
          <w:szCs w:val="24"/>
        </w:rPr>
        <w:t>Biomed. Pharmacother.</w:t>
      </w:r>
      <w:r w:rsidRPr="00283825">
        <w:rPr>
          <w:rFonts w:cs="Times New Roman"/>
          <w:noProof/>
          <w:szCs w:val="24"/>
        </w:rPr>
        <w:t xml:space="preserve"> 109, 127–134. doi:10.1016/j.biopha.2018.10.009.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Yang, Y., Xi, L., Ma, Y., Zhu, X., Chen, R., Luan, L., et al. (2019c). The lncRNA small nucleolar RNA host gene 5 regulates trophoblast cell proliferation, invasion, and migration via modulating miR-26a-5p/N-cadherin axis. </w:t>
      </w:r>
      <w:r w:rsidRPr="00283825">
        <w:rPr>
          <w:rFonts w:cs="Times New Roman"/>
          <w:i/>
          <w:iCs/>
          <w:noProof/>
          <w:szCs w:val="24"/>
        </w:rPr>
        <w:t>J. Cell. Biochem.</w:t>
      </w:r>
      <w:r w:rsidRPr="00283825">
        <w:rPr>
          <w:rFonts w:cs="Times New Roman"/>
          <w:noProof/>
          <w:szCs w:val="24"/>
        </w:rPr>
        <w:t xml:space="preserve"> 120, 3173–3184. doi:10.1002/jcb.27583.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Youssef, H. M. G., and Marei, E. S. (2019). Association of MicroRNA-210 and MicroRNA-155 with severity of preeclampsia. </w:t>
      </w:r>
      <w:r w:rsidRPr="00283825">
        <w:rPr>
          <w:rFonts w:cs="Times New Roman"/>
          <w:i/>
          <w:iCs/>
          <w:noProof/>
          <w:szCs w:val="24"/>
        </w:rPr>
        <w:t>Pregnancy Hypertens.</w:t>
      </w:r>
      <w:r w:rsidRPr="00283825">
        <w:rPr>
          <w:rFonts w:cs="Times New Roman"/>
          <w:noProof/>
          <w:szCs w:val="24"/>
        </w:rPr>
        <w:t xml:space="preserve"> 17, 49–53. doi:10.1016/j.preghy.2019.05.010.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Yu, Z., Zhang, Y., Zheng, H., Gao, Q., and Wang, H. (2021). LncRNA SNHG16 regulates trophoblast functions by the miR-218-5p/LASP1 axis. </w:t>
      </w:r>
      <w:r w:rsidRPr="00283825">
        <w:rPr>
          <w:rFonts w:cs="Times New Roman"/>
          <w:i/>
          <w:iCs/>
          <w:noProof/>
          <w:szCs w:val="24"/>
        </w:rPr>
        <w:t>J. Mol. Histol.</w:t>
      </w:r>
      <w:r w:rsidRPr="00283825">
        <w:rPr>
          <w:rFonts w:cs="Times New Roman"/>
          <w:noProof/>
          <w:szCs w:val="24"/>
        </w:rPr>
        <w:t xml:space="preserve"> 52, 1021–1033. doi:10.1007/s10735-021-09985-x.</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Zhang, C., Li, Q., Ren, N., Li, C., Wang, X., Xie, M., et al. (2015a). Placental miR-106a-363 cluster is dysregulated in preeclamptic placenta. </w:t>
      </w:r>
      <w:r w:rsidRPr="00283825">
        <w:rPr>
          <w:rFonts w:cs="Times New Roman"/>
          <w:i/>
          <w:iCs/>
          <w:noProof/>
          <w:szCs w:val="24"/>
        </w:rPr>
        <w:t>Placenta</w:t>
      </w:r>
      <w:r w:rsidRPr="00283825">
        <w:rPr>
          <w:rFonts w:cs="Times New Roman"/>
          <w:noProof/>
          <w:szCs w:val="24"/>
        </w:rPr>
        <w:t xml:space="preserve"> 36, 250–252. doi:10.1016/j.placenta.2014.11.020.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Zhang, C., Li, Q., Ren, N., Li, C., Wang, X., Xie, M., et al. (2015b). Placental miR-106a</w:t>
      </w:r>
      <w:r w:rsidRPr="00283825">
        <w:rPr>
          <w:rFonts w:ascii="Cambria Math" w:hAnsi="Cambria Math" w:cs="Cambria Math"/>
          <w:noProof/>
          <w:szCs w:val="24"/>
        </w:rPr>
        <w:t>∼</w:t>
      </w:r>
      <w:r w:rsidRPr="00283825">
        <w:rPr>
          <w:rFonts w:cs="Times New Roman"/>
          <w:noProof/>
          <w:szCs w:val="24"/>
        </w:rPr>
        <w:t xml:space="preserve">363 cluster is dysregulated in preeclamptic placenta. </w:t>
      </w:r>
      <w:r w:rsidRPr="00283825">
        <w:rPr>
          <w:rFonts w:cs="Times New Roman"/>
          <w:i/>
          <w:iCs/>
          <w:noProof/>
          <w:szCs w:val="24"/>
        </w:rPr>
        <w:t>Placenta</w:t>
      </w:r>
      <w:r w:rsidRPr="00283825">
        <w:rPr>
          <w:rFonts w:cs="Times New Roman"/>
          <w:noProof/>
          <w:szCs w:val="24"/>
        </w:rPr>
        <w:t xml:space="preserve"> 36, 250–252. doi:10.1016/j.placenta.2014.11.020.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Zhang, Y., Diao, Z., Su, L., Sun, H., Li, R., Cui, H., et al. (2010). MicroRNA-155 contributes to preeclampsia by down-regulating CYR61. </w:t>
      </w:r>
      <w:r w:rsidRPr="00283825">
        <w:rPr>
          <w:rFonts w:cs="Times New Roman"/>
          <w:i/>
          <w:iCs/>
          <w:noProof/>
          <w:szCs w:val="24"/>
        </w:rPr>
        <w:t>Am. J. Obstet. Gynecol.</w:t>
      </w:r>
      <w:r w:rsidRPr="00283825">
        <w:rPr>
          <w:rFonts w:cs="Times New Roman"/>
          <w:noProof/>
          <w:szCs w:val="24"/>
        </w:rPr>
        <w:t xml:space="preserve"> 202, 466.e1-466.e7. doi:10.1016/j.ajog.2010.01.057.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Zhang, Y., Fei, M., Xue, G., Zhou, Q., Jia, Y., Li, L., et al. (2012). Elevated levels of hypoxia-inducible microRNA-210 in pre-eclampsia: New insights into molecular mechanisms for the disease. </w:t>
      </w:r>
      <w:r w:rsidRPr="00283825">
        <w:rPr>
          <w:rFonts w:cs="Times New Roman"/>
          <w:i/>
          <w:iCs/>
          <w:noProof/>
          <w:szCs w:val="24"/>
        </w:rPr>
        <w:t>J. Cell. Mol. Med.</w:t>
      </w:r>
      <w:r w:rsidRPr="00283825">
        <w:rPr>
          <w:rFonts w:cs="Times New Roman"/>
          <w:noProof/>
          <w:szCs w:val="24"/>
        </w:rPr>
        <w:t xml:space="preserve"> 16, 249–259. doi:10.1111/j.1582-4934.2011.01291.x.</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Zhang, Y., Huang, G., Zhang, Y., Yang, H., Long, Y., Liang, Q., et al. (2017). MiR-942 decreased before 20 weeks gestation in women with preeclampsia and was associated with the pathophysiology of preeclampsia in vitro. </w:t>
      </w:r>
      <w:r w:rsidRPr="00283825">
        <w:rPr>
          <w:rFonts w:cs="Times New Roman"/>
          <w:i/>
          <w:iCs/>
          <w:noProof/>
          <w:szCs w:val="24"/>
        </w:rPr>
        <w:t>Clin. Exp. Hypertens.</w:t>
      </w:r>
      <w:r w:rsidRPr="00283825">
        <w:rPr>
          <w:rFonts w:cs="Times New Roman"/>
          <w:noProof/>
          <w:szCs w:val="24"/>
        </w:rPr>
        <w:t xml:space="preserve"> 39, 108–113. doi:10.1080/10641963.2016.1210619.</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Zhao, G., Zhou, X., Chen, S., Miao, H., Fan, H., Wang, Z., et al. (2014). Differential expression of microRNAs in decidua-derived mesenchymal stem cells from patients with pre-eclampsia. </w:t>
      </w:r>
      <w:r w:rsidRPr="00283825">
        <w:rPr>
          <w:rFonts w:cs="Times New Roman"/>
          <w:i/>
          <w:iCs/>
          <w:noProof/>
          <w:szCs w:val="24"/>
        </w:rPr>
        <w:t>J. Biomed. Sci.</w:t>
      </w:r>
      <w:r w:rsidRPr="00283825">
        <w:rPr>
          <w:rFonts w:cs="Times New Roman"/>
          <w:noProof/>
          <w:szCs w:val="24"/>
        </w:rPr>
        <w:t xml:space="preserve"> 21, 81. doi:10.1186/s12929-014-0081-3.</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Zheng, W., Chen, A., Yang, H., and Hong, L. (2020). MicroRNA</w:t>
      </w:r>
      <w:r w:rsidRPr="00283825">
        <w:rPr>
          <w:rFonts w:ascii="MS Mincho" w:eastAsia="MS Mincho" w:hAnsi="MS Mincho" w:cs="MS Mincho" w:hint="eastAsia"/>
          <w:noProof/>
          <w:szCs w:val="24"/>
        </w:rPr>
        <w:t>‑</w:t>
      </w:r>
      <w:r w:rsidRPr="00283825">
        <w:rPr>
          <w:rFonts w:cs="Times New Roman"/>
          <w:noProof/>
          <w:szCs w:val="24"/>
        </w:rPr>
        <w:t xml:space="preserve">27a inhibits trophoblast cell migration and invasion by targeting SMAD2: Potential role in preeclampsia. </w:t>
      </w:r>
      <w:r w:rsidRPr="00283825">
        <w:rPr>
          <w:rFonts w:cs="Times New Roman"/>
          <w:i/>
          <w:iCs/>
          <w:noProof/>
          <w:szCs w:val="24"/>
        </w:rPr>
        <w:t>Exp. Ther. Med.</w:t>
      </w:r>
      <w:r w:rsidRPr="00283825">
        <w:rPr>
          <w:rFonts w:cs="Times New Roman"/>
          <w:noProof/>
          <w:szCs w:val="24"/>
        </w:rPr>
        <w:t xml:space="preserve"> </w:t>
      </w:r>
      <w:r w:rsidRPr="00283825">
        <w:rPr>
          <w:rFonts w:cs="Times New Roman"/>
          <w:noProof/>
          <w:szCs w:val="24"/>
        </w:rPr>
        <w:lastRenderedPageBreak/>
        <w:t>20, 2262–2269. doi:10.3892/etm.2020.8924.</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Zhong, Y., Zhu, F., and Ding, Y. (2019). Differential microRNA expression profile in the plasma of preeclampsia and normal pregnancies. </w:t>
      </w:r>
      <w:r w:rsidRPr="00283825">
        <w:rPr>
          <w:rFonts w:cs="Times New Roman"/>
          <w:i/>
          <w:iCs/>
          <w:noProof/>
          <w:szCs w:val="24"/>
        </w:rPr>
        <w:t>Exp. Ther. Med.</w:t>
      </w:r>
      <w:r w:rsidRPr="00283825">
        <w:rPr>
          <w:rFonts w:cs="Times New Roman"/>
          <w:noProof/>
          <w:szCs w:val="24"/>
        </w:rPr>
        <w:t xml:space="preserve"> 18, 826–32. doi:0.3892/etm.2019.7637.</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Zhou, X., Li, Q., Xu, J., Zhang, X., Zhang, H., Xiang, Y., et al. (2016). The aberrantly expressed miR-193b-3p contributes to preeclampsia through regulating transforming growth factor-β signaling. </w:t>
      </w:r>
      <w:r w:rsidRPr="00283825">
        <w:rPr>
          <w:rFonts w:cs="Times New Roman"/>
          <w:i/>
          <w:iCs/>
          <w:noProof/>
          <w:szCs w:val="24"/>
        </w:rPr>
        <w:t>Sci. Rep.</w:t>
      </w:r>
      <w:r w:rsidRPr="00283825">
        <w:rPr>
          <w:rFonts w:cs="Times New Roman"/>
          <w:noProof/>
          <w:szCs w:val="24"/>
        </w:rPr>
        <w:t xml:space="preserve"> 6, 19910. doi:10.1038/srep19910.</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Zhu, X. ming, Han, T., Sargent, I. L., Yin, G. wu, and Yao, Y. qing (2009). Differential expression profile of microRNAs in human placentas from preeclamptic pregnancies vs normal pregnancies. </w:t>
      </w:r>
      <w:r w:rsidRPr="00283825">
        <w:rPr>
          <w:rFonts w:cs="Times New Roman"/>
          <w:i/>
          <w:iCs/>
          <w:noProof/>
          <w:szCs w:val="24"/>
        </w:rPr>
        <w:t>Am. J. Obstet. Gynecol.</w:t>
      </w:r>
      <w:r w:rsidRPr="00283825">
        <w:rPr>
          <w:rFonts w:cs="Times New Roman"/>
          <w:noProof/>
          <w:szCs w:val="24"/>
        </w:rPr>
        <w:t xml:space="preserve"> 200, 661.e1-661.e7. doi:10.1016/j.ajog.2008.12.045.</w:t>
      </w:r>
    </w:p>
    <w:p w:rsidR="00283825" w:rsidRPr="00283825" w:rsidRDefault="00283825" w:rsidP="00283825">
      <w:pPr>
        <w:widowControl w:val="0"/>
        <w:autoSpaceDE w:val="0"/>
        <w:autoSpaceDN w:val="0"/>
        <w:adjustRightInd w:val="0"/>
        <w:ind w:left="480" w:hanging="480"/>
        <w:rPr>
          <w:rFonts w:cs="Times New Roman"/>
          <w:noProof/>
          <w:szCs w:val="24"/>
        </w:rPr>
      </w:pPr>
      <w:r w:rsidRPr="00283825">
        <w:rPr>
          <w:rFonts w:cs="Times New Roman"/>
          <w:noProof/>
          <w:szCs w:val="24"/>
        </w:rPr>
        <w:t xml:space="preserve">Zou, A.-X., Chen, B., Li, Q.-X., and Liang, Y.-C. (2018). MiR-134 regulates the progression of preeclampsia. </w:t>
      </w:r>
      <w:r w:rsidRPr="00283825">
        <w:rPr>
          <w:rFonts w:cs="Times New Roman"/>
          <w:i/>
          <w:iCs/>
          <w:noProof/>
          <w:szCs w:val="24"/>
        </w:rPr>
        <w:t>Eur. Rev. Med. Pharmacol. Sci.</w:t>
      </w:r>
      <w:r w:rsidRPr="00283825">
        <w:rPr>
          <w:rFonts w:cs="Times New Roman"/>
          <w:noProof/>
          <w:szCs w:val="24"/>
        </w:rPr>
        <w:t xml:space="preserve"> 22, 2199–2206. doi:10.26355/eurrev_201803_14557.</w:t>
      </w:r>
    </w:p>
    <w:p w:rsidR="00283825" w:rsidRPr="00283825" w:rsidRDefault="00283825" w:rsidP="00283825">
      <w:pPr>
        <w:widowControl w:val="0"/>
        <w:autoSpaceDE w:val="0"/>
        <w:autoSpaceDN w:val="0"/>
        <w:adjustRightInd w:val="0"/>
        <w:ind w:left="480" w:hanging="480"/>
        <w:rPr>
          <w:rFonts w:cs="Times New Roman"/>
          <w:noProof/>
        </w:rPr>
      </w:pPr>
      <w:r w:rsidRPr="00283825">
        <w:rPr>
          <w:rFonts w:cs="Times New Roman"/>
          <w:noProof/>
          <w:szCs w:val="24"/>
        </w:rPr>
        <w:t xml:space="preserve">Zou, Y., Jiang, Z., Yu, X., Zhang, Y., Sun, M., Wang, W., et al. (2014). MiR-101 regulates apoptosis of trophoblast HTR-8/SVneo cells by targeting endoplasmic reticulum (ER) protein 44 during preeclampsia. </w:t>
      </w:r>
      <w:r w:rsidRPr="00283825">
        <w:rPr>
          <w:rFonts w:cs="Times New Roman"/>
          <w:i/>
          <w:iCs/>
          <w:noProof/>
          <w:szCs w:val="24"/>
        </w:rPr>
        <w:t>J. Hum. Hypertens.</w:t>
      </w:r>
      <w:r w:rsidRPr="00283825">
        <w:rPr>
          <w:rFonts w:cs="Times New Roman"/>
          <w:noProof/>
          <w:szCs w:val="24"/>
        </w:rPr>
        <w:t xml:space="preserve"> 28, 610–616. doi:10.1038/jhh.2014.35.</w:t>
      </w:r>
    </w:p>
    <w:p w:rsidR="00D0073D" w:rsidRPr="00292D3E" w:rsidRDefault="00E33D6E" w:rsidP="00283825">
      <w:pPr>
        <w:widowControl w:val="0"/>
        <w:autoSpaceDE w:val="0"/>
        <w:autoSpaceDN w:val="0"/>
        <w:adjustRightInd w:val="0"/>
        <w:ind w:left="480" w:hanging="480"/>
        <w:rPr>
          <w:szCs w:val="24"/>
        </w:rPr>
      </w:pPr>
      <w:r>
        <w:rPr>
          <w:szCs w:val="24"/>
        </w:rPr>
        <w:fldChar w:fldCharType="end"/>
      </w:r>
    </w:p>
    <w:sectPr w:rsidR="00D0073D" w:rsidRPr="00292D3E" w:rsidSect="00352A06">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BC8" w:rsidRDefault="00587BC8" w:rsidP="00117666">
      <w:pPr>
        <w:spacing w:after="0"/>
      </w:pPr>
      <w:r>
        <w:separator/>
      </w:r>
    </w:p>
  </w:endnote>
  <w:endnote w:type="continuationSeparator" w:id="0">
    <w:p w:rsidR="00587BC8" w:rsidRDefault="00587BC8"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inionPro-Regular">
    <w:altName w:val="Cambria"/>
    <w:charset w:val="00"/>
    <w:family w:val="roman"/>
    <w:pitch w:val="variable"/>
    <w:sig w:usb0="00000003" w:usb1="00000000" w:usb2="00000000" w:usb3="00000000" w:csb0="00000001" w:csb1="00000000"/>
  </w:font>
  <w:font w:name="MinionPro-It">
    <w:charset w:val="00"/>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ont306">
    <w:altName w:val="Times New Roman"/>
    <w:charset w:val="00"/>
    <w:family w:val="auto"/>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AdvOT596495f2">
    <w:panose1 w:val="00000000000000000000"/>
    <w:charset w:val="00"/>
    <w:family w:val="roman"/>
    <w:notTrueType/>
    <w:pitch w:val="default"/>
    <w:sig w:usb0="00000003" w:usb1="00000000" w:usb2="00000000" w:usb3="00000000" w:csb0="00000001" w:csb1="00000000"/>
  </w:font>
  <w:font w:name="STIXTwoMath">
    <w:altName w:val="MS Mincho"/>
    <w:panose1 w:val="00000000000000000000"/>
    <w:charset w:val="80"/>
    <w:family w:val="auto"/>
    <w:notTrueType/>
    <w:pitch w:val="default"/>
    <w:sig w:usb0="00000000" w:usb1="08070000" w:usb2="00000010" w:usb3="00000000" w:csb0="00020000" w:csb1="00000000"/>
  </w:font>
  <w:font w:name="Times">
    <w:altName w:val="Times"/>
    <w:panose1 w:val="02020603050405020304"/>
    <w:charset w:val="00"/>
    <w:family w:val="roman"/>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1" w:usb1="08070000" w:usb2="00000010" w:usb3="00000000" w:csb0="00020000" w:csb1="00000000"/>
  </w:font>
  <w:font w:name="VVCCG G+ Te X_ C M_ Maths_">
    <w:altName w:val="Te Extra"/>
    <w:panose1 w:val="00000000000000000000"/>
    <w:charset w:val="00"/>
    <w:family w:val="swiss"/>
    <w:notTrueType/>
    <w:pitch w:val="default"/>
    <w:sig w:usb0="00000003" w:usb1="00000000" w:usb2="00000000" w:usb3="00000000" w:csb0="00000001" w:csb1="00000000"/>
  </w:font>
  <w:font w:name="AdvGulliv-R">
    <w:panose1 w:val="00000000000000000000"/>
    <w:charset w:val="00"/>
    <w:family w:val="roman"/>
    <w:notTrueType/>
    <w:pitch w:val="default"/>
    <w:sig w:usb0="00000003" w:usb1="00000000" w:usb2="00000000" w:usb3="00000000" w:csb0="00000001" w:csb1="00000000"/>
  </w:font>
  <w:font w:name="Lato-Regular">
    <w:altName w:val="MS Mincho"/>
    <w:panose1 w:val="00000000000000000000"/>
    <w:charset w:val="80"/>
    <w:family w:val="auto"/>
    <w:notTrueType/>
    <w:pitch w:val="default"/>
    <w:sig w:usb0="00000003" w:usb1="08070000" w:usb2="00000010" w:usb3="00000000" w:csb0="00020001" w:csb1="00000000"/>
  </w:font>
  <w:font w:name="STIX-Regular">
    <w:altName w:val="MS Mincho"/>
    <w:panose1 w:val="00000000000000000000"/>
    <w:charset w:val="80"/>
    <w:family w:val="roman"/>
    <w:notTrueType/>
    <w:pitch w:val="default"/>
    <w:sig w:usb0="00000081" w:usb1="08070000" w:usb2="00000010" w:usb3="00000000" w:csb0="00020008" w:csb1="00000000"/>
  </w:font>
  <w:font w:name="PMingLiU">
    <w:altName w:val="Arial Unicode MS"/>
    <w:panose1 w:val="02010601000101010101"/>
    <w:charset w:val="88"/>
    <w:family w:val="auto"/>
    <w:notTrueType/>
    <w:pitch w:val="variable"/>
    <w:sig w:usb0="00000000" w:usb1="08080000" w:usb2="00000010" w:usb3="00000000" w:csb0="00100000" w:csb1="00000000"/>
  </w:font>
  <w:font w:name="Franklin Gothic Book">
    <w:panose1 w:val="020B0503020102020204"/>
    <w:charset w:val="00"/>
    <w:family w:val="swiss"/>
    <w:pitch w:val="variable"/>
    <w:sig w:usb0="00000287" w:usb1="00000000" w:usb2="00000000" w:usb3="00000000" w:csb0="0000009F" w:csb1="00000000"/>
  </w:font>
  <w:font w:name="MyriadPro-Regular">
    <w:altName w:val="MS Mincho"/>
    <w:panose1 w:val="00000000000000000000"/>
    <w:charset w:val="80"/>
    <w:family w:val="auto"/>
    <w:notTrueType/>
    <w:pitch w:val="default"/>
    <w:sig w:usb0="00000001" w:usb1="08070000" w:usb2="00000010" w:usb3="00000000" w:csb0="00020000" w:csb1="00000000"/>
  </w:font>
  <w:font w:name="AdvOT4f49f862+20">
    <w:altName w:val="MS Mincho"/>
    <w:panose1 w:val="00000000000000000000"/>
    <w:charset w:val="80"/>
    <w:family w:val="auto"/>
    <w:notTrueType/>
    <w:pitch w:val="default"/>
    <w:sig w:usb0="00000000" w:usb1="08070000" w:usb2="00000010" w:usb3="00000000" w:csb0="00020000" w:csb1="00000000"/>
  </w:font>
  <w:font w:name="STIX">
    <w:altName w:val="STI Extra"/>
    <w:panose1 w:val="00000000000000000000"/>
    <w:charset w:val="00"/>
    <w:family w:val="swiss"/>
    <w:notTrueType/>
    <w:pitch w:val="default"/>
    <w:sig w:usb0="00000003" w:usb1="00000000" w:usb2="00000000" w:usb3="00000000" w:csb0="00000001" w:csb1="00000000"/>
  </w:font>
  <w:font w:name="AdvOTe94fe8f8+22">
    <w:altName w:val="MS Mincho"/>
    <w:panose1 w:val="00000000000000000000"/>
    <w:charset w:val="80"/>
    <w:family w:val="auto"/>
    <w:notTrueType/>
    <w:pitch w:val="default"/>
    <w:sig w:usb0="00000001" w:usb1="08070000" w:usb2="00000010" w:usb3="00000000" w:csb0="00020000" w:csb1="00000000"/>
  </w:font>
  <w:font w:name="AdvP4C4E74">
    <w:panose1 w:val="00000000000000000000"/>
    <w:charset w:val="00"/>
    <w:family w:val="auto"/>
    <w:notTrueType/>
    <w:pitch w:val="default"/>
    <w:sig w:usb0="00000003" w:usb1="00000000" w:usb2="00000000" w:usb3="00000000" w:csb0="00000001" w:csb1="00000000"/>
  </w:font>
  <w:font w:name="AdvPSMP13">
    <w:panose1 w:val="00000000000000000000"/>
    <w:charset w:val="00"/>
    <w:family w:val="roman"/>
    <w:notTrueType/>
    <w:pitch w:val="default"/>
    <w:sig w:usb0="00000003" w:usb1="00000000" w:usb2="00000000" w:usb3="00000000" w:csb0="00000001" w:csb1="00000000"/>
  </w:font>
  <w:font w:name="AdvOT8608a8d1+20">
    <w:altName w:val="MS Mincho"/>
    <w:panose1 w:val="00000000000000000000"/>
    <w:charset w:val="80"/>
    <w:family w:val="auto"/>
    <w:notTrueType/>
    <w:pitch w:val="default"/>
    <w:sig w:usb0="00000000" w:usb1="08070000" w:usb2="00000010" w:usb3="00000000" w:csb0="00020000" w:csb1="00000000"/>
  </w:font>
  <w:font w:name="AdvTT2876772e+21">
    <w:altName w:val="MS Mincho"/>
    <w:panose1 w:val="00000000000000000000"/>
    <w:charset w:val="80"/>
    <w:family w:val="auto"/>
    <w:notTrueType/>
    <w:pitch w:val="default"/>
    <w:sig w:usb0="00000000" w:usb1="08070000" w:usb2="00000010" w:usb3="00000000" w:csb0="00020000" w:csb1="00000000"/>
  </w:font>
  <w:font w:name="AdvPSSym">
    <w:panose1 w:val="00000000000000000000"/>
    <w:charset w:val="00"/>
    <w:family w:val="auto"/>
    <w:notTrueType/>
    <w:pitch w:val="default"/>
    <w:sig w:usb0="00000003" w:usb1="00000000" w:usb2="00000000" w:usb3="00000000" w:csb0="00000001"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MingLiU">
    <w:altName w:val="Arial Unicode MS"/>
    <w:panose1 w:val="02010609000101010101"/>
    <w:charset w:val="88"/>
    <w:family w:val="modern"/>
    <w:notTrueType/>
    <w:pitch w:val="fixed"/>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21" w:rsidRPr="00577C4C" w:rsidRDefault="00E33D6E">
    <w:pPr>
      <w:rPr>
        <w:color w:val="C00000"/>
        <w:szCs w:val="24"/>
      </w:rPr>
    </w:pPr>
    <w:r w:rsidRPr="00E33D6E">
      <w:rPr>
        <w:noProof/>
        <w:lang w:val="en-GB" w:eastAsia="en-GB"/>
      </w:rPr>
      <w:pict>
        <v:shapetype id="_x0000_t202" coordsize="21600,21600" o:spt="202" path="m,l,21600r21600,l21600,xe">
          <v:stroke joinstyle="miter"/>
          <v:path gradientshapeok="t" o:connecttype="rect"/>
        </v:shapetype>
        <v:shape id="Text Box 1" o:spid="_x0000_s4098" type="#_x0000_t202" style="position:absolute;margin-left:1486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6B4E21" w:rsidRPr="00577C4C" w:rsidRDefault="00E33D6E">
                <w:pPr>
                  <w:jc w:val="right"/>
                  <w:rPr>
                    <w:color w:val="000000" w:themeColor="text1"/>
                    <w:szCs w:val="40"/>
                  </w:rPr>
                </w:pPr>
                <w:r w:rsidRPr="00577C4C">
                  <w:rPr>
                    <w:color w:val="000000" w:themeColor="text1"/>
                    <w:szCs w:val="40"/>
                  </w:rPr>
                  <w:fldChar w:fldCharType="begin"/>
                </w:r>
                <w:r w:rsidR="006B4E21" w:rsidRPr="00577C4C">
                  <w:rPr>
                    <w:color w:val="000000" w:themeColor="text1"/>
                    <w:szCs w:val="40"/>
                  </w:rPr>
                  <w:instrText xml:space="preserve"> PAGE  \* Arabic  \* MERGEFORMAT </w:instrText>
                </w:r>
                <w:r w:rsidRPr="00577C4C">
                  <w:rPr>
                    <w:color w:val="000000" w:themeColor="text1"/>
                    <w:szCs w:val="40"/>
                  </w:rPr>
                  <w:fldChar w:fldCharType="separate"/>
                </w:r>
                <w:r w:rsidR="003F696B">
                  <w:rPr>
                    <w:noProof/>
                    <w:color w:val="000000" w:themeColor="text1"/>
                    <w:szCs w:val="40"/>
                  </w:rPr>
                  <w:t>108</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21" w:rsidRPr="00577C4C" w:rsidRDefault="00E33D6E">
    <w:pPr>
      <w:rPr>
        <w:b/>
        <w:sz w:val="20"/>
        <w:szCs w:val="24"/>
      </w:rPr>
    </w:pPr>
    <w:r w:rsidRPr="00E33D6E">
      <w:rPr>
        <w:noProof/>
        <w:lang w:val="en-GB" w:eastAsia="en-GB"/>
      </w:rPr>
      <w:pict>
        <v:shapetype id="_x0000_t202" coordsize="21600,21600" o:spt="202" path="m,l,21600r21600,l21600,xe">
          <v:stroke joinstyle="miter"/>
          <v:path gradientshapeok="t" o:connecttype="rect"/>
        </v:shapetype>
        <v:shape id="Text Box 56" o:spid="_x0000_s4097" type="#_x0000_t202" style="position:absolute;margin-left:1486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6B4E21" w:rsidRPr="00577C4C" w:rsidRDefault="00E33D6E">
                <w:pPr>
                  <w:jc w:val="right"/>
                  <w:rPr>
                    <w:color w:val="000000" w:themeColor="text1"/>
                    <w:szCs w:val="40"/>
                  </w:rPr>
                </w:pPr>
                <w:r w:rsidRPr="00577C4C">
                  <w:rPr>
                    <w:color w:val="000000" w:themeColor="text1"/>
                    <w:szCs w:val="40"/>
                  </w:rPr>
                  <w:fldChar w:fldCharType="begin"/>
                </w:r>
                <w:r w:rsidR="006B4E21" w:rsidRPr="00577C4C">
                  <w:rPr>
                    <w:color w:val="000000" w:themeColor="text1"/>
                    <w:szCs w:val="40"/>
                  </w:rPr>
                  <w:instrText xml:space="preserve"> PAGE  \* Arabic  \* MERGEFORMAT </w:instrText>
                </w:r>
                <w:r w:rsidRPr="00577C4C">
                  <w:rPr>
                    <w:color w:val="000000" w:themeColor="text1"/>
                    <w:szCs w:val="40"/>
                  </w:rPr>
                  <w:fldChar w:fldCharType="separate"/>
                </w:r>
                <w:r w:rsidR="003F696B">
                  <w:rPr>
                    <w:noProof/>
                    <w:color w:val="000000" w:themeColor="text1"/>
                    <w:szCs w:val="40"/>
                  </w:rPr>
                  <w:t>107</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BC8" w:rsidRDefault="00587BC8" w:rsidP="00117666">
      <w:pPr>
        <w:spacing w:after="0"/>
      </w:pPr>
      <w:r>
        <w:separator/>
      </w:r>
    </w:p>
  </w:footnote>
  <w:footnote w:type="continuationSeparator" w:id="0">
    <w:p w:rsidR="00587BC8" w:rsidRDefault="00587BC8"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21" w:rsidRPr="009151AA" w:rsidRDefault="006B4E2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21" w:rsidRDefault="006B4E21" w:rsidP="0093429D">
    <w:r w:rsidRPr="005A1D84">
      <w:rPr>
        <w:b/>
        <w:noProof/>
        <w:color w:val="A6A6A6" w:themeColor="background1" w:themeShade="A6"/>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885223"/>
    <w:multiLevelType w:val="multilevel"/>
    <w:tmpl w:val="51DE09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8E300A"/>
    <w:multiLevelType w:val="multilevel"/>
    <w:tmpl w:val="688C45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6AD6C0C"/>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B9E0195"/>
    <w:multiLevelType w:val="hybridMultilevel"/>
    <w:tmpl w:val="6388E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4671F9"/>
    <w:multiLevelType w:val="hybridMultilevel"/>
    <w:tmpl w:val="B09E3712"/>
    <w:lvl w:ilvl="0" w:tplc="CB921F84">
      <w:start w:val="1"/>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3C8276D7"/>
    <w:multiLevelType w:val="hybridMultilevel"/>
    <w:tmpl w:val="D506D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BD4EAC"/>
    <w:multiLevelType w:val="hybridMultilevel"/>
    <w:tmpl w:val="A0B278E6"/>
    <w:lvl w:ilvl="0" w:tplc="B5D08278">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FA261E"/>
    <w:multiLevelType w:val="hybridMultilevel"/>
    <w:tmpl w:val="8BA822E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3FFE33F5"/>
    <w:multiLevelType w:val="hybridMultilevel"/>
    <w:tmpl w:val="87344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6340FC"/>
    <w:multiLevelType w:val="multilevel"/>
    <w:tmpl w:val="7F2671E0"/>
    <w:styleLink w:val="WWNum1"/>
    <w:lvl w:ilvl="0">
      <w:numFmt w:val="bullet"/>
      <w:lvlText w:val="-"/>
      <w:lvlJc w:val="left"/>
      <w:rPr>
        <w:rFonts w:eastAsia="SimSun" w:cs="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5">
    <w:nsid w:val="4D772480"/>
    <w:multiLevelType w:val="hybridMultilevel"/>
    <w:tmpl w:val="D99A6396"/>
    <w:lvl w:ilvl="0" w:tplc="9E5A663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1E15AF"/>
    <w:multiLevelType w:val="hybridMultilevel"/>
    <w:tmpl w:val="172E9356"/>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7">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E5261E"/>
    <w:multiLevelType w:val="hybridMultilevel"/>
    <w:tmpl w:val="BF549DE4"/>
    <w:lvl w:ilvl="0" w:tplc="BCBAC930">
      <w:start w:val="9"/>
      <w:numFmt w:val="bullet"/>
      <w:lvlText w:val="-"/>
      <w:lvlJc w:val="left"/>
      <w:pPr>
        <w:ind w:left="720" w:hanging="360"/>
      </w:pPr>
      <w:rPr>
        <w:rFonts w:ascii="Times New Roman" w:eastAsia="Times New Roman" w:hAnsi="Times New Roman" w:cs="Times New Roman" w:hint="default"/>
        <w:color w:val="00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7F5112"/>
    <w:multiLevelType w:val="multilevel"/>
    <w:tmpl w:val="51DE09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4F2633B"/>
    <w:multiLevelType w:val="hybridMultilevel"/>
    <w:tmpl w:val="2CB8FA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5D7CF9"/>
    <w:multiLevelType w:val="multilevel"/>
    <w:tmpl w:val="5892696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4">
    <w:nsid w:val="6FF13926"/>
    <w:multiLevelType w:val="multilevel"/>
    <w:tmpl w:val="4E80F9E8"/>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70595564"/>
    <w:multiLevelType w:val="hybridMultilevel"/>
    <w:tmpl w:val="72E64404"/>
    <w:lvl w:ilvl="0" w:tplc="8E74713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2C0736B"/>
    <w:multiLevelType w:val="multilevel"/>
    <w:tmpl w:val="51DE09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64200A5"/>
    <w:multiLevelType w:val="multilevel"/>
    <w:tmpl w:val="B0CE817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E2D5CBD"/>
    <w:multiLevelType w:val="multilevel"/>
    <w:tmpl w:val="241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7"/>
  </w:num>
  <w:num w:numId="3">
    <w:abstractNumId w:val="4"/>
  </w:num>
  <w:num w:numId="4">
    <w:abstractNumId w:val="2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3"/>
  </w:num>
  <w:num w:numId="8">
    <w:abstractNumId w:val="23"/>
  </w:num>
  <w:num w:numId="9">
    <w:abstractNumId w:val="23"/>
  </w:num>
  <w:num w:numId="10">
    <w:abstractNumId w:val="23"/>
  </w:num>
  <w:num w:numId="11">
    <w:abstractNumId w:val="23"/>
  </w:num>
  <w:num w:numId="12">
    <w:abstractNumId w:val="23"/>
  </w:num>
  <w:num w:numId="13">
    <w:abstractNumId w:val="6"/>
  </w:num>
  <w:num w:numId="14">
    <w:abstractNumId w:val="5"/>
  </w:num>
  <w:num w:numId="15">
    <w:abstractNumId w:val="5"/>
  </w:num>
  <w:num w:numId="16">
    <w:abstractNumId w:val="5"/>
  </w:num>
  <w:num w:numId="17">
    <w:abstractNumId w:val="5"/>
  </w:num>
  <w:num w:numId="18">
    <w:abstractNumId w:val="5"/>
  </w:num>
  <w:num w:numId="19">
    <w:abstractNumId w:val="5"/>
  </w:num>
  <w:num w:numId="20">
    <w:abstractNumId w:val="28"/>
  </w:num>
  <w:num w:numId="21">
    <w:abstractNumId w:val="16"/>
  </w:num>
  <w:num w:numId="22">
    <w:abstractNumId w:val="7"/>
  </w:num>
  <w:num w:numId="23">
    <w:abstractNumId w:val="22"/>
  </w:num>
  <w:num w:numId="24">
    <w:abstractNumId w:val="3"/>
  </w:num>
  <w:num w:numId="25">
    <w:abstractNumId w:val="9"/>
  </w:num>
  <w:num w:numId="26">
    <w:abstractNumId w:val="20"/>
  </w:num>
  <w:num w:numId="27">
    <w:abstractNumId w:val="12"/>
  </w:num>
  <w:num w:numId="28">
    <w:abstractNumId w:val="19"/>
  </w:num>
  <w:num w:numId="29">
    <w:abstractNumId w:val="25"/>
  </w:num>
  <w:num w:numId="30">
    <w:abstractNumId w:val="10"/>
  </w:num>
  <w:num w:numId="31">
    <w:abstractNumId w:val="27"/>
  </w:num>
  <w:num w:numId="32">
    <w:abstractNumId w:val="14"/>
  </w:num>
  <w:num w:numId="33">
    <w:abstractNumId w:val="18"/>
  </w:num>
  <w:num w:numId="34">
    <w:abstractNumId w:val="11"/>
  </w:num>
  <w:num w:numId="35">
    <w:abstractNumId w:val="15"/>
  </w:num>
  <w:num w:numId="36">
    <w:abstractNumId w:val="13"/>
  </w:num>
  <w:num w:numId="37">
    <w:abstractNumId w:val="8"/>
  </w:num>
  <w:num w:numId="38">
    <w:abstractNumId w:val="2"/>
  </w:num>
  <w:num w:numId="39">
    <w:abstractNumId w:val="24"/>
  </w:num>
  <w:num w:numId="40">
    <w:abstractNumId w:val="0"/>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trackRevisions/>
  <w:defaultTabStop w:val="720"/>
  <w:evenAndOddHeaders/>
  <w:characterSpacingControl w:val="doNotCompress"/>
  <w:hdrShapeDefaults>
    <o:shapedefaults v:ext="edit" spidmax="39938"/>
    <o:shapelayout v:ext="edit">
      <o:idmap v:ext="edit" data="4"/>
    </o:shapelayout>
  </w:hdrShapeDefaults>
  <w:footnotePr>
    <w:footnote w:id="-1"/>
    <w:footnote w:id="0"/>
  </w:footnotePr>
  <w:endnotePr>
    <w:endnote w:id="-1"/>
    <w:endnote w:id="0"/>
  </w:endnotePr>
  <w:compat/>
  <w:rsids>
    <w:rsidRoot w:val="00ED20B5"/>
    <w:rsid w:val="00006F05"/>
    <w:rsid w:val="0001436A"/>
    <w:rsid w:val="00022E09"/>
    <w:rsid w:val="000235A7"/>
    <w:rsid w:val="000258E3"/>
    <w:rsid w:val="000264D1"/>
    <w:rsid w:val="000278C4"/>
    <w:rsid w:val="00031041"/>
    <w:rsid w:val="00032593"/>
    <w:rsid w:val="00034304"/>
    <w:rsid w:val="00035434"/>
    <w:rsid w:val="00040A9A"/>
    <w:rsid w:val="000436E0"/>
    <w:rsid w:val="0004386C"/>
    <w:rsid w:val="00052A14"/>
    <w:rsid w:val="00067BAB"/>
    <w:rsid w:val="000704D9"/>
    <w:rsid w:val="00077D53"/>
    <w:rsid w:val="00085CF4"/>
    <w:rsid w:val="000B4B4B"/>
    <w:rsid w:val="000C140E"/>
    <w:rsid w:val="000C2901"/>
    <w:rsid w:val="000C4759"/>
    <w:rsid w:val="000C7317"/>
    <w:rsid w:val="000C7A27"/>
    <w:rsid w:val="000E16B6"/>
    <w:rsid w:val="000E783D"/>
    <w:rsid w:val="000F00DE"/>
    <w:rsid w:val="000F66DD"/>
    <w:rsid w:val="000F74CB"/>
    <w:rsid w:val="00101CFC"/>
    <w:rsid w:val="00105097"/>
    <w:rsid w:val="00105FD9"/>
    <w:rsid w:val="001076AA"/>
    <w:rsid w:val="00110569"/>
    <w:rsid w:val="00110DC2"/>
    <w:rsid w:val="00111061"/>
    <w:rsid w:val="00117666"/>
    <w:rsid w:val="00120C53"/>
    <w:rsid w:val="00122F4E"/>
    <w:rsid w:val="00123466"/>
    <w:rsid w:val="00130F93"/>
    <w:rsid w:val="00134D4A"/>
    <w:rsid w:val="001372BA"/>
    <w:rsid w:val="00141873"/>
    <w:rsid w:val="00144645"/>
    <w:rsid w:val="00150384"/>
    <w:rsid w:val="001549D3"/>
    <w:rsid w:val="00154E05"/>
    <w:rsid w:val="00160065"/>
    <w:rsid w:val="00161BF3"/>
    <w:rsid w:val="00163EED"/>
    <w:rsid w:val="00167DAF"/>
    <w:rsid w:val="00177D84"/>
    <w:rsid w:val="001863DB"/>
    <w:rsid w:val="0019571B"/>
    <w:rsid w:val="001A2E4F"/>
    <w:rsid w:val="001B2671"/>
    <w:rsid w:val="001B2C9F"/>
    <w:rsid w:val="001B388E"/>
    <w:rsid w:val="001C20F8"/>
    <w:rsid w:val="001C5787"/>
    <w:rsid w:val="001C70B8"/>
    <w:rsid w:val="001D10BA"/>
    <w:rsid w:val="001D4AB3"/>
    <w:rsid w:val="001D7AE5"/>
    <w:rsid w:val="001E29D7"/>
    <w:rsid w:val="001E4225"/>
    <w:rsid w:val="001E4360"/>
    <w:rsid w:val="001E6A74"/>
    <w:rsid w:val="001F349E"/>
    <w:rsid w:val="001F64F4"/>
    <w:rsid w:val="00203590"/>
    <w:rsid w:val="002036E4"/>
    <w:rsid w:val="00215C78"/>
    <w:rsid w:val="002169E8"/>
    <w:rsid w:val="00216FA8"/>
    <w:rsid w:val="00220976"/>
    <w:rsid w:val="00241187"/>
    <w:rsid w:val="00247AFE"/>
    <w:rsid w:val="00256817"/>
    <w:rsid w:val="00261042"/>
    <w:rsid w:val="00264072"/>
    <w:rsid w:val="00264F99"/>
    <w:rsid w:val="0026683A"/>
    <w:rsid w:val="00267D18"/>
    <w:rsid w:val="00270600"/>
    <w:rsid w:val="00274347"/>
    <w:rsid w:val="00274CD5"/>
    <w:rsid w:val="002755B9"/>
    <w:rsid w:val="00283825"/>
    <w:rsid w:val="002868E2"/>
    <w:rsid w:val="002869C3"/>
    <w:rsid w:val="0029146F"/>
    <w:rsid w:val="00292504"/>
    <w:rsid w:val="00292D3E"/>
    <w:rsid w:val="002936E4"/>
    <w:rsid w:val="00296202"/>
    <w:rsid w:val="002A46C5"/>
    <w:rsid w:val="002B1150"/>
    <w:rsid w:val="002B4A57"/>
    <w:rsid w:val="002C1B43"/>
    <w:rsid w:val="002C6A2C"/>
    <w:rsid w:val="002C74CA"/>
    <w:rsid w:val="002F12A9"/>
    <w:rsid w:val="00305B35"/>
    <w:rsid w:val="003107D9"/>
    <w:rsid w:val="003123F4"/>
    <w:rsid w:val="003143E1"/>
    <w:rsid w:val="00316432"/>
    <w:rsid w:val="00324B9B"/>
    <w:rsid w:val="003327C2"/>
    <w:rsid w:val="00352A06"/>
    <w:rsid w:val="00354312"/>
    <w:rsid w:val="003544FB"/>
    <w:rsid w:val="003561FD"/>
    <w:rsid w:val="0035676E"/>
    <w:rsid w:val="00356D19"/>
    <w:rsid w:val="00362934"/>
    <w:rsid w:val="00366B65"/>
    <w:rsid w:val="00367203"/>
    <w:rsid w:val="00391B95"/>
    <w:rsid w:val="003951B2"/>
    <w:rsid w:val="00395532"/>
    <w:rsid w:val="003B06A8"/>
    <w:rsid w:val="003B19E2"/>
    <w:rsid w:val="003B4E01"/>
    <w:rsid w:val="003B7E38"/>
    <w:rsid w:val="003C49F8"/>
    <w:rsid w:val="003C734D"/>
    <w:rsid w:val="003D2F2D"/>
    <w:rsid w:val="003D4D7B"/>
    <w:rsid w:val="003E0471"/>
    <w:rsid w:val="003E0A98"/>
    <w:rsid w:val="003F2CFC"/>
    <w:rsid w:val="003F696B"/>
    <w:rsid w:val="004007B1"/>
    <w:rsid w:val="00401590"/>
    <w:rsid w:val="00405609"/>
    <w:rsid w:val="004076A6"/>
    <w:rsid w:val="00413048"/>
    <w:rsid w:val="00415B85"/>
    <w:rsid w:val="00425AF4"/>
    <w:rsid w:val="0043055E"/>
    <w:rsid w:val="00431C2B"/>
    <w:rsid w:val="00445A6E"/>
    <w:rsid w:val="00447070"/>
    <w:rsid w:val="00447801"/>
    <w:rsid w:val="00450087"/>
    <w:rsid w:val="00452E9C"/>
    <w:rsid w:val="00455C96"/>
    <w:rsid w:val="00456907"/>
    <w:rsid w:val="00460963"/>
    <w:rsid w:val="00464A63"/>
    <w:rsid w:val="00471A27"/>
    <w:rsid w:val="004735C8"/>
    <w:rsid w:val="004947A6"/>
    <w:rsid w:val="004961FF"/>
    <w:rsid w:val="00496C62"/>
    <w:rsid w:val="00497F37"/>
    <w:rsid w:val="004A3296"/>
    <w:rsid w:val="004A73AA"/>
    <w:rsid w:val="004A7B62"/>
    <w:rsid w:val="004C51DF"/>
    <w:rsid w:val="004D2B86"/>
    <w:rsid w:val="004D2E9B"/>
    <w:rsid w:val="004D410A"/>
    <w:rsid w:val="004E3D70"/>
    <w:rsid w:val="004E444E"/>
    <w:rsid w:val="004F1701"/>
    <w:rsid w:val="00501300"/>
    <w:rsid w:val="00503844"/>
    <w:rsid w:val="0050449B"/>
    <w:rsid w:val="00517A89"/>
    <w:rsid w:val="00523B5E"/>
    <w:rsid w:val="005250F2"/>
    <w:rsid w:val="005315E3"/>
    <w:rsid w:val="005324FF"/>
    <w:rsid w:val="00533244"/>
    <w:rsid w:val="0054651E"/>
    <w:rsid w:val="005466EF"/>
    <w:rsid w:val="0055088B"/>
    <w:rsid w:val="00552135"/>
    <w:rsid w:val="0055365D"/>
    <w:rsid w:val="00560F04"/>
    <w:rsid w:val="005660CD"/>
    <w:rsid w:val="0056680A"/>
    <w:rsid w:val="00582E4F"/>
    <w:rsid w:val="00585FCE"/>
    <w:rsid w:val="0058724F"/>
    <w:rsid w:val="00587BC8"/>
    <w:rsid w:val="00593EEA"/>
    <w:rsid w:val="005A42AA"/>
    <w:rsid w:val="005A5857"/>
    <w:rsid w:val="005A5EEE"/>
    <w:rsid w:val="005B7CE7"/>
    <w:rsid w:val="005C1685"/>
    <w:rsid w:val="005E2350"/>
    <w:rsid w:val="005E25E7"/>
    <w:rsid w:val="005E6D07"/>
    <w:rsid w:val="005F269A"/>
    <w:rsid w:val="005F3DD0"/>
    <w:rsid w:val="00605BD5"/>
    <w:rsid w:val="0062248F"/>
    <w:rsid w:val="00627C5B"/>
    <w:rsid w:val="006375C7"/>
    <w:rsid w:val="006419B5"/>
    <w:rsid w:val="00641EA0"/>
    <w:rsid w:val="006460AE"/>
    <w:rsid w:val="0064649A"/>
    <w:rsid w:val="00646CC9"/>
    <w:rsid w:val="006545BB"/>
    <w:rsid w:val="00654E8F"/>
    <w:rsid w:val="00660710"/>
    <w:rsid w:val="00660D05"/>
    <w:rsid w:val="00661143"/>
    <w:rsid w:val="006664F3"/>
    <w:rsid w:val="006749D4"/>
    <w:rsid w:val="006820B1"/>
    <w:rsid w:val="00691318"/>
    <w:rsid w:val="00692E39"/>
    <w:rsid w:val="006A358A"/>
    <w:rsid w:val="006B4E21"/>
    <w:rsid w:val="006B7D14"/>
    <w:rsid w:val="006C3EAF"/>
    <w:rsid w:val="006D38DA"/>
    <w:rsid w:val="006D683A"/>
    <w:rsid w:val="006E0925"/>
    <w:rsid w:val="006F7027"/>
    <w:rsid w:val="006F7C62"/>
    <w:rsid w:val="00701357"/>
    <w:rsid w:val="00701727"/>
    <w:rsid w:val="007035DC"/>
    <w:rsid w:val="0070566C"/>
    <w:rsid w:val="00710716"/>
    <w:rsid w:val="007142D6"/>
    <w:rsid w:val="00714C50"/>
    <w:rsid w:val="007150C1"/>
    <w:rsid w:val="00722E52"/>
    <w:rsid w:val="00725A7D"/>
    <w:rsid w:val="00726BC6"/>
    <w:rsid w:val="0073175B"/>
    <w:rsid w:val="00733620"/>
    <w:rsid w:val="00737CA8"/>
    <w:rsid w:val="00737FA8"/>
    <w:rsid w:val="007501BE"/>
    <w:rsid w:val="007645FD"/>
    <w:rsid w:val="00764C27"/>
    <w:rsid w:val="00770137"/>
    <w:rsid w:val="00790BB3"/>
    <w:rsid w:val="007922C3"/>
    <w:rsid w:val="007A2201"/>
    <w:rsid w:val="007B1867"/>
    <w:rsid w:val="007B7A42"/>
    <w:rsid w:val="007C12C1"/>
    <w:rsid w:val="007C206C"/>
    <w:rsid w:val="007C7219"/>
    <w:rsid w:val="007D4F34"/>
    <w:rsid w:val="007E0562"/>
    <w:rsid w:val="007E1BB7"/>
    <w:rsid w:val="007E4090"/>
    <w:rsid w:val="007E715C"/>
    <w:rsid w:val="007F1CBF"/>
    <w:rsid w:val="007F7278"/>
    <w:rsid w:val="008019DB"/>
    <w:rsid w:val="00802BFD"/>
    <w:rsid w:val="0081531B"/>
    <w:rsid w:val="0081596A"/>
    <w:rsid w:val="00817DD6"/>
    <w:rsid w:val="0082041D"/>
    <w:rsid w:val="00823276"/>
    <w:rsid w:val="008322A6"/>
    <w:rsid w:val="0083433D"/>
    <w:rsid w:val="008343C9"/>
    <w:rsid w:val="00836DE5"/>
    <w:rsid w:val="0083759F"/>
    <w:rsid w:val="0084097D"/>
    <w:rsid w:val="00843EDF"/>
    <w:rsid w:val="008464BE"/>
    <w:rsid w:val="008505CA"/>
    <w:rsid w:val="008542FE"/>
    <w:rsid w:val="008546B2"/>
    <w:rsid w:val="00855D4A"/>
    <w:rsid w:val="00865ACF"/>
    <w:rsid w:val="00866B35"/>
    <w:rsid w:val="00871AAB"/>
    <w:rsid w:val="00872109"/>
    <w:rsid w:val="00882EE9"/>
    <w:rsid w:val="00885156"/>
    <w:rsid w:val="0089061F"/>
    <w:rsid w:val="00894231"/>
    <w:rsid w:val="008B1514"/>
    <w:rsid w:val="008B71D8"/>
    <w:rsid w:val="008C638D"/>
    <w:rsid w:val="008D11D7"/>
    <w:rsid w:val="008D5D55"/>
    <w:rsid w:val="008D647E"/>
    <w:rsid w:val="008E3F8F"/>
    <w:rsid w:val="008E48B6"/>
    <w:rsid w:val="008E49D8"/>
    <w:rsid w:val="008E504E"/>
    <w:rsid w:val="008E58B7"/>
    <w:rsid w:val="008F18ED"/>
    <w:rsid w:val="008F3A77"/>
    <w:rsid w:val="009151AA"/>
    <w:rsid w:val="00920D3A"/>
    <w:rsid w:val="00921DD2"/>
    <w:rsid w:val="0092767A"/>
    <w:rsid w:val="00930AD9"/>
    <w:rsid w:val="00932CA1"/>
    <w:rsid w:val="00933EDB"/>
    <w:rsid w:val="0093429D"/>
    <w:rsid w:val="00935F22"/>
    <w:rsid w:val="00935F62"/>
    <w:rsid w:val="00941DC4"/>
    <w:rsid w:val="0094243D"/>
    <w:rsid w:val="00943573"/>
    <w:rsid w:val="009453A9"/>
    <w:rsid w:val="00947753"/>
    <w:rsid w:val="00952631"/>
    <w:rsid w:val="00955159"/>
    <w:rsid w:val="009556DD"/>
    <w:rsid w:val="0096108F"/>
    <w:rsid w:val="009618C5"/>
    <w:rsid w:val="009630BC"/>
    <w:rsid w:val="00964134"/>
    <w:rsid w:val="00970F7D"/>
    <w:rsid w:val="00984704"/>
    <w:rsid w:val="00984BF2"/>
    <w:rsid w:val="00984F44"/>
    <w:rsid w:val="00985D8F"/>
    <w:rsid w:val="00994A3D"/>
    <w:rsid w:val="00995DCA"/>
    <w:rsid w:val="009964E8"/>
    <w:rsid w:val="009A3081"/>
    <w:rsid w:val="009B2A14"/>
    <w:rsid w:val="009B4DE8"/>
    <w:rsid w:val="009C2B12"/>
    <w:rsid w:val="009C3C88"/>
    <w:rsid w:val="009D3078"/>
    <w:rsid w:val="009D4B45"/>
    <w:rsid w:val="009D7767"/>
    <w:rsid w:val="009E5BDA"/>
    <w:rsid w:val="009E7BD7"/>
    <w:rsid w:val="009F2579"/>
    <w:rsid w:val="009F426D"/>
    <w:rsid w:val="00A04792"/>
    <w:rsid w:val="00A07289"/>
    <w:rsid w:val="00A11751"/>
    <w:rsid w:val="00A174D9"/>
    <w:rsid w:val="00A31EA9"/>
    <w:rsid w:val="00A335BB"/>
    <w:rsid w:val="00A34845"/>
    <w:rsid w:val="00A3632A"/>
    <w:rsid w:val="00A4238F"/>
    <w:rsid w:val="00A42856"/>
    <w:rsid w:val="00A4593D"/>
    <w:rsid w:val="00A625DE"/>
    <w:rsid w:val="00A667E2"/>
    <w:rsid w:val="00A74031"/>
    <w:rsid w:val="00A77B9A"/>
    <w:rsid w:val="00A904E6"/>
    <w:rsid w:val="00A92BCC"/>
    <w:rsid w:val="00AA4D24"/>
    <w:rsid w:val="00AB63D6"/>
    <w:rsid w:val="00AB6715"/>
    <w:rsid w:val="00AC56E0"/>
    <w:rsid w:val="00AD20D9"/>
    <w:rsid w:val="00AD3D8E"/>
    <w:rsid w:val="00AD3FD3"/>
    <w:rsid w:val="00AD6DAC"/>
    <w:rsid w:val="00AE2B5A"/>
    <w:rsid w:val="00AE7503"/>
    <w:rsid w:val="00AF31E1"/>
    <w:rsid w:val="00AF3AC4"/>
    <w:rsid w:val="00AF76E8"/>
    <w:rsid w:val="00B0092F"/>
    <w:rsid w:val="00B00CA2"/>
    <w:rsid w:val="00B0523C"/>
    <w:rsid w:val="00B13AE3"/>
    <w:rsid w:val="00B1671E"/>
    <w:rsid w:val="00B2344D"/>
    <w:rsid w:val="00B23BCB"/>
    <w:rsid w:val="00B25EB8"/>
    <w:rsid w:val="00B37F4D"/>
    <w:rsid w:val="00B407E7"/>
    <w:rsid w:val="00B41038"/>
    <w:rsid w:val="00B422D3"/>
    <w:rsid w:val="00B51B5C"/>
    <w:rsid w:val="00B66FF5"/>
    <w:rsid w:val="00B703FB"/>
    <w:rsid w:val="00B70E52"/>
    <w:rsid w:val="00B72140"/>
    <w:rsid w:val="00B86300"/>
    <w:rsid w:val="00B934B1"/>
    <w:rsid w:val="00BB420F"/>
    <w:rsid w:val="00BB7AB8"/>
    <w:rsid w:val="00BB7CB7"/>
    <w:rsid w:val="00BC0C8E"/>
    <w:rsid w:val="00BC7877"/>
    <w:rsid w:val="00BD110E"/>
    <w:rsid w:val="00BD174E"/>
    <w:rsid w:val="00BD3492"/>
    <w:rsid w:val="00BD6D5F"/>
    <w:rsid w:val="00BE11CB"/>
    <w:rsid w:val="00BE20CE"/>
    <w:rsid w:val="00BE318C"/>
    <w:rsid w:val="00BE3CFA"/>
    <w:rsid w:val="00C104BB"/>
    <w:rsid w:val="00C11F92"/>
    <w:rsid w:val="00C1598B"/>
    <w:rsid w:val="00C21E30"/>
    <w:rsid w:val="00C27646"/>
    <w:rsid w:val="00C30E04"/>
    <w:rsid w:val="00C340B5"/>
    <w:rsid w:val="00C3431B"/>
    <w:rsid w:val="00C346EA"/>
    <w:rsid w:val="00C354ED"/>
    <w:rsid w:val="00C404E8"/>
    <w:rsid w:val="00C42948"/>
    <w:rsid w:val="00C47A68"/>
    <w:rsid w:val="00C52A7B"/>
    <w:rsid w:val="00C56BAF"/>
    <w:rsid w:val="00C5724C"/>
    <w:rsid w:val="00C605FA"/>
    <w:rsid w:val="00C61D7F"/>
    <w:rsid w:val="00C620C9"/>
    <w:rsid w:val="00C679AA"/>
    <w:rsid w:val="00C72416"/>
    <w:rsid w:val="00C75972"/>
    <w:rsid w:val="00C81CD9"/>
    <w:rsid w:val="00CA42BB"/>
    <w:rsid w:val="00CB1BEB"/>
    <w:rsid w:val="00CC083E"/>
    <w:rsid w:val="00CD066B"/>
    <w:rsid w:val="00CD17F0"/>
    <w:rsid w:val="00CD3F1C"/>
    <w:rsid w:val="00CE4FEE"/>
    <w:rsid w:val="00CF7855"/>
    <w:rsid w:val="00D0073D"/>
    <w:rsid w:val="00D060CF"/>
    <w:rsid w:val="00D06B39"/>
    <w:rsid w:val="00D166C8"/>
    <w:rsid w:val="00D22BCF"/>
    <w:rsid w:val="00D34147"/>
    <w:rsid w:val="00D35516"/>
    <w:rsid w:val="00D41466"/>
    <w:rsid w:val="00D5634A"/>
    <w:rsid w:val="00D5679E"/>
    <w:rsid w:val="00D87061"/>
    <w:rsid w:val="00D9104A"/>
    <w:rsid w:val="00D9478F"/>
    <w:rsid w:val="00D97628"/>
    <w:rsid w:val="00DA05F0"/>
    <w:rsid w:val="00DB48CC"/>
    <w:rsid w:val="00DB59C3"/>
    <w:rsid w:val="00DC06D7"/>
    <w:rsid w:val="00DC1665"/>
    <w:rsid w:val="00DC259A"/>
    <w:rsid w:val="00DC25A6"/>
    <w:rsid w:val="00DC31B5"/>
    <w:rsid w:val="00DC4EA6"/>
    <w:rsid w:val="00DC64B2"/>
    <w:rsid w:val="00DD0CF8"/>
    <w:rsid w:val="00DD17D2"/>
    <w:rsid w:val="00DD3C20"/>
    <w:rsid w:val="00DE142C"/>
    <w:rsid w:val="00DE23E8"/>
    <w:rsid w:val="00DE25DF"/>
    <w:rsid w:val="00DE63CB"/>
    <w:rsid w:val="00DF5D8B"/>
    <w:rsid w:val="00E025BD"/>
    <w:rsid w:val="00E154AA"/>
    <w:rsid w:val="00E249F7"/>
    <w:rsid w:val="00E270DE"/>
    <w:rsid w:val="00E30529"/>
    <w:rsid w:val="00E330BB"/>
    <w:rsid w:val="00E33D6E"/>
    <w:rsid w:val="00E40761"/>
    <w:rsid w:val="00E409EB"/>
    <w:rsid w:val="00E4150A"/>
    <w:rsid w:val="00E426F3"/>
    <w:rsid w:val="00E449F8"/>
    <w:rsid w:val="00E51E34"/>
    <w:rsid w:val="00E52377"/>
    <w:rsid w:val="00E537AD"/>
    <w:rsid w:val="00E5670F"/>
    <w:rsid w:val="00E57CF6"/>
    <w:rsid w:val="00E64E17"/>
    <w:rsid w:val="00E657FE"/>
    <w:rsid w:val="00E65BB1"/>
    <w:rsid w:val="00E677BF"/>
    <w:rsid w:val="00E71AE4"/>
    <w:rsid w:val="00E74CAA"/>
    <w:rsid w:val="00E75371"/>
    <w:rsid w:val="00E75A64"/>
    <w:rsid w:val="00E75C2B"/>
    <w:rsid w:val="00E80F8D"/>
    <w:rsid w:val="00E866C9"/>
    <w:rsid w:val="00E93F2D"/>
    <w:rsid w:val="00E96312"/>
    <w:rsid w:val="00E975AD"/>
    <w:rsid w:val="00EA15BA"/>
    <w:rsid w:val="00EA19CC"/>
    <w:rsid w:val="00EA2C3B"/>
    <w:rsid w:val="00EA389F"/>
    <w:rsid w:val="00EA3D3C"/>
    <w:rsid w:val="00EB0633"/>
    <w:rsid w:val="00EB0B10"/>
    <w:rsid w:val="00EC030F"/>
    <w:rsid w:val="00EC090A"/>
    <w:rsid w:val="00EC4AF1"/>
    <w:rsid w:val="00EC4DFF"/>
    <w:rsid w:val="00EC5CDA"/>
    <w:rsid w:val="00EC61BB"/>
    <w:rsid w:val="00ED20B5"/>
    <w:rsid w:val="00ED24D3"/>
    <w:rsid w:val="00ED3394"/>
    <w:rsid w:val="00ED3902"/>
    <w:rsid w:val="00EE1D86"/>
    <w:rsid w:val="00EE3778"/>
    <w:rsid w:val="00EF03EF"/>
    <w:rsid w:val="00EF1C79"/>
    <w:rsid w:val="00EF2DC6"/>
    <w:rsid w:val="00EF389B"/>
    <w:rsid w:val="00F208D8"/>
    <w:rsid w:val="00F20F2C"/>
    <w:rsid w:val="00F24FA2"/>
    <w:rsid w:val="00F334BF"/>
    <w:rsid w:val="00F34EA8"/>
    <w:rsid w:val="00F3755C"/>
    <w:rsid w:val="00F411E4"/>
    <w:rsid w:val="00F46900"/>
    <w:rsid w:val="00F548C3"/>
    <w:rsid w:val="00F61D89"/>
    <w:rsid w:val="00F800A3"/>
    <w:rsid w:val="00F91A50"/>
    <w:rsid w:val="00F92E4A"/>
    <w:rsid w:val="00F93515"/>
    <w:rsid w:val="00F96FE5"/>
    <w:rsid w:val="00F97C6E"/>
    <w:rsid w:val="00FA1C38"/>
    <w:rsid w:val="00FA32AE"/>
    <w:rsid w:val="00FA3FCF"/>
    <w:rsid w:val="00FA6F9A"/>
    <w:rsid w:val="00FB42C7"/>
    <w:rsid w:val="00FC135D"/>
    <w:rsid w:val="00FC2DA8"/>
    <w:rsid w:val="00FC5A19"/>
    <w:rsid w:val="00FE3807"/>
    <w:rsid w:val="00FF1D45"/>
    <w:rsid w:val="00FF4CEA"/>
    <w:rsid w:val="00FF60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qFormat/>
    <w:rsid w:val="00AB6715"/>
    <w:pPr>
      <w:numPr>
        <w:numId w:val="19"/>
      </w:numPr>
      <w:spacing w:before="240"/>
      <w:contextualSpacing w:val="0"/>
      <w:outlineLvl w:val="0"/>
    </w:pPr>
    <w:rPr>
      <w:b/>
    </w:rPr>
  </w:style>
  <w:style w:type="paragraph" w:styleId="Heading2">
    <w:name w:val="heading 2"/>
    <w:basedOn w:val="Heading1"/>
    <w:next w:val="Normal"/>
    <w:link w:val="Heading2Char"/>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font5">
    <w:name w:val="font5"/>
    <w:basedOn w:val="Normal"/>
    <w:rsid w:val="00247AFE"/>
    <w:pPr>
      <w:spacing w:before="100" w:beforeAutospacing="1" w:after="100" w:afterAutospacing="1"/>
    </w:pPr>
    <w:rPr>
      <w:rFonts w:eastAsia="Times New Roman" w:cs="Times New Roman"/>
      <w:sz w:val="18"/>
      <w:szCs w:val="18"/>
      <w:lang w:val="en-GB" w:eastAsia="en-GB"/>
    </w:rPr>
  </w:style>
  <w:style w:type="paragraph" w:customStyle="1" w:styleId="font6">
    <w:name w:val="font6"/>
    <w:basedOn w:val="Normal"/>
    <w:rsid w:val="00247AFE"/>
    <w:pPr>
      <w:spacing w:before="100" w:beforeAutospacing="1" w:after="100" w:afterAutospacing="1"/>
    </w:pPr>
    <w:rPr>
      <w:rFonts w:eastAsia="Times New Roman" w:cs="Times New Roman"/>
      <w:i/>
      <w:iCs/>
      <w:sz w:val="18"/>
      <w:szCs w:val="18"/>
      <w:lang w:val="en-GB" w:eastAsia="en-GB"/>
    </w:rPr>
  </w:style>
  <w:style w:type="paragraph" w:customStyle="1" w:styleId="xl63">
    <w:name w:val="xl63"/>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GB" w:eastAsia="en-GB"/>
    </w:rPr>
  </w:style>
  <w:style w:type="paragraph" w:customStyle="1" w:styleId="xl64">
    <w:name w:val="xl64"/>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GB" w:eastAsia="en-GB"/>
    </w:rPr>
  </w:style>
  <w:style w:type="paragraph" w:customStyle="1" w:styleId="xl65">
    <w:name w:val="xl65"/>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en-GB" w:eastAsia="en-GB"/>
    </w:rPr>
  </w:style>
  <w:style w:type="paragraph" w:customStyle="1" w:styleId="xl66">
    <w:name w:val="xl66"/>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val="en-GB" w:eastAsia="en-GB"/>
    </w:rPr>
  </w:style>
  <w:style w:type="paragraph" w:customStyle="1" w:styleId="xl67">
    <w:name w:val="xl67"/>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val="en-GB" w:eastAsia="en-GB"/>
    </w:rPr>
  </w:style>
  <w:style w:type="paragraph" w:customStyle="1" w:styleId="xl68">
    <w:name w:val="xl68"/>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val="en-GB" w:eastAsia="en-GB"/>
    </w:rPr>
  </w:style>
  <w:style w:type="paragraph" w:customStyle="1" w:styleId="xl69">
    <w:name w:val="xl69"/>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u w:val="single"/>
      <w:lang w:val="en-GB" w:eastAsia="en-GB"/>
    </w:rPr>
  </w:style>
  <w:style w:type="paragraph" w:customStyle="1" w:styleId="xl70">
    <w:name w:val="xl70"/>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val="en-GB" w:eastAsia="en-GB"/>
    </w:rPr>
  </w:style>
  <w:style w:type="paragraph" w:customStyle="1" w:styleId="Default">
    <w:name w:val="Default"/>
    <w:rsid w:val="00247AF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ef-journal">
    <w:name w:val="ref-journal"/>
    <w:rsid w:val="00247AFE"/>
  </w:style>
  <w:style w:type="character" w:customStyle="1" w:styleId="ref-vol">
    <w:name w:val="ref-vol"/>
    <w:rsid w:val="00247AFE"/>
  </w:style>
  <w:style w:type="paragraph" w:customStyle="1" w:styleId="xl71">
    <w:name w:val="xl71"/>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rPr>
  </w:style>
  <w:style w:type="paragraph" w:customStyle="1" w:styleId="xl72">
    <w:name w:val="xl72"/>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rPr>
  </w:style>
  <w:style w:type="paragraph" w:customStyle="1" w:styleId="xl73">
    <w:name w:val="xl73"/>
    <w:basedOn w:val="Normal"/>
    <w:rsid w:val="00247A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18"/>
      <w:szCs w:val="18"/>
    </w:rPr>
  </w:style>
  <w:style w:type="paragraph" w:customStyle="1" w:styleId="xl74">
    <w:name w:val="xl74"/>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u w:val="single"/>
    </w:rPr>
  </w:style>
  <w:style w:type="paragraph" w:customStyle="1" w:styleId="xl75">
    <w:name w:val="xl75"/>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rPr>
  </w:style>
  <w:style w:type="paragraph" w:customStyle="1" w:styleId="xl76">
    <w:name w:val="xl76"/>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rPr>
  </w:style>
  <w:style w:type="paragraph" w:customStyle="1" w:styleId="xl77">
    <w:name w:val="xl77"/>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rPr>
  </w:style>
  <w:style w:type="paragraph" w:customStyle="1" w:styleId="xl78">
    <w:name w:val="xl78"/>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rPr>
  </w:style>
  <w:style w:type="paragraph" w:customStyle="1" w:styleId="xl79">
    <w:name w:val="xl79"/>
    <w:basedOn w:val="Normal"/>
    <w:rsid w:val="00247A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u w:val="single"/>
    </w:rPr>
  </w:style>
  <w:style w:type="paragraph" w:customStyle="1" w:styleId="Standard">
    <w:name w:val="Standard"/>
    <w:rsid w:val="00247AFE"/>
    <w:pPr>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Heading">
    <w:name w:val="Heading"/>
    <w:basedOn w:val="Standard"/>
    <w:next w:val="Textbody"/>
    <w:rsid w:val="00247AFE"/>
    <w:pPr>
      <w:keepNext/>
      <w:spacing w:before="240" w:after="120"/>
    </w:pPr>
    <w:rPr>
      <w:rFonts w:ascii="Arial" w:eastAsia="Microsoft YaHei" w:hAnsi="Arial"/>
      <w:sz w:val="28"/>
      <w:szCs w:val="28"/>
    </w:rPr>
  </w:style>
  <w:style w:type="paragraph" w:customStyle="1" w:styleId="Textbody">
    <w:name w:val="Text body"/>
    <w:basedOn w:val="Standard"/>
    <w:rsid w:val="00247AFE"/>
    <w:pPr>
      <w:spacing w:after="120"/>
    </w:pPr>
  </w:style>
  <w:style w:type="paragraph" w:styleId="List">
    <w:name w:val="List"/>
    <w:basedOn w:val="Textbody"/>
    <w:rsid w:val="00247AFE"/>
  </w:style>
  <w:style w:type="paragraph" w:customStyle="1" w:styleId="Index">
    <w:name w:val="Index"/>
    <w:basedOn w:val="Standard"/>
    <w:rsid w:val="00247AFE"/>
    <w:pPr>
      <w:suppressLineNumbers/>
    </w:pPr>
  </w:style>
  <w:style w:type="paragraph" w:customStyle="1" w:styleId="TableContents">
    <w:name w:val="Table Contents"/>
    <w:basedOn w:val="Standard"/>
    <w:rsid w:val="00247AFE"/>
    <w:pPr>
      <w:suppressLineNumbers/>
    </w:pPr>
  </w:style>
  <w:style w:type="paragraph" w:customStyle="1" w:styleId="TableHeading">
    <w:name w:val="Table Heading"/>
    <w:basedOn w:val="TableContents"/>
    <w:rsid w:val="00247AFE"/>
    <w:pPr>
      <w:jc w:val="center"/>
    </w:pPr>
    <w:rPr>
      <w:b/>
      <w:bCs/>
    </w:rPr>
  </w:style>
  <w:style w:type="character" w:customStyle="1" w:styleId="ListLabel1">
    <w:name w:val="ListLabel 1"/>
    <w:rsid w:val="00247AFE"/>
    <w:rPr>
      <w:rFonts w:eastAsia="SimSun" w:cs="Times New Roman"/>
    </w:rPr>
  </w:style>
  <w:style w:type="character" w:customStyle="1" w:styleId="ListLabel2">
    <w:name w:val="ListLabel 2"/>
    <w:rsid w:val="00247AFE"/>
    <w:rPr>
      <w:rFonts w:cs="Courier New"/>
    </w:rPr>
  </w:style>
  <w:style w:type="character" w:customStyle="1" w:styleId="fontstyle01">
    <w:name w:val="fontstyle01"/>
    <w:rsid w:val="00247AFE"/>
    <w:rPr>
      <w:rFonts w:ascii="MinionPro-Regular" w:hAnsi="MinionPro-Regular"/>
      <w:b w:val="0"/>
      <w:bCs w:val="0"/>
      <w:i w:val="0"/>
      <w:iCs w:val="0"/>
      <w:color w:val="000000"/>
      <w:sz w:val="20"/>
      <w:szCs w:val="20"/>
    </w:rPr>
  </w:style>
  <w:style w:type="character" w:customStyle="1" w:styleId="fontstyle21">
    <w:name w:val="fontstyle21"/>
    <w:rsid w:val="00247AFE"/>
    <w:rPr>
      <w:rFonts w:ascii="MinionPro-It" w:hAnsi="MinionPro-It"/>
      <w:b w:val="0"/>
      <w:bCs w:val="0"/>
      <w:i/>
      <w:iCs/>
      <w:color w:val="000000"/>
      <w:sz w:val="20"/>
      <w:szCs w:val="20"/>
    </w:rPr>
  </w:style>
  <w:style w:type="character" w:customStyle="1" w:styleId="ListLabel3">
    <w:name w:val="ListLabel 3"/>
    <w:rsid w:val="00247AFE"/>
    <w:rPr>
      <w:rFonts w:eastAsia="SimSun" w:cs="Times New Roman"/>
    </w:rPr>
  </w:style>
  <w:style w:type="character" w:customStyle="1" w:styleId="ListLabel4">
    <w:name w:val="ListLabel 4"/>
    <w:rsid w:val="00247AFE"/>
    <w:rPr>
      <w:rFonts w:cs="Courier New"/>
    </w:rPr>
  </w:style>
  <w:style w:type="character" w:customStyle="1" w:styleId="Internetlink">
    <w:name w:val="Internet link"/>
    <w:rsid w:val="00247AFE"/>
    <w:rPr>
      <w:color w:val="0000FF"/>
      <w:u w:val="single"/>
    </w:rPr>
  </w:style>
  <w:style w:type="character" w:customStyle="1" w:styleId="ListLabel5">
    <w:name w:val="ListLabel 5"/>
    <w:rsid w:val="00247AFE"/>
    <w:rPr>
      <w:rFonts w:eastAsia="SimSun" w:cs="Times New Roman"/>
    </w:rPr>
  </w:style>
  <w:style w:type="character" w:customStyle="1" w:styleId="ListLabel6">
    <w:name w:val="ListLabel 6"/>
    <w:rsid w:val="00247AFE"/>
    <w:rPr>
      <w:rFonts w:cs="Courier New"/>
    </w:rPr>
  </w:style>
  <w:style w:type="numbering" w:customStyle="1" w:styleId="WWNum1">
    <w:name w:val="WWNum1"/>
    <w:basedOn w:val="NoList"/>
    <w:rsid w:val="00247AFE"/>
    <w:pPr>
      <w:numPr>
        <w:numId w:val="32"/>
      </w:numPr>
    </w:pPr>
  </w:style>
  <w:style w:type="character" w:customStyle="1" w:styleId="Title1">
    <w:name w:val="Title1"/>
    <w:basedOn w:val="DefaultParagraphFont"/>
    <w:rsid w:val="00247AFE"/>
  </w:style>
  <w:style w:type="character" w:customStyle="1" w:styleId="bkciteavail">
    <w:name w:val="bk_cite_avail"/>
    <w:basedOn w:val="DefaultParagraphFont"/>
    <w:rsid w:val="00247AFE"/>
  </w:style>
  <w:style w:type="paragraph" w:customStyle="1" w:styleId="Affiliation">
    <w:name w:val="Affiliation"/>
    <w:basedOn w:val="Normal"/>
    <w:rsid w:val="00247AFE"/>
    <w:pPr>
      <w:spacing w:before="0" w:after="0"/>
      <w:jc w:val="center"/>
    </w:pPr>
    <w:rPr>
      <w:rFonts w:eastAsia="MS Mincho" w:cs="Times New Roman"/>
      <w:i/>
      <w:sz w:val="20"/>
      <w:szCs w:val="24"/>
      <w:lang w:eastAsia="ja-JP"/>
    </w:rPr>
  </w:style>
  <w:style w:type="paragraph" w:customStyle="1" w:styleId="Author">
    <w:name w:val="Author"/>
    <w:basedOn w:val="Normal"/>
    <w:rsid w:val="00247AFE"/>
    <w:pPr>
      <w:spacing w:before="0" w:after="0"/>
      <w:jc w:val="center"/>
    </w:pPr>
    <w:rPr>
      <w:rFonts w:eastAsia="MS Mincho" w:cs="Times New Roman"/>
      <w:sz w:val="20"/>
      <w:szCs w:val="24"/>
      <w:lang w:eastAsia="ja-JP"/>
    </w:rPr>
  </w:style>
  <w:style w:type="character" w:customStyle="1" w:styleId="CommentReference1">
    <w:name w:val="Comment Reference1"/>
    <w:rsid w:val="00247AFE"/>
    <w:rPr>
      <w:sz w:val="16"/>
      <w:szCs w:val="16"/>
    </w:rPr>
  </w:style>
  <w:style w:type="character" w:customStyle="1" w:styleId="ListLabel7">
    <w:name w:val="ListLabel 7"/>
    <w:rsid w:val="00247AFE"/>
    <w:rPr>
      <w:rFonts w:eastAsia="SimSun" w:cs="Times New Roman"/>
    </w:rPr>
  </w:style>
  <w:style w:type="character" w:customStyle="1" w:styleId="ListLabel8">
    <w:name w:val="ListLabel 8"/>
    <w:rsid w:val="00247AFE"/>
    <w:rPr>
      <w:rFonts w:cs="Courier New"/>
    </w:rPr>
  </w:style>
  <w:style w:type="character" w:customStyle="1" w:styleId="ListLabel9">
    <w:name w:val="ListLabel 9"/>
    <w:rsid w:val="00247AFE"/>
    <w:rPr>
      <w:rFonts w:eastAsia="Times New Roman" w:cs="Times New Roman"/>
      <w:color w:val="000000"/>
      <w:sz w:val="16"/>
    </w:rPr>
  </w:style>
  <w:style w:type="character" w:customStyle="1" w:styleId="ListLabel10">
    <w:name w:val="ListLabel 10"/>
    <w:rsid w:val="00247AFE"/>
    <w:rPr>
      <w:rFonts w:eastAsia="Times New Roman" w:cs="Times New Roman"/>
    </w:rPr>
  </w:style>
  <w:style w:type="character" w:customStyle="1" w:styleId="ListLabel11">
    <w:name w:val="ListLabel 11"/>
    <w:rsid w:val="00247AFE"/>
    <w:rPr>
      <w:rFonts w:cs="font306"/>
    </w:rPr>
  </w:style>
  <w:style w:type="paragraph" w:styleId="BodyText">
    <w:name w:val="Body Text"/>
    <w:basedOn w:val="Normal"/>
    <w:link w:val="BodyTextChar"/>
    <w:rsid w:val="00247AFE"/>
    <w:pPr>
      <w:suppressAutoHyphens/>
      <w:spacing w:before="0" w:after="120" w:line="100" w:lineRule="atLeast"/>
    </w:pPr>
    <w:rPr>
      <w:rFonts w:eastAsia="SimSun" w:cs="Lucida Sans"/>
      <w:kern w:val="1"/>
      <w:szCs w:val="24"/>
      <w:lang w:eastAsia="hi-IN" w:bidi="hi-IN"/>
    </w:rPr>
  </w:style>
  <w:style w:type="character" w:customStyle="1" w:styleId="BodyTextChar">
    <w:name w:val="Body Text Char"/>
    <w:basedOn w:val="DefaultParagraphFont"/>
    <w:link w:val="BodyText"/>
    <w:rsid w:val="00247AFE"/>
    <w:rPr>
      <w:rFonts w:ascii="Times New Roman" w:eastAsia="SimSun" w:hAnsi="Times New Roman" w:cs="Lucida Sans"/>
      <w:kern w:val="1"/>
      <w:sz w:val="24"/>
      <w:szCs w:val="24"/>
      <w:lang w:eastAsia="hi-IN" w:bidi="hi-IN"/>
    </w:rPr>
  </w:style>
  <w:style w:type="paragraph" w:customStyle="1" w:styleId="Caption1">
    <w:name w:val="Caption1"/>
    <w:basedOn w:val="Normal"/>
    <w:rsid w:val="00247AFE"/>
    <w:pPr>
      <w:suppressLineNumbers/>
      <w:suppressAutoHyphens/>
      <w:spacing w:after="120" w:line="100" w:lineRule="atLeast"/>
    </w:pPr>
    <w:rPr>
      <w:rFonts w:eastAsia="SimSun" w:cs="Lucida Sans"/>
      <w:i/>
      <w:iCs/>
      <w:kern w:val="1"/>
      <w:szCs w:val="24"/>
      <w:lang w:eastAsia="hi-IN" w:bidi="hi-IN"/>
    </w:rPr>
  </w:style>
  <w:style w:type="paragraph" w:customStyle="1" w:styleId="CommentText1">
    <w:name w:val="Comment Text1"/>
    <w:basedOn w:val="Normal"/>
    <w:rsid w:val="00247AFE"/>
    <w:pPr>
      <w:widowControl w:val="0"/>
      <w:suppressAutoHyphens/>
      <w:spacing w:before="0" w:after="0" w:line="100" w:lineRule="atLeast"/>
    </w:pPr>
    <w:rPr>
      <w:rFonts w:eastAsia="SimSun" w:cs="Mangal"/>
      <w:kern w:val="1"/>
      <w:sz w:val="20"/>
      <w:szCs w:val="18"/>
      <w:lang w:eastAsia="hi-IN" w:bidi="hi-IN"/>
    </w:rPr>
  </w:style>
  <w:style w:type="paragraph" w:customStyle="1" w:styleId="CommentSubject1">
    <w:name w:val="Comment Subject1"/>
    <w:basedOn w:val="CommentText1"/>
    <w:rsid w:val="00247AFE"/>
    <w:rPr>
      <w:b/>
      <w:bCs/>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if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tif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tiff"/><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F97BC7D-7000-4D8C-A370-85DBA20E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TotalTime>
  <Pages>108</Pages>
  <Words>380192</Words>
  <Characters>2167099</Characters>
  <Application>Microsoft Office Word</Application>
  <DocSecurity>0</DocSecurity>
  <Lines>18059</Lines>
  <Paragraphs>5084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HP</cp:lastModifiedBy>
  <cp:revision>2</cp:revision>
  <cp:lastPrinted>2013-10-03T12:51:00Z</cp:lastPrinted>
  <dcterms:created xsi:type="dcterms:W3CDTF">2021-12-02T13:26:00Z</dcterms:created>
  <dcterms:modified xsi:type="dcterms:W3CDTF">2021-12-02T13:26:00Z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http://www.zotero.org/styles/frontiers-in-bioengineering-and-biotechnology</vt:lpwstr>
  </property>
  <property fmtid="{D5CDD505-2E9C-101B-9397-08002B2CF9AE}" pid="13" name="Mendeley Recent Style Name 5_1">
    <vt:lpwstr>Frontiers in Bioengineering and Biotechnology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0e642341-eb59-33e3-9c69-b81e6420b6de</vt:lpwstr>
  </property>
  <property fmtid="{D5CDD505-2E9C-101B-9397-08002B2CF9AE}" pid="24" name="Mendeley Citation Style_1">
    <vt:lpwstr>http://www.zotero.org/styles/frontiers-in-bioengineering-and-biotechnology</vt:lpwstr>
  </property>
</Properties>
</file>